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enthusiastic about the opportunity to work with Dr. Mike H.M. Teodorescu, whose research and teaching interests in machine learning fairness, technology innovation, intellectual property, and entrepreneurship align with my aspirations to address ethical and societal challenges in technology. His focus on the fairness and adoption of machine learning systems resonates with my goal of developing equitable and accessible AI solutions, particularly for underrepresented communities. I am eager to learn from his expertise in fostering innovation and entrepreneurship, which would help me bridge the gap between technological advancements and their real-world applications to create scalable, impactful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