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772332"/>
            <wp:effectExtent b="0" l="0" r="0" t="0"/>
            <wp:docPr descr="City University of Seattle" title="" id="49" name="Picture"/>
            <a:graphic>
              <a:graphicData uri="http://schemas.openxmlformats.org/drawingml/2006/picture">
                <pic:pic>
                  <pic:nvPicPr>
                    <pic:cNvPr descr="/Users/clark/stc-transformation/courses/new-syllabi/cityu-syllabus-banner.png" id="50" name="Picture"/>
                    <pic:cNvPicPr>
                      <a:picLocks noChangeArrowheads="1" noChangeAspect="1"/>
                    </pic:cNvPicPr>
                  </pic:nvPicPr>
                  <pic:blipFill>
                    <a:blip r:embed="rId48"/>
                    <a:stretch>
                      <a:fillRect/>
                    </a:stretch>
                  </pic:blipFill>
                  <pic:spPr bwMode="auto">
                    <a:xfrm>
                      <a:off x="0" y="0"/>
                      <a:ext cx="5943600" cy="772332"/>
                    </a:xfrm>
                    <a:prstGeom prst="rect">
                      <a:avLst/>
                    </a:prstGeom>
                    <a:noFill/>
                    <a:ln w="9525">
                      <a:noFill/>
                      <a:headEnd/>
                      <a:tailEnd/>
                    </a:ln>
                  </pic:spPr>
                </pic:pic>
              </a:graphicData>
            </a:graphic>
          </wp:inline>
        </w:drawing>
      </w:r>
    </w:p>
    <w:bookmarkStart w:id="51" w:name="Xc654d5d8742b4cac77035456d4476f63db4b11a"/>
    <w:p>
      <w:pPr>
        <w:pStyle w:val="Heading2"/>
      </w:pPr>
      <w:r>
        <w:t xml:space="preserve">This form mimics the new syllabus template.</w:t>
      </w:r>
    </w:p>
    <w:bookmarkEnd w:id="51"/>
    <w:bookmarkStart w:id="52" w:name="X9a8d5fe09e1407b155984564766b1b193f43edf"/>
    <w:p>
      <w:pPr>
        <w:pStyle w:val="Heading2"/>
      </w:pPr>
      <w:r>
        <w:t xml:space="preserve">In addition to the headings listed below, please complete this information used for PeopleSoft entry.</w:t>
      </w:r>
    </w:p>
    <w:p>
      <w:pPr>
        <w:numPr>
          <w:ilvl w:val="0"/>
          <w:numId w:val="1001"/>
        </w:numPr>
      </w:pPr>
      <w:r>
        <w:t xml:space="preserve">Course Manager/Administrator</w:t>
      </w:r>
      <w:r>
        <w:br/>
      </w:r>
      <w:r>
        <w:rPr>
          <w:b/>
          <w:bCs/>
        </w:rPr>
        <w:t xml:space="preserve">Brian Maeng, Program Director</w:t>
      </w:r>
    </w:p>
    <w:p>
      <w:pPr>
        <w:numPr>
          <w:ilvl w:val="0"/>
          <w:numId w:val="1001"/>
        </w:numPr>
      </w:pPr>
      <w:r>
        <w:t xml:space="preserve">Course Status (Revision, Teachout, Closed):</w:t>
      </w:r>
      <w:r>
        <w:br/>
      </w:r>
      <w:r>
        <w:rPr>
          <w:b/>
          <w:bCs/>
        </w:rPr>
        <w:t xml:space="preserve">New Course (replaces CS 251 Statistical Computing in the BSAI preparatory courses)</w:t>
      </w:r>
    </w:p>
    <w:p>
      <w:pPr>
        <w:numPr>
          <w:ilvl w:val="0"/>
          <w:numId w:val="1001"/>
        </w:numPr>
      </w:pPr>
      <w:r>
        <w:t xml:space="preserve">Can the course be repeated for credit?</w:t>
      </w:r>
      <w:r>
        <w:br/>
      </w:r>
      <w:r>
        <w:rPr>
          <w:b/>
          <w:bCs/>
        </w:rPr>
        <w:t xml:space="preserve">No, a failed course can be repeated</w:t>
      </w:r>
    </w:p>
    <w:p>
      <w:pPr>
        <w:numPr>
          <w:ilvl w:val="0"/>
          <w:numId w:val="1001"/>
        </w:numPr>
      </w:pPr>
      <w:r>
        <w:t xml:space="preserve">Does the course require consent from the program for registration?</w:t>
      </w:r>
      <w:r>
        <w:br/>
      </w:r>
      <w:r>
        <w:rPr>
          <w:b/>
          <w:bCs/>
        </w:rPr>
        <w:t xml:space="preserve">No</w:t>
      </w:r>
    </w:p>
    <w:p>
      <w:pPr>
        <w:numPr>
          <w:ilvl w:val="0"/>
          <w:numId w:val="1001"/>
        </w:numPr>
      </w:pPr>
      <w:r>
        <w:t xml:space="preserve">Are there pre-requisites?</w:t>
      </w:r>
      <w:r>
        <w:br/>
      </w:r>
      <w:r>
        <w:rPr>
          <w:b/>
          <w:bCs/>
        </w:rPr>
        <w:t xml:space="preserve">MATH 138 or MATH 141</w:t>
      </w:r>
    </w:p>
    <w:p>
      <w:pPr>
        <w:numPr>
          <w:ilvl w:val="0"/>
          <w:numId w:val="1001"/>
        </w:numPr>
      </w:pPr>
      <w:r>
        <w:t xml:space="preserve">Are there co-requisites?</w:t>
      </w:r>
      <w:r>
        <w:br/>
      </w:r>
      <w:r>
        <w:rPr>
          <w:b/>
          <w:bCs/>
        </w:rPr>
        <w:t xml:space="preserve">No</w:t>
      </w:r>
    </w:p>
    <w:bookmarkEnd w:id="52"/>
    <w:bookmarkStart w:id="53" w:name="Xbaa08b227e5aeba280ea3ba59f7210c9c3670e3"/>
    <w:p>
      <w:pPr>
        <w:pStyle w:val="Heading1"/>
      </w:pPr>
      <w:r>
        <w:t xml:space="preserve">AI 251: Statistical Computing and AI Math (NS)</w:t>
      </w:r>
    </w:p>
    <w:bookmarkEnd w:id="53"/>
    <w:bookmarkStart w:id="54" w:name="school-of-technology-computing"/>
    <w:p>
      <w:pPr>
        <w:pStyle w:val="Heading1"/>
      </w:pPr>
      <w:r>
        <w:t xml:space="preserve">School of Technology &amp; Computing</w:t>
      </w:r>
    </w:p>
    <w:p>
      <w:pPr>
        <w:pStyle w:val="FirstParagraph"/>
      </w:pPr>
      <w:r>
        <w:t xml:space="preserve">5 Credits</w:t>
      </w:r>
      <w:r>
        <w:br/>
      </w:r>
      <w:r>
        <w:t xml:space="preserve">Effective Date (TBD)</w:t>
      </w:r>
      <w:r>
        <w:br/>
      </w:r>
      <w:r>
        <w:t xml:space="preserve">Grading Type: (Decimal)</w:t>
      </w:r>
      <w:r>
        <w:br/>
      </w:r>
      <w:r>
        <w:t xml:space="preserve">List any Pre-requisite: MATH 138 or MATH 141</w:t>
      </w:r>
      <w:r>
        <w:br/>
      </w:r>
      <w:r>
        <w:t xml:space="preserve">General Education: Natural Sciences (NS)</w:t>
      </w:r>
    </w:p>
    <w:p>
      <w:pPr>
        <w:pStyle w:val="BodyText"/>
      </w:pPr>
      <w:r>
        <w:rPr>
          <w:i/>
          <w:iCs/>
        </w:rPr>
        <w:t xml:space="preserve">Access to the Internet is required.</w:t>
      </w:r>
      <w:r>
        <w:br/>
      </w:r>
      <w:r>
        <w:rPr>
          <w:i/>
          <w:iCs/>
        </w:rPr>
        <w:t xml:space="preserve">All written assignments must be in Microsoft-Word-compatible formats.</w:t>
      </w:r>
      <w:r>
        <w:br/>
      </w:r>
      <w:r>
        <w:rPr>
          <w:i/>
          <w:iCs/>
        </w:rPr>
        <w:t xml:space="preserve">See the library's APA Style Guide tutorial for a list of resources that can help you use APA style.</w:t>
      </w:r>
    </w:p>
    <w:bookmarkEnd w:id="54"/>
    <w:bookmarkStart w:id="55" w:name="faculty-information"/>
    <w:p>
      <w:pPr>
        <w:pStyle w:val="Heading1"/>
      </w:pPr>
      <w:r>
        <w:t xml:space="preserve">Faculty Information</w:t>
      </w:r>
    </w:p>
    <w:p>
      <w:pPr>
        <w:pStyle w:val="FirstParagraph"/>
      </w:pPr>
      <w:r>
        <w:t xml:space="preserve">Professional experience information for instructors is found under</w:t>
      </w:r>
      <w:r>
        <w:t xml:space="preserve"> </w:t>
      </w:r>
      <w:r>
        <w:rPr>
          <w:i/>
          <w:iCs/>
        </w:rPr>
        <w:t xml:space="preserve">Syllabus, Schedule, and Course Team → Meet Your Instructor</w:t>
      </w:r>
      <w:r>
        <w:t xml:space="preserve"> </w:t>
      </w:r>
      <w:r>
        <w:t xml:space="preserve">in the online course menu.</w:t>
      </w:r>
    </w:p>
    <w:bookmarkEnd w:id="55"/>
    <w:bookmarkStart w:id="56" w:name="contact-information"/>
    <w:p>
      <w:pPr>
        <w:pStyle w:val="Heading1"/>
      </w:pPr>
      <w:r>
        <w:t xml:space="preserve">Contact Information</w:t>
      </w:r>
    </w:p>
    <w:p>
      <w:pPr>
        <w:pStyle w:val="FirstParagraph"/>
      </w:pPr>
      <w:r>
        <w:t xml:space="preserve">Contact information for instructors is found under</w:t>
      </w:r>
      <w:r>
        <w:t xml:space="preserve"> </w:t>
      </w:r>
      <w:r>
        <w:rPr>
          <w:i/>
          <w:iCs/>
        </w:rPr>
        <w:t xml:space="preserve">Syllabus, Schedule, and Course Team</w:t>
      </w:r>
      <w:r>
        <w:t xml:space="preserve"> </w:t>
      </w:r>
      <w:r>
        <w:t xml:space="preserve">in the online course menu.</w:t>
      </w:r>
    </w:p>
    <w:bookmarkEnd w:id="56"/>
    <w:bookmarkStart w:id="57" w:name="course-description"/>
    <w:p>
      <w:pPr>
        <w:pStyle w:val="Heading1"/>
      </w:pPr>
      <w:r>
        <w:t xml:space="preserve">Course Description</w:t>
      </w:r>
    </w:p>
    <w:p>
      <w:pPr>
        <w:pStyle w:val="FirstParagraph"/>
      </w:pPr>
      <w:r>
        <w:t xml:space="preserve">Bridges classical statistics and the high-dimensional mathematics of Machine Learning and Deep Learning using Python. Students evolve from data explorers into architects of mathematical optimization—mastering inferential statistics (t-tests, ANOVA, regression), Linear Algebra for tensors, Multivariable Calculus, and backpropagation to understand how gradients power model learning.</w:t>
      </w:r>
    </w:p>
    <w:bookmarkEnd w:id="57"/>
    <w:bookmarkStart w:id="60" w:name="course-resources"/>
    <w:p>
      <w:pPr>
        <w:pStyle w:val="Heading1"/>
      </w:pPr>
      <w:r>
        <w:t xml:space="preserve">Course Resources</w:t>
      </w:r>
    </w:p>
    <w:p>
      <w:pPr>
        <w:pStyle w:val="FirstParagraph"/>
      </w:pPr>
      <w:r>
        <w:t xml:space="preserve">Required and recommended resources to complete coursework and assignments are found on the course</w:t>
      </w:r>
      <w:r>
        <w:t xml:space="preserve"> </w:t>
      </w:r>
      <w:hyperlink r:id="rId58">
        <w:r>
          <w:rPr>
            <w:rStyle w:val="Hyperlink"/>
          </w:rPr>
          <w:t xml:space="preserve">Reading List</w:t>
        </w:r>
      </w:hyperlink>
      <w:r>
        <w:t xml:space="preserve">. Access is provided through the</w:t>
      </w:r>
      <w:r>
        <w:t xml:space="preserve"> </w:t>
      </w:r>
      <w:r>
        <w:rPr>
          <w:i/>
          <w:iCs/>
        </w:rPr>
        <w:t xml:space="preserve">Reading List</w:t>
      </w:r>
      <w:r>
        <w:t xml:space="preserve"> </w:t>
      </w:r>
      <w:r>
        <w:t xml:space="preserve">link in your online course as well as from the library homepage (“Reading List” button).</w:t>
      </w:r>
    </w:p>
    <w:p>
      <w:pPr>
        <w:pStyle w:val="BodyText"/>
      </w:pPr>
      <w:r>
        <w:rPr>
          <w:b/>
          <w:bCs/>
        </w:rPr>
        <w:t xml:space="preserve">Note</w:t>
      </w:r>
      <w:r>
        <w:t xml:space="preserve">: Required resources that must be purchased by the student are tagged “Purchase from a vendor of your choosing.” Required resources with a direct link, “Available through CityU Library”, are available electronically at no cost to students.</w:t>
      </w:r>
    </w:p>
    <w:p>
      <w:pPr>
        <w:pStyle w:val="BodyText"/>
      </w:pPr>
      <w:r>
        <w:t xml:space="preserve">Students in Canada may purchase course resources from the</w:t>
      </w:r>
      <w:r>
        <w:t xml:space="preserve"> </w:t>
      </w:r>
      <w:hyperlink r:id="rId59">
        <w:r>
          <w:rPr>
            <w:rStyle w:val="Hyperlink"/>
          </w:rPr>
          <w:t xml:space="preserve">Canada Bookstore</w:t>
        </w:r>
      </w:hyperlink>
      <w:r>
        <w:t xml:space="preserve">, and students outside the U.S. and Canada should contact their advisor or textbook coordinator for additional information.</w:t>
      </w:r>
    </w:p>
    <w:p>
      <w:pPr>
        <w:pStyle w:val="BodyText"/>
      </w:pPr>
      <w:r>
        <w:rPr>
          <w:b/>
          <w:bCs/>
        </w:rPr>
        <w:t xml:space="preserve">Required:</w:t>
      </w:r>
      <w:r>
        <w:t xml:space="preserve"> </w:t>
      </w:r>
      <w:r>
        <w:t xml:space="preserve">Danka, T., &amp; Valdarrama, S. (2025).</w:t>
      </w:r>
      <w:r>
        <w:t xml:space="preserve"> </w:t>
      </w:r>
      <w:r>
        <w:rPr>
          <w:i/>
          <w:iCs/>
        </w:rPr>
        <w:t xml:space="preserve">Mathematics of machine learning: Master linear algebra, calculus, and probability for machine learning</w:t>
      </w:r>
      <w:r>
        <w:t xml:space="preserve">. Packt. Available through CityU Library.</w:t>
      </w:r>
    </w:p>
    <w:p>
      <w:pPr>
        <w:pStyle w:val="BodyText"/>
      </w:pPr>
      <w:r>
        <w:rPr>
          <w:b/>
          <w:bCs/>
        </w:rPr>
        <w:t xml:space="preserve">Required (free):</w:t>
      </w:r>
      <w:r>
        <w:t xml:space="preserve"> </w:t>
      </w:r>
      <w:r>
        <w:t xml:space="preserve">Downey, A. B.</w:t>
      </w:r>
      <w:r>
        <w:t xml:space="preserve"> </w:t>
      </w:r>
      <w:r>
        <w:rPr>
          <w:i/>
          <w:iCs/>
        </w:rPr>
        <w:t xml:space="preserve">Think Stats</w:t>
      </w:r>
      <w:r>
        <w:t xml:space="preserve"> </w:t>
      </w:r>
      <w:r>
        <w:t xml:space="preserve">(3rd ed.). O'Reilly. Python-based statistics, free to read online.</w:t>
      </w:r>
    </w:p>
    <w:p>
      <w:pPr>
        <w:pStyle w:val="BodyText"/>
      </w:pPr>
      <w:r>
        <w:rPr>
          <w:b/>
          <w:bCs/>
        </w:rPr>
        <w:t xml:space="preserve">Recommended (free):</w:t>
      </w:r>
      <w:r>
        <w:t xml:space="preserve"> </w:t>
      </w:r>
      <w:r>
        <w:t xml:space="preserve">Deisenroth, M. P., Faisal, A. A., &amp; Ong, C. S. (2020).</w:t>
      </w:r>
      <w:r>
        <w:t xml:space="preserve"> </w:t>
      </w:r>
      <w:r>
        <w:rPr>
          <w:i/>
          <w:iCs/>
        </w:rPr>
        <w:t xml:space="preserve">Mathematics for machine learning</w:t>
      </w:r>
      <w:r>
        <w:t xml:space="preserve">. Cambridge University Press. Free PDF from the authors.</w:t>
      </w:r>
    </w:p>
    <w:bookmarkEnd w:id="60"/>
    <w:bookmarkStart w:id="61" w:name="prerequisites"/>
    <w:p>
      <w:pPr>
        <w:pStyle w:val="Heading1"/>
      </w:pPr>
      <w:r>
        <w:t xml:space="preserve">Prerequisites</w:t>
      </w:r>
    </w:p>
    <w:p>
      <w:pPr>
        <w:pStyle w:val="FirstParagraph"/>
      </w:pPr>
      <w:r>
        <w:t xml:space="preserve">MATH 138 or MATH 141.</w:t>
      </w:r>
    </w:p>
    <w:bookmarkEnd w:id="61"/>
    <w:bookmarkStart w:id="62" w:name="course-outcomes"/>
    <w:p>
      <w:pPr>
        <w:pStyle w:val="Heading1"/>
      </w:pPr>
      <w:r>
        <w:t xml:space="preserve">Course Outcomes</w:t>
      </w:r>
    </w:p>
    <w:p>
      <w:pPr>
        <w:pStyle w:val="FirstParagraph"/>
      </w:pPr>
      <w:r>
        <w:t xml:space="preserve">This course will prepare students to:</w:t>
      </w:r>
    </w:p>
    <w:p>
      <w:pPr>
        <w:pStyle w:val="BodyText"/>
      </w:pPr>
      <w:r>
        <w:t xml:space="preserve">O1 Map classical statistical concepts (variance, correlation) to their Linear Algebra equivalents (norms, dot products).</w:t>
      </w:r>
    </w:p>
    <w:p>
      <w:pPr>
        <w:pStyle w:val="BodyText"/>
      </w:pPr>
      <w:r>
        <w:t xml:space="preserve">O2 Execute complex data transformations and matrix operations on high-dimensional datasets using NumPy and Tensors.</w:t>
      </w:r>
    </w:p>
    <w:p>
      <w:pPr>
        <w:pStyle w:val="BodyText"/>
      </w:pPr>
      <w:r>
        <w:t xml:space="preserve">O3 Interpret Gradient Descent paths and loss surfaces to diagnose why an AI model may fail to converge.</w:t>
      </w:r>
    </w:p>
    <w:p>
      <w:pPr>
        <w:pStyle w:val="BodyText"/>
      </w:pPr>
      <w:r>
        <w:t xml:space="preserve">O4 Justify the selection of specific probability distributions (e.g., Gaussian, Bernoulli) when designing the loss function of a Deep Learning model.</w:t>
      </w:r>
    </w:p>
    <w:p>
      <w:pPr>
        <w:pStyle w:val="BodyText"/>
      </w:pPr>
      <w:r>
        <w:t xml:space="preserve">O5 Build and visualize an end-to-end optimization loop in Python that uses derivatives to minimize prediction error.</w:t>
      </w:r>
    </w:p>
    <w:bookmarkEnd w:id="62"/>
    <w:bookmarkStart w:id="64" w:name="additional-information"/>
    <w:p>
      <w:pPr>
        <w:pStyle w:val="Heading1"/>
      </w:pPr>
      <w:r>
        <w:t xml:space="preserve">Additional Information</w:t>
      </w:r>
    </w:p>
    <w:bookmarkStart w:id="63" w:name="core-concepts-tools"/>
    <w:p>
      <w:pPr>
        <w:pStyle w:val="Heading3"/>
      </w:pPr>
      <w:r>
        <w:t xml:space="preserve">Core Concepts &amp; Tools</w:t>
      </w:r>
    </w:p>
    <w:p>
      <w:pPr>
        <w:numPr>
          <w:ilvl w:val="0"/>
          <w:numId w:val="1002"/>
        </w:numPr>
      </w:pPr>
      <w:r>
        <w:t xml:space="preserve">Python essentials (Week 1 ramp-up): variables, lists, loops, functions, and reading files</w:t>
      </w:r>
    </w:p>
    <w:p>
      <w:pPr>
        <w:numPr>
          <w:ilvl w:val="0"/>
          <w:numId w:val="1002"/>
        </w:numPr>
      </w:pPr>
      <w:r>
        <w:t xml:space="preserve">Python for data analysis in Jupyter notebooks: pandas for tabular data, Matplotlib and seaborn for plots</w:t>
      </w:r>
    </w:p>
    <w:p>
      <w:pPr>
        <w:numPr>
          <w:ilvl w:val="0"/>
          <w:numId w:val="1002"/>
        </w:numPr>
      </w:pPr>
      <w:r>
        <w:t xml:space="preserve">Descriptive statistics and visualization: center, spread, shape, the normal distribution, histograms, box plots</w:t>
      </w:r>
    </w:p>
    <w:p>
      <w:pPr>
        <w:numPr>
          <w:ilvl w:val="0"/>
          <w:numId w:val="1002"/>
        </w:numPr>
      </w:pPr>
      <w:r>
        <w:t xml:space="preserve">Probability and distributions; confidence intervals, t-tests, chi-square, and one-way ANOVA (SciPy, statsmodels)</w:t>
      </w:r>
    </w:p>
    <w:p>
      <w:pPr>
        <w:numPr>
          <w:ilvl w:val="0"/>
          <w:numId w:val="1002"/>
        </w:numPr>
      </w:pPr>
      <w:r>
        <w:t xml:space="preserve">Correlation and regression as linear algebra: vectors, norms, dot products, and least squares</w:t>
      </w:r>
    </w:p>
    <w:p>
      <w:pPr>
        <w:numPr>
          <w:ilvl w:val="0"/>
          <w:numId w:val="1002"/>
        </w:numPr>
      </w:pPr>
      <w:r>
        <w:t xml:space="preserve">NumPy arrays and PyTorch tensors: shape, axes, broadcasting, and matrix operations</w:t>
      </w:r>
    </w:p>
    <w:p>
      <w:pPr>
        <w:numPr>
          <w:ilvl w:val="0"/>
          <w:numId w:val="1002"/>
        </w:numPr>
      </w:pPr>
      <w:r>
        <w:t xml:space="preserve">Multivariable calculus for learning: partial derivatives, gradients, and the chain rule</w:t>
      </w:r>
    </w:p>
    <w:p>
      <w:pPr>
        <w:numPr>
          <w:ilvl w:val="0"/>
          <w:numId w:val="1002"/>
        </w:numPr>
      </w:pPr>
      <w:r>
        <w:t xml:space="preserve">Gradient descent, loss surfaces, and diagnosing divergence and stalls</w:t>
      </w:r>
    </w:p>
    <w:p>
      <w:pPr>
        <w:numPr>
          <w:ilvl w:val="0"/>
          <w:numId w:val="1002"/>
        </w:numPr>
      </w:pPr>
      <w:r>
        <w:t xml:space="preserve">Probability distributions and loss functions (Gaussian → mean squared error, Bernoulli → cross-entropy) and backpropagation</w:t>
      </w:r>
    </w:p>
    <w:p>
      <w:pPr>
        <w:pStyle w:val="FirstParagraph"/>
      </w:pPr>
      <w:r>
        <w:t xml:space="preserve">Every tool in this course is free and open source. Notebooks run in GitHub Codespaces or any free Jupyter environment; no API keys, billing accounts, or GPUs are required.</w:t>
      </w:r>
    </w:p>
    <w:bookmarkEnd w:id="63"/>
    <w:bookmarkEnd w:id="64"/>
    <w:bookmarkStart w:id="66" w:name="grading-scale"/>
    <w:p>
      <w:pPr>
        <w:pStyle w:val="Heading1"/>
      </w:pPr>
      <w:r>
        <w:t xml:space="preserve">Grading Scale</w:t>
      </w:r>
    </w:p>
    <w:p>
      <w:pPr>
        <w:pStyle w:val="FirstParagraph"/>
      </w:pPr>
      <w:r>
        <w:t xml:space="preserve">The grades earned for the course will be calculated using City University of Seattle’s decimal grading system, found in the current</w:t>
      </w:r>
      <w:r>
        <w:t xml:space="preserve"> </w:t>
      </w:r>
      <w:hyperlink r:id="rId65">
        <w:r>
          <w:rPr>
            <w:rStyle w:val="Hyperlink"/>
          </w:rPr>
          <w:t xml:space="preserve">University Catalog</w:t>
        </w:r>
      </w:hyperlink>
      <w:r>
        <w:t xml:space="preserve">.</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p>
        </w:tc>
        <w:tc>
          <w:tcPr>
            <w:shd w:val="clear" w:color="auto" w:fill="D9E2F3"/>
          </w:tcPr>
          <w:p>
            <w:pPr>
              <w:pStyle w:val="Compact"/>
            </w:pPr>
            <w:r>
              <w:rPr>
                <w:b/>
                <w:sz w:val="20"/>
              </w:rPr>
              <w:t xml:space="preserve">Exceeds Standard</w:t>
            </w:r>
          </w:p>
        </w:tc>
        <w:tc>
          <w:tcPr>
            <w:shd w:val="clear" w:color="auto" w:fill="D9E2F3"/>
          </w:tcPr>
          <w:p>
            <w:pPr>
              <w:pStyle w:val="Compact"/>
            </w:pPr>
            <w:r>
              <w:rPr>
                <w:b/>
                <w:sz w:val="20"/>
              </w:rPr>
              <w:t xml:space="preserve">At Standard</w:t>
            </w:r>
          </w:p>
        </w:tc>
        <w:tc>
          <w:tcPr>
            <w:shd w:val="clear" w:color="auto" w:fill="D9E2F3"/>
          </w:tcPr>
          <w:p>
            <w:pPr>
              <w:pStyle w:val="Compact"/>
            </w:pPr>
            <w:r>
              <w:rPr>
                <w:b/>
                <w:sz w:val="20"/>
              </w:rPr>
              <w:t xml:space="preserve">Approaching Standard</w:t>
            </w:r>
          </w:p>
        </w:tc>
        <w:tc>
          <w:tcPr>
            <w:shd w:val="clear" w:color="auto" w:fill="D9E2F3"/>
          </w:tcPr>
          <w:p>
            <w:pPr>
              <w:pStyle w:val="Compact"/>
            </w:pPr>
            <w:r>
              <w:rPr>
                <w:b/>
                <w:sz w:val="20"/>
              </w:rPr>
              <w:t xml:space="preserve">Below Standard</w:t>
            </w:r>
          </w:p>
        </w:tc>
      </w:tr>
      <w:tr>
        <w:tc>
          <w:tcPr/>
          <w:p>
            <w:pPr>
              <w:pStyle w:val="Compact"/>
            </w:pPr>
            <w:r>
              <w:rPr>
                <w:sz w:val="20"/>
              </w:rPr>
              <w:t xml:space="preserve">Overall Score Row Value</w:t>
            </w:r>
          </w:p>
        </w:tc>
        <w:tc>
          <w:tcPr/>
          <w:p>
            <w:pPr>
              <w:pStyle w:val="Compact"/>
            </w:pPr>
            <w:r>
              <w:rPr>
                <w:sz w:val="20"/>
              </w:rPr>
              <w:t xml:space="preserve">92</w:t>
            </w:r>
          </w:p>
        </w:tc>
        <w:tc>
          <w:tcPr/>
          <w:p>
            <w:pPr>
              <w:pStyle w:val="Compact"/>
            </w:pPr>
            <w:r>
              <w:rPr>
                <w:sz w:val="20"/>
              </w:rPr>
              <w:t xml:space="preserve">75</w:t>
            </w:r>
          </w:p>
        </w:tc>
        <w:tc>
          <w:tcPr/>
          <w:p>
            <w:pPr>
              <w:pStyle w:val="Compact"/>
            </w:pPr>
            <w:r>
              <w:rPr>
                <w:sz w:val="20"/>
              </w:rPr>
              <w:t xml:space="preserve">62</w:t>
            </w:r>
          </w:p>
        </w:tc>
        <w:tc>
          <w:tcPr/>
          <w:p>
            <w:pPr>
              <w:pStyle w:val="Compact"/>
            </w:pPr>
            <w:r>
              <w:rPr>
                <w:sz w:val="20"/>
              </w:rPr>
              <w:t xml:space="preserve">0</w:t>
            </w:r>
          </w:p>
        </w:tc>
      </w:tr>
      <w:tr>
        <w:tc>
          <w:tcPr/>
          <w:p>
            <w:pPr>
              <w:pStyle w:val="Compact"/>
            </w:pPr>
            <w:r>
              <w:rPr>
                <w:sz w:val="20"/>
              </w:rPr>
              <w:t xml:space="preserve">Value Range</w:t>
            </w:r>
          </w:p>
        </w:tc>
        <w:tc>
          <w:tcPr/>
          <w:p>
            <w:pPr>
              <w:pStyle w:val="Compact"/>
            </w:pPr>
            <w:r>
              <w:rPr>
                <w:sz w:val="20"/>
              </w:rPr>
              <w:t xml:space="preserve">100-92</w:t>
            </w:r>
          </w:p>
        </w:tc>
        <w:tc>
          <w:tcPr/>
          <w:p>
            <w:pPr>
              <w:pStyle w:val="Compact"/>
            </w:pPr>
            <w:r>
              <w:rPr>
                <w:sz w:val="20"/>
              </w:rPr>
              <w:t xml:space="preserve">91-75</w:t>
            </w:r>
          </w:p>
        </w:tc>
        <w:tc>
          <w:tcPr/>
          <w:p>
            <w:pPr>
              <w:pStyle w:val="Compact"/>
            </w:pPr>
            <w:r>
              <w:rPr>
                <w:sz w:val="20"/>
              </w:rPr>
              <w:t xml:space="preserve">74-62</w:t>
            </w:r>
          </w:p>
        </w:tc>
        <w:tc>
          <w:tcPr/>
          <w:p>
            <w:pPr>
              <w:pStyle w:val="Compact"/>
            </w:pPr>
            <w:r>
              <w:rPr>
                <w:sz w:val="20"/>
              </w:rPr>
              <w:t xml:space="preserve">61-0</w:t>
            </w:r>
          </w:p>
        </w:tc>
      </w:tr>
      <w:tr>
        <w:tc>
          <w:tcPr/>
          <w:p>
            <w:pPr>
              <w:pStyle w:val="Compact"/>
            </w:pPr>
            <w:r>
              <w:rPr>
                <w:sz w:val="20"/>
              </w:rPr>
              <w:t xml:space="preserve">Decimal Range</w:t>
            </w:r>
          </w:p>
        </w:tc>
        <w:tc>
          <w:tcPr/>
          <w:p>
            <w:pPr>
              <w:pStyle w:val="Compact"/>
            </w:pPr>
            <w:r>
              <w:rPr>
                <w:sz w:val="20"/>
              </w:rPr>
              <w:t xml:space="preserve">4.0-3.7</w:t>
            </w:r>
          </w:p>
        </w:tc>
        <w:tc>
          <w:tcPr/>
          <w:p>
            <w:pPr>
              <w:pStyle w:val="Compact"/>
            </w:pPr>
            <w:r>
              <w:rPr>
                <w:sz w:val="20"/>
              </w:rPr>
              <w:t xml:space="preserve">3.6-2.0</w:t>
            </w:r>
          </w:p>
        </w:tc>
        <w:tc>
          <w:tcPr/>
          <w:p>
            <w:pPr>
              <w:pStyle w:val="Compact"/>
            </w:pPr>
            <w:r>
              <w:rPr>
                <w:sz w:val="20"/>
              </w:rPr>
              <w:t xml:space="preserve">1.9-0.7</w:t>
            </w:r>
          </w:p>
        </w:tc>
        <w:tc>
          <w:tcPr/>
          <w:p>
            <w:pPr>
              <w:pStyle w:val="Compact"/>
            </w:pPr>
            <w:r>
              <w:rPr>
                <w:sz w:val="20"/>
              </w:rPr>
              <w:t xml:space="preserve">0.6-0.0</w:t>
            </w:r>
          </w:p>
        </w:tc>
      </w:tr>
    </w:tbl>
    <w:p>
      <w:pPr>
        <w:pStyle w:val="BodyText"/>
      </w:pPr>
      <w:r>
        <w:t xml:space="preserve">Grading rubrics with details on how each assignment will be graded are located under</w:t>
      </w:r>
      <w:r>
        <w:t xml:space="preserve"> </w:t>
      </w:r>
      <w:r>
        <w:rPr>
          <w:i/>
          <w:iCs/>
        </w:rPr>
        <w:t xml:space="preserve">Assignments</w:t>
      </w:r>
      <w:r>
        <w:t xml:space="preserve"> </w:t>
      </w:r>
      <w:r>
        <w:t xml:space="preserve">and/or in</w:t>
      </w:r>
      <w:r>
        <w:t xml:space="preserve"> </w:t>
      </w:r>
      <w:r>
        <w:rPr>
          <w:i/>
          <w:iCs/>
        </w:rPr>
        <w:t xml:space="preserve">My Grades</w:t>
      </w:r>
      <w:r>
        <w:t xml:space="preserve"> </w:t>
      </w:r>
      <w:r>
        <w:t xml:space="preserve">in the online course menu. Students should review the rubric for each assignment prior to completing their work in order to understand how it will be assessed.</w:t>
      </w:r>
    </w:p>
    <w:bookmarkEnd w:id="66"/>
    <w:bookmarkStart w:id="81" w:name="course-assignments-and-grading"/>
    <w:p>
      <w:pPr>
        <w:pStyle w:val="Heading1"/>
      </w:pPr>
      <w:r>
        <w:t xml:space="preserve">Course Assignments and Grading</w:t>
      </w:r>
    </w:p>
    <w:tbl>
      <w:tblPr>
        <w:tblStyle w:val="TableGrid"/>
        <w:tblW w:type="pct" w:w="500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Overview of Required Assignments</w:t>
            </w:r>
          </w:p>
        </w:tc>
        <w:tc>
          <w:tcPr>
            <w:shd w:val="clear" w:color="auto" w:fill="D9E2F3"/>
          </w:tcPr>
          <w:p>
            <w:pPr>
              <w:pStyle w:val="Compact"/>
            </w:pPr>
            <w:r>
              <w:rPr>
                <w:b/>
                <w:sz w:val="20"/>
              </w:rPr>
              <w:t xml:space="preserve">% of Final Grade</w:t>
            </w:r>
          </w:p>
        </w:tc>
        <w:tc>
          <w:tcPr>
            <w:shd w:val="clear" w:color="auto" w:fill="D9E2F3"/>
          </w:tcPr>
          <w:p>
            <w:pPr>
              <w:pStyle w:val="Compact"/>
            </w:pPr>
            <w:r>
              <w:rPr>
                <w:b/>
                <w:sz w:val="20"/>
              </w:rPr>
              <w:t xml:space="preserve">Points</w:t>
            </w:r>
          </w:p>
        </w:tc>
      </w:tr>
      <w:tr>
        <w:tc>
          <w:tcPr/>
          <w:p>
            <w:pPr>
              <w:pStyle w:val="Compact"/>
            </w:pPr>
            <w:r>
              <w:rPr>
                <w:i/>
                <w:iCs/>
                <w:sz w:val="20"/>
              </w:rPr>
              <w:t xml:space="preserve">Major Assessments</w:t>
            </w:r>
          </w:p>
        </w:tc>
        <w:tc>
          <w:tcPr/>
          <w:p>
            <w:pPr>
              <w:pStyle w:val="Compact"/>
            </w:pPr>
            <w:r>
              <w:rPr>
                <w:sz w:val="20"/>
              </w:rPr>
              <w:t xml:space="preserve">80%</w:t>
            </w:r>
          </w:p>
        </w:tc>
        <w:tc>
          <w:tcPr/>
          <w:p>
            <w:pPr>
              <w:pStyle w:val="Compact"/>
            </w:pPr>
          </w:p>
        </w:tc>
      </w:tr>
      <w:tr>
        <w:tc>
          <w:tcPr/>
          <w:p>
            <w:pPr>
              <w:pStyle w:val="Compact"/>
            </w:pPr>
            <w:r>
              <w:rPr>
                <w:sz w:val="20"/>
              </w:rPr>
              <w:t xml:space="preserve">Hands-On Skill (HOS)</w:t>
            </w:r>
          </w:p>
        </w:tc>
        <w:tc>
          <w:tcPr/>
          <w:p>
            <w:pPr>
              <w:pStyle w:val="Compact"/>
            </w:pPr>
            <w:r>
              <w:rPr>
                <w:sz w:val="20"/>
              </w:rPr>
              <w:t xml:space="preserve">20%</w:t>
            </w:r>
          </w:p>
        </w:tc>
        <w:tc>
          <w:tcPr/>
          <w:p>
            <w:pPr>
              <w:pStyle w:val="Compact"/>
            </w:pPr>
            <w:r>
              <w:rPr>
                <w:sz w:val="20"/>
              </w:rPr>
              <w:t xml:space="preserve">200 = 20 points * 10 modules</w:t>
            </w:r>
          </w:p>
        </w:tc>
      </w:tr>
      <w:tr>
        <w:tc>
          <w:tcPr/>
          <w:p>
            <w:pPr>
              <w:pStyle w:val="Compact"/>
            </w:pPr>
            <w:r>
              <w:rPr>
                <w:sz w:val="20"/>
              </w:rPr>
              <w:t xml:space="preserve">Programming Exercise (PE)</w:t>
            </w:r>
          </w:p>
        </w:tc>
        <w:tc>
          <w:tcPr/>
          <w:p>
            <w:pPr>
              <w:pStyle w:val="Compact"/>
            </w:pPr>
            <w:r>
              <w:rPr>
                <w:sz w:val="20"/>
              </w:rPr>
              <w:t xml:space="preserve">40%</w:t>
            </w:r>
          </w:p>
        </w:tc>
        <w:tc>
          <w:tcPr/>
          <w:p>
            <w:pPr>
              <w:pStyle w:val="Compact"/>
            </w:pPr>
            <w:r>
              <w:rPr>
                <w:sz w:val="20"/>
              </w:rPr>
              <w:t xml:space="preserve">400 = 40 points * 10 modules</w:t>
            </w:r>
          </w:p>
        </w:tc>
      </w:tr>
      <w:tr>
        <w:tc>
          <w:tcPr/>
          <w:p>
            <w:pPr>
              <w:pStyle w:val="Compact"/>
            </w:pPr>
            <w:r>
              <w:rPr>
                <w:sz w:val="20"/>
              </w:rPr>
              <w:t xml:space="preserve">Team Project (TP)</w:t>
            </w:r>
          </w:p>
        </w:tc>
        <w:tc>
          <w:tcPr/>
          <w:p>
            <w:pPr>
              <w:pStyle w:val="Compact"/>
            </w:pPr>
            <w:r>
              <w:rPr>
                <w:sz w:val="20"/>
              </w:rPr>
              <w:t xml:space="preserve">20%</w:t>
            </w:r>
          </w:p>
        </w:tc>
        <w:tc>
          <w:tcPr/>
          <w:p>
            <w:pPr>
              <w:pStyle w:val="BodyText"/>
            </w:pPr>
            <w:r>
              <w:rPr>
                <w:sz w:val="20"/>
              </w:rPr>
              <w:t xml:space="preserve">Proposal (TP01): 30 points</w:t>
            </w:r>
          </w:p>
          <w:p>
            <w:pPr>
              <w:pStyle w:val="BodyText"/>
            </w:pPr>
            <w:r>
              <w:rPr>
                <w:sz w:val="20"/>
              </w:rPr>
              <w:t xml:space="preserve">Progress (TP02): 70 points</w:t>
            </w:r>
          </w:p>
          <w:p>
            <w:pPr>
              <w:pStyle w:val="BodyText"/>
            </w:pPr>
            <w:r>
              <w:rPr>
                <w:sz w:val="20"/>
              </w:rPr>
              <w:t xml:space="preserve">Final Report (TP03): 70 points</w:t>
            </w:r>
          </w:p>
          <w:p>
            <w:pPr>
              <w:pStyle w:val="BodyText"/>
            </w:pPr>
            <w:r>
              <w:rPr>
                <w:sz w:val="20"/>
              </w:rPr>
              <w:t xml:space="preserve">Final PPT (TP04): 30 points</w:t>
            </w:r>
          </w:p>
          <w:p>
            <w:pPr>
              <w:pStyle w:val="BodyText"/>
            </w:pPr>
            <w:r>
              <w:rPr>
                <w:sz w:val="20"/>
              </w:rPr>
              <w:t xml:space="preserve">Subtotal: 200 points</w:t>
            </w:r>
          </w:p>
        </w:tc>
      </w:tr>
      <w:tr>
        <w:tc>
          <w:tcPr/>
          <w:p>
            <w:pPr>
              <w:pStyle w:val="Compact"/>
            </w:pPr>
            <w:r>
              <w:rPr>
                <w:i/>
                <w:iCs/>
                <w:sz w:val="20"/>
              </w:rPr>
              <w:t xml:space="preserve">Instructor Determined Assignments</w:t>
            </w:r>
          </w:p>
        </w:tc>
        <w:tc>
          <w:tcPr/>
          <w:p>
            <w:pPr>
              <w:pStyle w:val="Compact"/>
            </w:pPr>
            <w:r>
              <w:rPr>
                <w:sz w:val="20"/>
              </w:rPr>
              <w:t xml:space="preserve">20%</w:t>
            </w:r>
          </w:p>
        </w:tc>
        <w:tc>
          <w:tcPr/>
          <w:p>
            <w:pPr>
              <w:pStyle w:val="Compact"/>
            </w:pPr>
          </w:p>
        </w:tc>
      </w:tr>
      <w:tr>
        <w:tc>
          <w:tcPr/>
          <w:p>
            <w:pPr>
              <w:pStyle w:val="Compact"/>
            </w:pPr>
            <w:r>
              <w:rPr>
                <w:sz w:val="20"/>
              </w:rPr>
              <w:t xml:space="preserve">The Muddiest Point (MP)</w:t>
            </w:r>
          </w:p>
        </w:tc>
        <w:tc>
          <w:tcPr/>
          <w:p>
            <w:pPr>
              <w:pStyle w:val="Compact"/>
            </w:pPr>
            <w:r>
              <w:rPr>
                <w:sz w:val="20"/>
              </w:rPr>
              <w:t xml:space="preserve">5%</w:t>
            </w:r>
          </w:p>
        </w:tc>
        <w:tc>
          <w:tcPr/>
          <w:p>
            <w:pPr>
              <w:pStyle w:val="Compact"/>
            </w:pPr>
            <w:r>
              <w:rPr>
                <w:sz w:val="20"/>
              </w:rPr>
              <w:t xml:space="preserve">50 = 5 points * 10 modules</w:t>
            </w:r>
          </w:p>
        </w:tc>
      </w:tr>
      <w:tr>
        <w:tc>
          <w:tcPr/>
          <w:p>
            <w:pPr>
              <w:pStyle w:val="Compact"/>
            </w:pPr>
            <w:r>
              <w:rPr>
                <w:sz w:val="20"/>
              </w:rPr>
              <w:t xml:space="preserve">Concept Debate (CD)</w:t>
            </w:r>
          </w:p>
        </w:tc>
        <w:tc>
          <w:tcPr/>
          <w:p>
            <w:pPr>
              <w:pStyle w:val="Compact"/>
            </w:pPr>
            <w:r>
              <w:rPr>
                <w:sz w:val="20"/>
              </w:rPr>
              <w:t xml:space="preserve">5%</w:t>
            </w:r>
          </w:p>
        </w:tc>
        <w:tc>
          <w:tcPr/>
          <w:p>
            <w:pPr>
              <w:pStyle w:val="Compact"/>
            </w:pPr>
            <w:r>
              <w:rPr>
                <w:sz w:val="20"/>
              </w:rPr>
              <w:t xml:space="preserve">50 = 5 points * 10 modules</w:t>
            </w:r>
          </w:p>
        </w:tc>
      </w:tr>
      <w:tr>
        <w:tc>
          <w:tcPr/>
          <w:p>
            <w:pPr>
              <w:pStyle w:val="Compact"/>
            </w:pPr>
            <w:r>
              <w:rPr>
                <w:sz w:val="20"/>
              </w:rPr>
              <w:t xml:space="preserve">Knowledge Check (KC)</w:t>
            </w:r>
          </w:p>
        </w:tc>
        <w:tc>
          <w:tcPr/>
          <w:p>
            <w:pPr>
              <w:pStyle w:val="Compact"/>
            </w:pPr>
            <w:r>
              <w:rPr>
                <w:sz w:val="20"/>
              </w:rPr>
              <w:t xml:space="preserve">10%</w:t>
            </w:r>
          </w:p>
        </w:tc>
        <w:tc>
          <w:tcPr/>
          <w:p>
            <w:pPr>
              <w:pStyle w:val="Compact"/>
            </w:pPr>
            <w:r>
              <w:rPr>
                <w:sz w:val="20"/>
              </w:rPr>
              <w:t xml:space="preserve">100 = 10 points * 10 modules</w:t>
            </w:r>
          </w:p>
        </w:tc>
      </w:tr>
      <w:tr>
        <w:tc>
          <w:tcPr/>
          <w:p>
            <w:pPr>
              <w:pStyle w:val="Compact"/>
            </w:pPr>
            <w:r>
              <w:rPr>
                <w:sz w:val="20"/>
              </w:rPr>
              <w:t xml:space="preserve">TOTAL</w:t>
            </w:r>
          </w:p>
        </w:tc>
        <w:tc>
          <w:tcPr/>
          <w:p>
            <w:pPr>
              <w:pStyle w:val="Compact"/>
            </w:pPr>
            <w:r>
              <w:rPr>
                <w:sz w:val="20"/>
              </w:rPr>
              <w:t xml:space="preserve">100%</w:t>
            </w:r>
          </w:p>
        </w:tc>
        <w:tc>
          <w:tcPr/>
          <w:p>
            <w:pPr>
              <w:pStyle w:val="Compact"/>
            </w:pPr>
            <w:r>
              <w:rPr>
                <w:sz w:val="20"/>
              </w:rPr>
              <w:t xml:space="preserve">1,000 points</w:t>
            </w:r>
          </w:p>
        </w:tc>
      </w:tr>
    </w:tbl>
    <w:bookmarkStart w:id="67" w:name="major-assessment-80-of-final-grade"/>
    <w:p>
      <w:pPr>
        <w:pStyle w:val="Heading3"/>
      </w:pPr>
      <w:r>
        <w:t xml:space="preserve">Major Assessment (80% of Final Grade)</w:t>
      </w:r>
    </w:p>
    <w:tbl>
      <w:tblPr>
        <w:tblStyle w:val="TableGrid"/>
        <w:tblW w:type="auto" w:w="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Category</w:t>
            </w:r>
          </w:p>
        </w:tc>
        <w:tc>
          <w:tcPr>
            <w:shd w:val="clear" w:color="auto" w:fill="D9E2F3"/>
          </w:tcPr>
          <w:p>
            <w:pPr>
              <w:pStyle w:val="Compact"/>
            </w:pPr>
            <w:r>
              <w:rPr>
                <w:b/>
                <w:sz w:val="20"/>
              </w:rPr>
              <w:t xml:space="preserve">Weight</w:t>
            </w:r>
          </w:p>
        </w:tc>
        <w:tc>
          <w:tcPr>
            <w:shd w:val="clear" w:color="auto" w:fill="D9E2F3"/>
          </w:tcPr>
          <w:p>
            <w:pPr>
              <w:pStyle w:val="Compact"/>
            </w:pPr>
            <w:r>
              <w:rPr>
                <w:b/>
                <w:sz w:val="20"/>
              </w:rPr>
              <w:t xml:space="preserve">What It Covers</w:t>
            </w:r>
          </w:p>
        </w:tc>
      </w:tr>
      <w:tr>
        <w:tc>
          <w:tcPr/>
          <w:p>
            <w:pPr>
              <w:pStyle w:val="Compact"/>
            </w:pPr>
            <w:r>
              <w:rPr>
                <w:sz w:val="20"/>
              </w:rPr>
              <w:t xml:space="preserve">Hands-On Skill (HOS)</w:t>
            </w:r>
          </w:p>
        </w:tc>
        <w:tc>
          <w:tcPr/>
          <w:p>
            <w:pPr>
              <w:pStyle w:val="Compact"/>
            </w:pPr>
            <w:r>
              <w:rPr>
                <w:b/>
                <w:bCs/>
                <w:sz w:val="20"/>
              </w:rPr>
              <w:t xml:space="preserve">20%</w:t>
            </w:r>
          </w:p>
        </w:tc>
        <w:tc>
          <w:tcPr/>
          <w:p>
            <w:pPr>
              <w:pStyle w:val="Compact"/>
            </w:pPr>
            <w:r>
              <w:rPr>
                <w:sz w:val="20"/>
              </w:rPr>
              <w:t xml:space="preserve">Every module. Paired or individual practice with the Python libraries the module's Programming Exercise uses.</w:t>
            </w:r>
          </w:p>
        </w:tc>
      </w:tr>
      <w:tr>
        <w:tc>
          <w:tcPr/>
          <w:p>
            <w:pPr>
              <w:pStyle w:val="Compact"/>
            </w:pPr>
            <w:r>
              <w:rPr>
                <w:sz w:val="20"/>
              </w:rPr>
              <w:t xml:space="preserve">Programming Exercise (PE)</w:t>
            </w:r>
          </w:p>
        </w:tc>
        <w:tc>
          <w:tcPr/>
          <w:p>
            <w:pPr>
              <w:pStyle w:val="Compact"/>
            </w:pPr>
            <w:r>
              <w:rPr>
                <w:b/>
                <w:bCs/>
                <w:sz w:val="20"/>
              </w:rPr>
              <w:t xml:space="preserve">40%</w:t>
            </w:r>
          </w:p>
        </w:tc>
        <w:tc>
          <w:tcPr/>
          <w:p>
            <w:pPr>
              <w:pStyle w:val="Compact"/>
            </w:pPr>
            <w:r>
              <w:rPr>
                <w:sz w:val="20"/>
              </w:rPr>
              <w:t xml:space="preserve">Every module. An individual Python program or notebook, graded on execution, user requirements, and documentation.</w:t>
            </w:r>
          </w:p>
        </w:tc>
      </w:tr>
      <w:tr>
        <w:tc>
          <w:tcPr/>
          <w:p>
            <w:pPr>
              <w:pStyle w:val="Compact"/>
            </w:pPr>
            <w:r>
              <w:rPr>
                <w:sz w:val="20"/>
              </w:rPr>
              <w:t xml:space="preserve">Team Project (TP)</w:t>
            </w:r>
          </w:p>
        </w:tc>
        <w:tc>
          <w:tcPr/>
          <w:p>
            <w:pPr>
              <w:pStyle w:val="Compact"/>
            </w:pPr>
            <w:r>
              <w:rPr>
                <w:b/>
                <w:bCs/>
                <w:sz w:val="20"/>
              </w:rPr>
              <w:t xml:space="preserve">20%</w:t>
            </w:r>
          </w:p>
        </w:tc>
        <w:tc>
          <w:tcPr/>
          <w:p>
            <w:pPr>
              <w:pStyle w:val="Compact"/>
            </w:pPr>
            <w:r>
              <w:rPr>
                <w:sz w:val="20"/>
              </w:rPr>
              <w:t xml:space="preserve">Weeks 1–10 in four submissions (proposal Week 3, progress Week 7, final report and presentation Week 10): a comparison of all the team members' programming exercises.</w:t>
            </w:r>
          </w:p>
        </w:tc>
      </w:tr>
    </w:tbl>
    <w:bookmarkEnd w:id="67"/>
    <w:bookmarkStart w:id="68" w:name="hands-on-skill-hos---grading-criteria"/>
    <w:p>
      <w:pPr>
        <w:pStyle w:val="Heading3"/>
      </w:pPr>
      <w:r>
        <w:t xml:space="preserve">Hands-On Skill (HOS) - Grading Criteria</w:t>
      </w:r>
    </w:p>
    <w:p>
      <w:pPr>
        <w:pStyle w:val="FirstParagraph"/>
      </w:pPr>
      <w:r>
        <w:t xml:space="preserve">The instructor will assign Hands-on Practice exercises to a pair of students in class or individually online. Students pair up and practice exercises to learn specific programming languages, application programming interfaces (APIs), or tools related to the programming assignments or virtual labs.</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Skill Exercise</w:t>
            </w:r>
          </w:p>
        </w:tc>
        <w:tc>
          <w:tcPr/>
          <w:p>
            <w:pPr>
              <w:pStyle w:val="Compact"/>
            </w:pPr>
            <w:r>
              <w:rPr>
                <w:sz w:val="20"/>
              </w:rPr>
              <w:t xml:space="preserve">70%</w:t>
            </w:r>
          </w:p>
        </w:tc>
      </w:tr>
      <w:tr>
        <w:tc>
          <w:tcPr/>
          <w:p>
            <w:pPr>
              <w:pStyle w:val="Compact"/>
            </w:pPr>
            <w:r>
              <w:rPr>
                <w:sz w:val="20"/>
              </w:rPr>
              <w:t xml:space="preserve">Engagement</w:t>
            </w:r>
          </w:p>
        </w:tc>
        <w:tc>
          <w:tcPr/>
          <w:p>
            <w:pPr>
              <w:pStyle w:val="Compact"/>
            </w:pPr>
            <w:r>
              <w:rPr>
                <w:sz w:val="20"/>
              </w:rPr>
              <w:t xml:space="preserve">20%</w:t>
            </w:r>
          </w:p>
        </w:tc>
      </w:tr>
      <w:tr>
        <w:tc>
          <w:tcPr/>
          <w:p>
            <w:pPr>
              <w:pStyle w:val="Compact"/>
            </w:pPr>
            <w:r>
              <w:rPr>
                <w:sz w:val="20"/>
              </w:rPr>
              <w:t xml:space="preserve">Correctness</w:t>
            </w:r>
          </w:p>
        </w:tc>
        <w:tc>
          <w:tcPr/>
          <w:p>
            <w:pPr>
              <w:pStyle w:val="Compact"/>
            </w:pPr>
            <w:r>
              <w:rPr>
                <w:sz w:val="20"/>
              </w:rPr>
              <w:t xml:space="preserve">10%</w:t>
            </w:r>
          </w:p>
        </w:tc>
      </w:tr>
      <w:tr>
        <w:tc>
          <w:tcPr/>
          <w:p>
            <w:pPr>
              <w:pStyle w:val="Compact"/>
            </w:pPr>
            <w:r>
              <w:rPr>
                <w:sz w:val="20"/>
              </w:rPr>
              <w:t xml:space="preserve">TOTAL</w:t>
            </w:r>
          </w:p>
        </w:tc>
        <w:tc>
          <w:tcPr/>
          <w:p>
            <w:pPr>
              <w:pStyle w:val="Compact"/>
            </w:pPr>
            <w:r>
              <w:rPr>
                <w:sz w:val="20"/>
              </w:rPr>
              <w:t xml:space="preserve">100%</w:t>
            </w:r>
          </w:p>
        </w:tc>
      </w:tr>
    </w:tbl>
    <w:bookmarkEnd w:id="68"/>
    <w:bookmarkStart w:id="69" w:name="X005588220eea0da3fb5c7d75edbe769d94beb6b"/>
    <w:p>
      <w:pPr>
        <w:pStyle w:val="Heading3"/>
      </w:pPr>
      <w:r>
        <w:t xml:space="preserve">Programming Exercise (PE) - Grading Criteria</w:t>
      </w:r>
    </w:p>
    <w:p>
      <w:pPr>
        <w:pStyle w:val="FirstParagraph"/>
      </w:pPr>
      <w:r>
        <w:t xml:space="preserve">The students must individually perform the programming exercise. Programs must be executable and robust. Non-executable programs will not receive any credits. Programs should deliver correct answers on all valid input and produce comprehensible error messages on invalid input. Programs also run correctly on all test data given within a reasonable amount of time. Students should write programs that are easy for other people to read.</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Program Execution</w:t>
            </w:r>
          </w:p>
        </w:tc>
        <w:tc>
          <w:tcPr/>
          <w:p>
            <w:pPr>
              <w:pStyle w:val="Compact"/>
            </w:pPr>
            <w:r>
              <w:rPr>
                <w:sz w:val="20"/>
              </w:rPr>
              <w:t xml:space="preserve">40%</w:t>
            </w:r>
          </w:p>
        </w:tc>
      </w:tr>
      <w:tr>
        <w:tc>
          <w:tcPr/>
          <w:p>
            <w:pPr>
              <w:pStyle w:val="Compact"/>
            </w:pPr>
            <w:r>
              <w:rPr>
                <w:sz w:val="20"/>
              </w:rPr>
              <w:t xml:space="preserve">User Requirement</w:t>
            </w:r>
          </w:p>
        </w:tc>
        <w:tc>
          <w:tcPr/>
          <w:p>
            <w:pPr>
              <w:pStyle w:val="Compact"/>
            </w:pPr>
            <w:r>
              <w:rPr>
                <w:sz w:val="20"/>
              </w:rPr>
              <w:t xml:space="preserve">40%</w:t>
            </w:r>
          </w:p>
        </w:tc>
      </w:tr>
      <w:tr>
        <w:tc>
          <w:tcPr/>
          <w:p>
            <w:pPr>
              <w:pStyle w:val="Compact"/>
            </w:pPr>
            <w:r>
              <w:rPr>
                <w:sz w:val="20"/>
              </w:rPr>
              <w:t xml:space="preserve">Program Documentation</w:t>
            </w:r>
          </w:p>
        </w:tc>
        <w:tc>
          <w:tcPr/>
          <w:p>
            <w:pPr>
              <w:pStyle w:val="Compact"/>
            </w:pPr>
            <w:r>
              <w:rPr>
                <w:sz w:val="20"/>
              </w:rPr>
              <w:t xml:space="preserve">20%</w:t>
            </w:r>
          </w:p>
        </w:tc>
      </w:tr>
      <w:tr>
        <w:tc>
          <w:tcPr/>
          <w:p>
            <w:pPr>
              <w:pStyle w:val="Compact"/>
            </w:pPr>
            <w:r>
              <w:rPr>
                <w:sz w:val="20"/>
              </w:rPr>
              <w:t xml:space="preserve">TOTAL</w:t>
            </w:r>
          </w:p>
        </w:tc>
        <w:tc>
          <w:tcPr/>
          <w:p>
            <w:pPr>
              <w:pStyle w:val="Compact"/>
            </w:pPr>
            <w:r>
              <w:rPr>
                <w:sz w:val="20"/>
              </w:rPr>
              <w:t xml:space="preserve">100%</w:t>
            </w:r>
          </w:p>
        </w:tc>
      </w:tr>
    </w:tbl>
    <w:bookmarkEnd w:id="69"/>
    <w:bookmarkStart w:id="76" w:name="team-project"/>
    <w:p>
      <w:pPr>
        <w:pStyle w:val="Heading3"/>
      </w:pPr>
      <w:r>
        <w:t xml:space="preserve">Team Project (TP) - Grading Criteria</w:t>
      </w:r>
    </w:p>
    <w:bookmarkStart w:id="72" w:name="X57bb463d7ae157d7a5103b6947e9f64a8008c0f"/>
    <w:p>
      <w:pPr>
        <w:pStyle w:val="Heading4"/>
      </w:pPr>
      <w:r>
        <w:t xml:space="preserve">Project Description: A Comparison of All Programming Exercises</w:t>
      </w:r>
    </w:p>
    <w:p>
      <w:pPr>
        <w:pStyle w:val="FirstParagraph"/>
      </w:pPr>
      <w:r>
        <w:t xml:space="preserve">Each team is required to have a report showing a comparison of all programming exercises, each team member submitted, in terms of analysis, design, implementation, and testing.</w:t>
      </w:r>
    </w:p>
    <w:p>
      <w:pPr>
        <w:pStyle w:val="BodyText"/>
      </w:pPr>
      <w:r>
        <w:t xml:space="preserve">Teams consist of three to four students. Each team will use an instructor-approved topic relevant to the course.</w:t>
      </w:r>
    </w:p>
    <w:p>
      <w:pPr>
        <w:pStyle w:val="BodyText"/>
      </w:pPr>
      <w:r>
        <w:t xml:space="preserve">The paper is to be between 6 and 7 pages. The required template for class submissions comes from international organizations, the Education Special Interest Group and the Computing Education + Information systems Applied Research (</w:t>
      </w:r>
      <w:hyperlink r:id="rId70">
        <w:r>
          <w:rPr>
            <w:rStyle w:val="Hyperlink"/>
          </w:rPr>
          <w:t xml:space="preserve">EDSIG/CONISAR</w:t>
        </w:r>
      </w:hyperlink>
      <w:r>
        <w:t xml:space="preserve">). The instructor may recommend teams submit their paper to conferences. Submissions are optional and will not impact the course grade. Additional revisions may be required after the course.</w:t>
      </w:r>
    </w:p>
    <w:p>
      <w:pPr>
        <w:pStyle w:val="BodyText"/>
      </w:pPr>
      <w:r>
        <w:t xml:space="preserve">Three report templates and one presentation template are provided. The file name consists of team project number, team number, and the list of your team members. For example, “</w:t>
      </w:r>
      <w:r>
        <w:rPr>
          <w:i/>
          <w:iCs/>
        </w:rPr>
        <w:t xml:space="preserve">TP01 T03 Sam John Mark</w:t>
      </w:r>
      <w:r>
        <w:t xml:space="preserve">.”</w:t>
      </w:r>
    </w:p>
    <w:p>
      <w:pPr>
        <w:numPr>
          <w:ilvl w:val="0"/>
          <w:numId w:val="1003"/>
        </w:numPr>
      </w:pPr>
      <w:r>
        <w:t xml:space="preserve">TP01 for the proposal - “</w:t>
      </w:r>
      <w:r>
        <w:rPr>
          <w:i/>
          <w:iCs/>
        </w:rPr>
        <w:t xml:space="preserve">TP01 T0X Author1 Author2 Author3.docx</w:t>
      </w:r>
      <w:r>
        <w:t xml:space="preserve">”</w:t>
      </w:r>
    </w:p>
    <w:p>
      <w:pPr>
        <w:numPr>
          <w:ilvl w:val="0"/>
          <w:numId w:val="1003"/>
        </w:numPr>
      </w:pPr>
      <w:r>
        <w:t xml:space="preserve">TP02 for the progress report - “</w:t>
      </w:r>
      <w:r>
        <w:rPr>
          <w:i/>
          <w:iCs/>
        </w:rPr>
        <w:t xml:space="preserve">TP02 T0X Author1 Author2 Author3.docx</w:t>
      </w:r>
      <w:r>
        <w:t xml:space="preserve">”</w:t>
      </w:r>
    </w:p>
    <w:p>
      <w:pPr>
        <w:numPr>
          <w:ilvl w:val="0"/>
          <w:numId w:val="1003"/>
        </w:numPr>
      </w:pPr>
      <w:r>
        <w:t xml:space="preserve">TP03 for the final report - “</w:t>
      </w:r>
      <w:r>
        <w:rPr>
          <w:i/>
          <w:iCs/>
        </w:rPr>
        <w:t xml:space="preserve">TP03 T0X Author1 Author2 Author3.docx</w:t>
      </w:r>
      <w:r>
        <w:t xml:space="preserve">”</w:t>
      </w:r>
    </w:p>
    <w:p>
      <w:pPr>
        <w:numPr>
          <w:ilvl w:val="0"/>
          <w:numId w:val="1003"/>
        </w:numPr>
      </w:pPr>
      <w:r>
        <w:t xml:space="preserve">TP04 for the final presentation slide - “</w:t>
      </w:r>
      <w:r>
        <w:rPr>
          <w:i/>
          <w:iCs/>
        </w:rPr>
        <w:t xml:space="preserve">TP04 T0X Author1 Author2 Author3.pptx</w:t>
      </w:r>
      <w:r>
        <w:t xml:space="preserve">”</w:t>
      </w:r>
    </w:p>
    <w:p>
      <w:pPr>
        <w:pStyle w:val="FirstParagraph"/>
      </w:pPr>
      <w:r>
        <w:t xml:space="preserve">As in any scholarly writing, students should not merely copy information from another author. Students should use evidence to support the contentions they have drawn from their findings and critically analyze related literature. In essence, each paper needs to be an analytical paper, not a summary of readings.</w:t>
      </w:r>
    </w:p>
    <w:p>
      <w:pPr>
        <w:pStyle w:val="BodyText"/>
      </w:pPr>
      <w:r>
        <w:t xml:space="preserve">In addition, a team slide deck presentation is required.</w:t>
      </w:r>
    </w:p>
    <w:p>
      <w:pPr>
        <w:numPr>
          <w:ilvl w:val="0"/>
          <w:numId w:val="1004"/>
        </w:numPr>
      </w:pPr>
      <w:r>
        <w:t xml:space="preserve">The presentation consists of 15+4 slides: 15 slides for content and 4 slides for cover, agenda, key reference, and Q&amp;A.</w:t>
      </w:r>
    </w:p>
    <w:p>
      <w:pPr>
        <w:numPr>
          <w:ilvl w:val="0"/>
          <w:numId w:val="1004"/>
        </w:numPr>
      </w:pPr>
      <w:r>
        <w:t xml:space="preserve">The PPT template is provided. Your team can change design and color.</w:t>
      </w:r>
    </w:p>
    <w:p>
      <w:pPr>
        <w:numPr>
          <w:ilvl w:val="0"/>
          <w:numId w:val="1004"/>
        </w:numPr>
      </w:pPr>
      <w:r>
        <w:t xml:space="preserve">A presentation video (15 minutes) is required.</w:t>
      </w:r>
    </w:p>
    <w:p>
      <w:pPr>
        <w:numPr>
          <w:ilvl w:val="0"/>
          <w:numId w:val="1004"/>
        </w:numPr>
      </w:pPr>
      <w:r>
        <w:t xml:space="preserve">A demo video (a maximum of 1-2 minutes) may be included. The demo time is included in the 15 minutes presentation.</w:t>
      </w:r>
    </w:p>
    <w:p>
      <w:pPr>
        <w:pStyle w:val="FirstParagraph"/>
      </w:pPr>
      <w:r>
        <w:t xml:space="preserve">Four submissions are required according to the following schedule:</w:t>
      </w:r>
    </w:p>
    <w:p>
      <w:pPr>
        <w:numPr>
          <w:ilvl w:val="0"/>
          <w:numId w:val="1005"/>
        </w:numPr>
      </w:pPr>
      <w:r>
        <w:t xml:space="preserve">Proposal (1 page; 30 points) - Starting (Module 1) &amp; Ending (Module 3)</w:t>
      </w:r>
    </w:p>
    <w:p>
      <w:pPr>
        <w:numPr>
          <w:ilvl w:val="0"/>
          <w:numId w:val="1005"/>
        </w:numPr>
      </w:pPr>
      <w:r>
        <w:t xml:space="preserve">Progress Report (3-4 pages; 70 points; graded after the proposal has been submitted) - Starting (Module 4) &amp; Ending (Module 7)</w:t>
      </w:r>
    </w:p>
    <w:p>
      <w:pPr>
        <w:numPr>
          <w:ilvl w:val="0"/>
          <w:numId w:val="1005"/>
        </w:numPr>
      </w:pPr>
      <w:r>
        <w:t xml:space="preserve">Final Report (6-7 pages; 70 points; graded after the progress has been submitted) - Starting (Module 8) &amp; Ending (Module 10)</w:t>
      </w:r>
    </w:p>
    <w:p>
      <w:pPr>
        <w:numPr>
          <w:ilvl w:val="0"/>
          <w:numId w:val="1005"/>
        </w:numPr>
      </w:pPr>
      <w:r>
        <w:t xml:space="preserve">Final PPT (15+4 slides, 30 points; graded after the final report has been submitted) - Starting (Module 8) &amp; Ending (Module 10)</w:t>
      </w:r>
    </w:p>
    <w:p>
      <w:pPr>
        <w:pStyle w:val="FirstParagraph"/>
      </w:pPr>
      <w:r>
        <w:t xml:space="preserve">Students are expected to use the assigned readings, videos, and other materials throughout the quarter. Students will need to utilize additional sources that were not assigned by the professor. While stylized after an industry report, nonetheless, students are expected to employ APA formatting of citations, footnotes, and bibliography. Students must cite the sources of all ideas, facts, and information used that are not their own, even if they have put the information into their own words. Failure to do so is plagiarism, although the oversight is unintentional. To avoid plagiarism, check</w:t>
      </w:r>
      <w:r>
        <w:t xml:space="preserve"> </w:t>
      </w:r>
      <w:hyperlink r:id="rId71">
        <w:r>
          <w:rPr>
            <w:rStyle w:val="Hyperlink"/>
          </w:rPr>
          <w:t xml:space="preserve">https://library.cityu.edu/howto/apa-writing/avoid-plagiarism/</w:t>
        </w:r>
      </w:hyperlink>
      <w:r>
        <w:t xml:space="preserve">.</w:t>
      </w:r>
    </w:p>
    <w:bookmarkEnd w:id="72"/>
    <w:bookmarkStart w:id="73" w:name="tp01-and-tp02"/>
    <w:p>
      <w:pPr>
        <w:pStyle w:val="Heading4"/>
      </w:pPr>
      <w:r>
        <w:t xml:space="preserve">TP01 and TP02</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Structure</w:t>
            </w:r>
          </w:p>
        </w:tc>
        <w:tc>
          <w:tcPr/>
          <w:p>
            <w:pPr>
              <w:pStyle w:val="Compact"/>
            </w:pPr>
            <w:r>
              <w:rPr>
                <w:sz w:val="20"/>
              </w:rPr>
              <w:t xml:space="preserve">20%</w:t>
            </w:r>
          </w:p>
        </w:tc>
      </w:tr>
      <w:tr>
        <w:tc>
          <w:tcPr/>
          <w:p>
            <w:pPr>
              <w:pStyle w:val="Compact"/>
            </w:pPr>
            <w:r>
              <w:rPr>
                <w:sz w:val="20"/>
              </w:rPr>
              <w:t xml:space="preserve">Content</w:t>
            </w:r>
          </w:p>
        </w:tc>
        <w:tc>
          <w:tcPr/>
          <w:p>
            <w:pPr>
              <w:pStyle w:val="Compact"/>
            </w:pPr>
            <w:r>
              <w:rPr>
                <w:sz w:val="20"/>
              </w:rPr>
              <w:t xml:space="preserve">30%</w:t>
            </w:r>
          </w:p>
        </w:tc>
      </w:tr>
      <w:tr>
        <w:tc>
          <w:tcPr/>
          <w:p>
            <w:pPr>
              <w:pStyle w:val="Compact"/>
            </w:pPr>
            <w:r>
              <w:rPr>
                <w:sz w:val="20"/>
              </w:rPr>
              <w:t xml:space="preserve">Writing</w:t>
            </w:r>
          </w:p>
        </w:tc>
        <w:tc>
          <w:tcPr/>
          <w:p>
            <w:pPr>
              <w:pStyle w:val="Compact"/>
            </w:pPr>
            <w:r>
              <w:rPr>
                <w:sz w:val="20"/>
              </w:rPr>
              <w:t xml:space="preserve">30%</w:t>
            </w:r>
          </w:p>
        </w:tc>
      </w:tr>
      <w:tr>
        <w:tc>
          <w:tcPr/>
          <w:p>
            <w:pPr>
              <w:pStyle w:val="Compact"/>
            </w:pPr>
            <w:r>
              <w:rPr>
                <w:sz w:val="20"/>
              </w:rPr>
              <w:t xml:space="preserve">Reference</w:t>
            </w:r>
          </w:p>
        </w:tc>
        <w:tc>
          <w:tcPr/>
          <w:p>
            <w:pPr>
              <w:pStyle w:val="Compact"/>
            </w:pPr>
            <w:r>
              <w:rPr>
                <w:sz w:val="20"/>
              </w:rPr>
              <w:t xml:space="preserve">10%</w:t>
            </w:r>
          </w:p>
        </w:tc>
      </w:tr>
      <w:tr>
        <w:tc>
          <w:tcPr/>
          <w:p>
            <w:pPr>
              <w:pStyle w:val="Compact"/>
            </w:pPr>
            <w:r>
              <w:rPr>
                <w:sz w:val="20"/>
              </w:rPr>
              <w:t xml:space="preserve">Collaboration</w:t>
            </w:r>
          </w:p>
        </w:tc>
        <w:tc>
          <w:tcPr/>
          <w:p>
            <w:pPr>
              <w:pStyle w:val="Compact"/>
            </w:pPr>
            <w:r>
              <w:rPr>
                <w:sz w:val="20"/>
              </w:rPr>
              <w:t xml:space="preserve">10%</w:t>
            </w:r>
          </w:p>
        </w:tc>
      </w:tr>
      <w:tr>
        <w:tc>
          <w:tcPr/>
          <w:p>
            <w:pPr>
              <w:pStyle w:val="Compact"/>
            </w:pPr>
            <w:r>
              <w:rPr>
                <w:sz w:val="20"/>
              </w:rPr>
              <w:t xml:space="preserve">TOTAL</w:t>
            </w:r>
          </w:p>
        </w:tc>
        <w:tc>
          <w:tcPr/>
          <w:p>
            <w:pPr>
              <w:pStyle w:val="Compact"/>
            </w:pPr>
            <w:r>
              <w:rPr>
                <w:sz w:val="20"/>
              </w:rPr>
              <w:t xml:space="preserve">100%</w:t>
            </w:r>
          </w:p>
        </w:tc>
      </w:tr>
    </w:tbl>
    <w:bookmarkEnd w:id="73"/>
    <w:bookmarkStart w:id="74" w:name="tp03"/>
    <w:p>
      <w:pPr>
        <w:pStyle w:val="Heading4"/>
      </w:pPr>
      <w:r>
        <w:t xml:space="preserve">TP03</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rPr>
        <w:tc>
          <w:tcPr>
            <w:shd w:val="clear" w:color="auto" w:fill="D9E2F3"/>
          </w:tcPr>
          <w:p>
            <w:pPr>
              <w:pStyle w:val="Compact"/>
            </w:pPr>
            <w:r>
              <w:rPr>
                <w:b/>
                <w:sz w:val="20"/>
              </w:rPr>
              <w:t xml:space="preserve">#</w:t>
            </w:r>
          </w:p>
        </w:tc>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Outcome</w:t>
            </w:r>
          </w:p>
        </w:tc>
        <w:tc>
          <w:tcPr>
            <w:shd w:val="clear" w:color="auto" w:fill="D9E2F3"/>
          </w:tcPr>
          <w:p>
            <w:pPr>
              <w:pStyle w:val="Compact"/>
            </w:pPr>
            <w:r>
              <w:rPr>
                <w:b/>
                <w:sz w:val="20"/>
              </w:rPr>
              <w:t xml:space="preserve">% of Grade</w:t>
            </w:r>
          </w:p>
        </w:tc>
      </w:tr>
      <w:tr>
        <w:tc>
          <w:tcPr>
            <w:gridSpan w:val="4"/>
          </w:tcPr>
          <w:p>
            <w:pPr>
              <w:pStyle w:val="Compact"/>
            </w:pPr>
            <w:r>
              <w:rPr>
                <w:sz w:val="20"/>
              </w:rPr>
              <w:t xml:space="preserve">General Computing Knowledge (20%)</w:t>
            </w:r>
          </w:p>
        </w:tc>
      </w:tr>
      <w:tr>
        <w:tc>
          <w:tcPr/>
          <w:p>
            <w:pPr>
              <w:pStyle w:val="Compact"/>
            </w:pPr>
            <w:r>
              <w:rPr>
                <w:sz w:val="20"/>
              </w:rPr>
              <w:t xml:space="preserve">1</w:t>
            </w:r>
          </w:p>
        </w:tc>
        <w:tc>
          <w:tcPr/>
          <w:p>
            <w:pPr>
              <w:pStyle w:val="Compact"/>
            </w:pPr>
            <w:r>
              <w:rPr>
                <w:sz w:val="20"/>
              </w:rPr>
              <w:t xml:space="preserve">Statistical Computing and AI Math</w:t>
            </w:r>
          </w:p>
        </w:tc>
        <w:tc>
          <w:tcPr/>
          <w:p>
            <w:pPr>
              <w:pStyle w:val="Compact"/>
            </w:pPr>
            <w:r>
              <w:rPr>
                <w:sz w:val="20"/>
              </w:rPr>
              <w:t xml:space="preserve">Integrate statistical and mathematical concepts, principles, standards, procedures, and methods to manage statistical computing and model optimization.</w:t>
            </w:r>
          </w:p>
        </w:tc>
        <w:tc>
          <w:tcPr/>
          <w:p>
            <w:pPr>
              <w:pStyle w:val="Compact"/>
            </w:pPr>
            <w:r>
              <w:rPr>
                <w:sz w:val="20"/>
              </w:rPr>
              <w:t xml:space="preserve">20%</w:t>
            </w:r>
          </w:p>
        </w:tc>
      </w:tr>
      <w:tr>
        <w:tc>
          <w:tcPr>
            <w:gridSpan w:val="4"/>
          </w:tcPr>
          <w:p>
            <w:pPr>
              <w:pStyle w:val="Compact"/>
            </w:pPr>
            <w:r>
              <w:rPr>
                <w:sz w:val="20"/>
              </w:rPr>
              <w:t xml:space="preserve">Critical Thinking (60%)</w:t>
            </w:r>
          </w:p>
        </w:tc>
      </w:tr>
      <w:tr>
        <w:tc>
          <w:tcPr/>
          <w:p>
            <w:pPr>
              <w:pStyle w:val="Compact"/>
            </w:pPr>
            <w:r>
              <w:rPr>
                <w:sz w:val="20"/>
              </w:rPr>
              <w:t xml:space="preserve">2</w:t>
            </w:r>
          </w:p>
        </w:tc>
        <w:tc>
          <w:tcPr/>
          <w:p>
            <w:pPr>
              <w:pStyle w:val="Compact"/>
            </w:pPr>
            <w:r>
              <w:rPr>
                <w:sz w:val="20"/>
              </w:rPr>
              <w:t xml:space="preserve">Issue</w:t>
            </w:r>
          </w:p>
        </w:tc>
        <w:tc>
          <w:tcPr/>
          <w:p>
            <w:pPr>
              <w:pStyle w:val="Compact"/>
            </w:pPr>
            <w:r>
              <w:rPr>
                <w:sz w:val="20"/>
              </w:rPr>
              <w:t xml:space="preserve">Issue is stated and described thoroughly so that it is understood fully.</w:t>
            </w:r>
          </w:p>
        </w:tc>
        <w:tc>
          <w:tcPr/>
          <w:p>
            <w:pPr>
              <w:pStyle w:val="Compact"/>
            </w:pPr>
            <w:r>
              <w:rPr>
                <w:sz w:val="20"/>
              </w:rPr>
              <w:t xml:space="preserve">20%</w:t>
            </w:r>
          </w:p>
        </w:tc>
      </w:tr>
      <w:tr>
        <w:tc>
          <w:tcPr/>
          <w:p>
            <w:pPr>
              <w:pStyle w:val="Compact"/>
            </w:pPr>
            <w:r>
              <w:rPr>
                <w:sz w:val="20"/>
              </w:rPr>
              <w:t xml:space="preserve">3</w:t>
            </w:r>
          </w:p>
        </w:tc>
        <w:tc>
          <w:tcPr/>
          <w:p>
            <w:pPr>
              <w:pStyle w:val="Compact"/>
            </w:pPr>
            <w:r>
              <w:rPr>
                <w:sz w:val="20"/>
              </w:rPr>
              <w:t xml:space="preserve">Evidence</w:t>
            </w:r>
          </w:p>
        </w:tc>
        <w:tc>
          <w:tcPr/>
          <w:p>
            <w:pPr>
              <w:pStyle w:val="Compact"/>
            </w:pPr>
            <w:r>
              <w:rPr>
                <w:sz w:val="20"/>
              </w:rPr>
              <w:t xml:space="preserve">Information is taken from source(s) appropriate to the scope with enough interpretation and evaluation to develop a comprehensive analysis or synthesis, and expert opinions are thoroughly scrutinized.</w:t>
            </w:r>
          </w:p>
        </w:tc>
        <w:tc>
          <w:tcPr/>
          <w:p>
            <w:pPr>
              <w:pStyle w:val="Compact"/>
            </w:pPr>
            <w:r>
              <w:rPr>
                <w:sz w:val="20"/>
              </w:rPr>
              <w:t xml:space="preserve">10%</w:t>
            </w:r>
          </w:p>
        </w:tc>
      </w:tr>
      <w:tr>
        <w:tc>
          <w:tcPr/>
          <w:p>
            <w:pPr>
              <w:pStyle w:val="Compact"/>
            </w:pPr>
            <w:r>
              <w:rPr>
                <w:sz w:val="20"/>
              </w:rPr>
              <w:t xml:space="preserve">4</w:t>
            </w:r>
          </w:p>
        </w:tc>
        <w:tc>
          <w:tcPr/>
          <w:p>
            <w:pPr>
              <w:pStyle w:val="Compact"/>
            </w:pPr>
            <w:r>
              <w:rPr>
                <w:sz w:val="20"/>
              </w:rPr>
              <w:t xml:space="preserve">Context and Awareness</w:t>
            </w:r>
          </w:p>
        </w:tc>
        <w:tc>
          <w:tcPr/>
          <w:p>
            <w:pPr>
              <w:pStyle w:val="Compact"/>
            </w:pPr>
            <w:r>
              <w:rPr>
                <w:sz w:val="20"/>
              </w:rPr>
              <w:t xml:space="preserve">Thoroughly analyzes assumptions and biases, carefully evaluating contextual relevance when presenting a position.</w:t>
            </w:r>
          </w:p>
        </w:tc>
        <w:tc>
          <w:tcPr/>
          <w:p>
            <w:pPr>
              <w:pStyle w:val="Compact"/>
            </w:pPr>
            <w:r>
              <w:rPr>
                <w:sz w:val="20"/>
              </w:rPr>
              <w:t xml:space="preserve">20%</w:t>
            </w:r>
          </w:p>
        </w:tc>
      </w:tr>
      <w:tr>
        <w:tc>
          <w:tcPr/>
          <w:p>
            <w:pPr>
              <w:pStyle w:val="Compact"/>
            </w:pPr>
            <w:r>
              <w:rPr>
                <w:sz w:val="20"/>
              </w:rPr>
              <w:t xml:space="preserve">5</w:t>
            </w:r>
          </w:p>
        </w:tc>
        <w:tc>
          <w:tcPr/>
          <w:p>
            <w:pPr>
              <w:pStyle w:val="Compact"/>
            </w:pPr>
            <w:r>
              <w:rPr>
                <w:sz w:val="20"/>
              </w:rPr>
              <w:t xml:space="preserve">Conclusions</w:t>
            </w:r>
          </w:p>
        </w:tc>
        <w:tc>
          <w:tcPr/>
          <w:p>
            <w:pPr>
              <w:pStyle w:val="Compact"/>
            </w:pPr>
            <w:r>
              <w:rPr>
                <w:sz w:val="20"/>
              </w:rPr>
              <w:t xml:space="preserve">Conclusions are logical and reflect an informed evaluation of evidence and perspectives in priority order.</w:t>
            </w:r>
          </w:p>
        </w:tc>
        <w:tc>
          <w:tcPr/>
          <w:p>
            <w:pPr>
              <w:pStyle w:val="Compact"/>
            </w:pPr>
            <w:r>
              <w:rPr>
                <w:sz w:val="20"/>
              </w:rPr>
              <w:t xml:space="preserve">10%</w:t>
            </w:r>
          </w:p>
        </w:tc>
      </w:tr>
      <w:tr>
        <w:tc>
          <w:tcPr>
            <w:gridSpan w:val="4"/>
          </w:tcPr>
          <w:p>
            <w:pPr>
              <w:pStyle w:val="Compact"/>
            </w:pPr>
            <w:r>
              <w:rPr>
                <w:sz w:val="20"/>
              </w:rPr>
              <w:t xml:space="preserve">Collaboration (20%)</w:t>
            </w:r>
          </w:p>
        </w:tc>
      </w:tr>
      <w:tr>
        <w:tc>
          <w:tcPr/>
          <w:p>
            <w:pPr>
              <w:pStyle w:val="Compact"/>
            </w:pPr>
            <w:r>
              <w:rPr>
                <w:sz w:val="20"/>
              </w:rPr>
              <w:t xml:space="preserve">6</w:t>
            </w:r>
          </w:p>
        </w:tc>
        <w:tc>
          <w:tcPr/>
          <w:p>
            <w:pPr>
              <w:pStyle w:val="Compact"/>
            </w:pPr>
            <w:r>
              <w:rPr>
                <w:sz w:val="20"/>
              </w:rPr>
              <w:t xml:space="preserve">Teamwork</w:t>
            </w:r>
          </w:p>
        </w:tc>
        <w:tc>
          <w:tcPr/>
          <w:p>
            <w:pPr>
              <w:pStyle w:val="Compact"/>
            </w:pPr>
            <w:r>
              <w:rPr>
                <w:sz w:val="20"/>
              </w:rPr>
              <w:t xml:space="preserve">Works effectively on diverse, global and/or distributed teams.</w:t>
            </w:r>
          </w:p>
        </w:tc>
        <w:tc>
          <w:tcPr/>
          <w:p>
            <w:pPr>
              <w:pStyle w:val="Compact"/>
            </w:pPr>
            <w:r>
              <w:rPr>
                <w:sz w:val="20"/>
              </w:rPr>
              <w:t xml:space="preserve">10%</w:t>
            </w:r>
          </w:p>
        </w:tc>
      </w:tr>
      <w:tr>
        <w:tc>
          <w:tcPr/>
          <w:p>
            <w:pPr>
              <w:pStyle w:val="Compact"/>
            </w:pPr>
            <w:r>
              <w:rPr>
                <w:sz w:val="20"/>
              </w:rPr>
              <w:t xml:space="preserve">7</w:t>
            </w:r>
          </w:p>
        </w:tc>
        <w:tc>
          <w:tcPr/>
          <w:p>
            <w:pPr>
              <w:pStyle w:val="Compact"/>
            </w:pPr>
            <w:r>
              <w:rPr>
                <w:sz w:val="20"/>
              </w:rPr>
              <w:t xml:space="preserve">Knowledge of Cultural Frameworks</w:t>
            </w:r>
          </w:p>
        </w:tc>
        <w:tc>
          <w:tcPr/>
          <w:p>
            <w:pPr>
              <w:pStyle w:val="Compact"/>
            </w:pPr>
            <w:r>
              <w:rPr>
                <w:sz w:val="20"/>
              </w:rPr>
              <w:t xml:space="preserve">Demonstrates sophisticated understanding of the complexity of elements important to members of another culture in relation to its history, values, politics, communication styles, economy, or beliefs and practices.</w:t>
            </w:r>
          </w:p>
        </w:tc>
        <w:tc>
          <w:tcPr/>
          <w:p>
            <w:pPr>
              <w:pStyle w:val="Compact"/>
            </w:pPr>
            <w:r>
              <w:rPr>
                <w:sz w:val="20"/>
              </w:rPr>
              <w:t xml:space="preserve">5%</w:t>
            </w:r>
          </w:p>
        </w:tc>
      </w:tr>
      <w:tr>
        <w:tc>
          <w:tcPr/>
          <w:p>
            <w:pPr>
              <w:pStyle w:val="Compact"/>
            </w:pPr>
            <w:r>
              <w:rPr>
                <w:sz w:val="20"/>
              </w:rPr>
              <w:t xml:space="preserve">8</w:t>
            </w:r>
          </w:p>
        </w:tc>
        <w:tc>
          <w:tcPr/>
          <w:p>
            <w:pPr>
              <w:pStyle w:val="Compact"/>
            </w:pPr>
            <w:r>
              <w:rPr>
                <w:sz w:val="20"/>
              </w:rPr>
              <w:t xml:space="preserve">Openness to Cultural Differences</w:t>
            </w:r>
          </w:p>
        </w:tc>
        <w:tc>
          <w:tcPr/>
          <w:p>
            <w:pPr>
              <w:pStyle w:val="Compact"/>
            </w:pPr>
            <w:r>
              <w:rPr>
                <w:sz w:val="20"/>
              </w:rPr>
              <w:t xml:space="preserve">Demonstrates openness to the diverse population of students in STC programs, collaboratively and professionally communicates with team members to form a collective decision and provide resolutions to the challenges that arise.</w:t>
            </w:r>
          </w:p>
        </w:tc>
        <w:tc>
          <w:tcPr/>
          <w:p>
            <w:pPr>
              <w:pStyle w:val="Compact"/>
            </w:pPr>
            <w:r>
              <w:rPr>
                <w:sz w:val="20"/>
              </w:rPr>
              <w:t xml:space="preserve">5%</w:t>
            </w:r>
          </w:p>
        </w:tc>
      </w:tr>
      <w:tr>
        <w:tc>
          <w:tcPr/>
          <w:p>
            <w:pPr>
              <w:pStyle w:val="Compact"/>
            </w:pPr>
          </w:p>
        </w:tc>
        <w:tc>
          <w:tcPr/>
          <w:p>
            <w:pPr>
              <w:pStyle w:val="Compact"/>
            </w:pPr>
            <w:r>
              <w:rPr>
                <w:sz w:val="20"/>
              </w:rPr>
              <w:t xml:space="preserve">TOTAL</w:t>
            </w:r>
          </w:p>
        </w:tc>
        <w:tc>
          <w:tcPr/>
          <w:p>
            <w:pPr>
              <w:pStyle w:val="Compact"/>
            </w:pPr>
          </w:p>
        </w:tc>
        <w:tc>
          <w:tcPr/>
          <w:p>
            <w:pPr>
              <w:pStyle w:val="Compact"/>
            </w:pPr>
            <w:r>
              <w:rPr>
                <w:sz w:val="20"/>
              </w:rPr>
              <w:t xml:space="preserve">100%</w:t>
            </w:r>
          </w:p>
        </w:tc>
      </w:tr>
    </w:tbl>
    <w:bookmarkEnd w:id="74"/>
    <w:bookmarkStart w:id="75" w:name="tp04-presentation"/>
    <w:p>
      <w:pPr>
        <w:pStyle w:val="Heading4"/>
      </w:pPr>
      <w:r>
        <w:t xml:space="preserve">TP04 Presentation</w:t>
      </w:r>
    </w:p>
    <w:p>
      <w:pPr>
        <w:pStyle w:val="FirstParagraph"/>
      </w:pPr>
      <w:r>
        <w:t xml:space="preserve">The student will report on the research outcomes, development, or other project efforts to an academically appropriate committee in a public forum. The nature of the presentation content will determine the specific makeup of the audience. The student will choose the format of the presentation, in consultation with the advisor. The layout and design must be appropriate and adequate to represent the outcomes of the effort. While students must make some form of a visual presentation, the presentation of the results may include publishing in a refereed publication, publication in a trade or popular magazine or journal, broadcast in an appropriate medium, or, in exceptional cases, limited dissemination within a closed community.</w:t>
      </w:r>
    </w:p>
    <w:p>
      <w:pPr>
        <w:pStyle w:val="BodyText"/>
      </w:pPr>
      <w:r>
        <w:t xml:space="preserve">Each presenter will have 15 minutes for presentation and 5 minutes for questions and answers. Each presenter must keep the total presentation time limit strictly.</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Structure</w:t>
            </w:r>
          </w:p>
        </w:tc>
        <w:tc>
          <w:tcPr/>
          <w:p>
            <w:pPr>
              <w:pStyle w:val="Compact"/>
            </w:pPr>
            <w:r>
              <w:rPr>
                <w:sz w:val="20"/>
              </w:rPr>
              <w:t xml:space="preserve">20%</w:t>
            </w:r>
          </w:p>
        </w:tc>
      </w:tr>
      <w:tr>
        <w:tc>
          <w:tcPr/>
          <w:p>
            <w:pPr>
              <w:pStyle w:val="Compact"/>
            </w:pPr>
            <w:r>
              <w:rPr>
                <w:sz w:val="20"/>
              </w:rPr>
              <w:t xml:space="preserve">Visual Presentation</w:t>
            </w:r>
          </w:p>
        </w:tc>
        <w:tc>
          <w:tcPr/>
          <w:p>
            <w:pPr>
              <w:pStyle w:val="Compact"/>
            </w:pPr>
            <w:r>
              <w:rPr>
                <w:sz w:val="20"/>
              </w:rPr>
              <w:t xml:space="preserve">30%</w:t>
            </w:r>
          </w:p>
        </w:tc>
      </w:tr>
      <w:tr>
        <w:tc>
          <w:tcPr/>
          <w:p>
            <w:pPr>
              <w:pStyle w:val="Compact"/>
            </w:pPr>
            <w:r>
              <w:rPr>
                <w:sz w:val="20"/>
              </w:rPr>
              <w:t xml:space="preserve">Verbal Quality &amp; Engagement</w:t>
            </w:r>
          </w:p>
        </w:tc>
        <w:tc>
          <w:tcPr/>
          <w:p>
            <w:pPr>
              <w:pStyle w:val="Compact"/>
            </w:pPr>
            <w:r>
              <w:rPr>
                <w:sz w:val="20"/>
              </w:rPr>
              <w:t xml:space="preserve">30%</w:t>
            </w:r>
          </w:p>
        </w:tc>
      </w:tr>
      <w:tr>
        <w:tc>
          <w:tcPr/>
          <w:p>
            <w:pPr>
              <w:pStyle w:val="Compact"/>
            </w:pPr>
            <w:r>
              <w:rPr>
                <w:sz w:val="20"/>
              </w:rPr>
              <w:t xml:space="preserve">Team Collaboration</w:t>
            </w:r>
          </w:p>
        </w:tc>
        <w:tc>
          <w:tcPr/>
          <w:p>
            <w:pPr>
              <w:pStyle w:val="Compact"/>
            </w:pPr>
            <w:r>
              <w:rPr>
                <w:sz w:val="20"/>
              </w:rPr>
              <w:t xml:space="preserve">20%</w:t>
            </w:r>
          </w:p>
        </w:tc>
      </w:tr>
      <w:tr>
        <w:tc>
          <w:tcPr/>
          <w:p>
            <w:pPr>
              <w:pStyle w:val="Compact"/>
            </w:pPr>
            <w:r>
              <w:rPr>
                <w:sz w:val="20"/>
              </w:rPr>
              <w:t xml:space="preserve">TOTAL</w:t>
            </w:r>
          </w:p>
        </w:tc>
        <w:tc>
          <w:tcPr/>
          <w:p>
            <w:pPr>
              <w:pStyle w:val="Compact"/>
            </w:pPr>
            <w:r>
              <w:rPr>
                <w:sz w:val="20"/>
              </w:rPr>
              <w:t xml:space="preserve">100%</w:t>
            </w:r>
          </w:p>
        </w:tc>
      </w:tr>
    </w:tbl>
    <w:bookmarkEnd w:id="75"/>
    <w:bookmarkEnd w:id="76"/>
    <w:bookmarkStart w:id="77" w:name="Xeaf92f2d2bf4f607f1d8e6224c9855b7224a1ee"/>
    <w:p>
      <w:pPr>
        <w:pStyle w:val="Heading3"/>
      </w:pPr>
      <w:r>
        <w:t xml:space="preserve">Instructor Determined Assignments (20% of Final Grade)</w:t>
      </w:r>
    </w:p>
    <w:tbl>
      <w:tblPr>
        <w:tblStyle w:val="TableGrid"/>
        <w:tblW w:type="auto" w:w="0"/>
        <w:tblLayout w:type="autofit"/>
        <w:tblLook w:firstRow="1" w:lastRow="0" w:firstColumn="0" w:lastColumn="0" w:noHBand="0" w:noVBand="0" w:val="0020"/>
      </w:tblPr>
      <w:tblGrid>
        <w:gridCol w:w="2640"/>
        <w:gridCol w:w="2640"/>
        <w:gridCol w:w="2640"/>
      </w:tblGrid>
      <w:tr>
        <w:trPr>
          <w:tblHeader w:val="on"/>
        </w:trPr>
        <w:tc>
          <w:tcPr>
            <w:shd w:val="clear" w:color="auto" w:fill="D9E2F3"/>
          </w:tcPr>
          <w:p>
            <w:pPr>
              <w:pStyle w:val="Compact"/>
            </w:pPr>
            <w:r>
              <w:rPr>
                <w:b/>
                <w:sz w:val="20"/>
              </w:rPr>
              <w:t xml:space="preserve">Category</w:t>
            </w:r>
          </w:p>
        </w:tc>
        <w:tc>
          <w:tcPr>
            <w:shd w:val="clear" w:color="auto" w:fill="D9E2F3"/>
          </w:tcPr>
          <w:p>
            <w:pPr>
              <w:pStyle w:val="Compact"/>
            </w:pPr>
            <w:r>
              <w:rPr>
                <w:b/>
                <w:sz w:val="20"/>
              </w:rPr>
              <w:t xml:space="preserve">Weight</w:t>
            </w:r>
          </w:p>
        </w:tc>
        <w:tc>
          <w:tcPr>
            <w:shd w:val="clear" w:color="auto" w:fill="D9E2F3"/>
          </w:tcPr>
          <w:p>
            <w:pPr>
              <w:pStyle w:val="Compact"/>
            </w:pPr>
            <w:r>
              <w:rPr>
                <w:b/>
                <w:sz w:val="20"/>
              </w:rPr>
              <w:t xml:space="preserve">What It Covers</w:t>
            </w:r>
          </w:p>
        </w:tc>
      </w:tr>
      <w:tr>
        <w:tc>
          <w:tcPr/>
          <w:p>
            <w:pPr>
              <w:pStyle w:val="Compact"/>
            </w:pPr>
            <w:r>
              <w:rPr>
                <w:sz w:val="20"/>
              </w:rPr>
              <w:t xml:space="preserve">The Muddiest Point (MP)</w:t>
            </w:r>
          </w:p>
        </w:tc>
        <w:tc>
          <w:tcPr/>
          <w:p>
            <w:pPr>
              <w:pStyle w:val="Compact"/>
            </w:pPr>
            <w:r>
              <w:rPr>
                <w:b/>
                <w:bCs/>
                <w:sz w:val="20"/>
              </w:rPr>
              <w:t xml:space="preserve">5%</w:t>
            </w:r>
          </w:p>
        </w:tc>
        <w:tc>
          <w:tcPr/>
          <w:p>
            <w:pPr>
              <w:pStyle w:val="Compact"/>
            </w:pPr>
            <w:r>
              <w:rPr>
                <w:sz w:val="20"/>
              </w:rPr>
              <w:t xml:space="preserve">A brief reflection on the most confusing part of the upcoming module, plus one multiple-choice question on the reading, before class.</w:t>
            </w:r>
          </w:p>
        </w:tc>
      </w:tr>
      <w:tr>
        <w:tc>
          <w:tcPr/>
          <w:p>
            <w:pPr>
              <w:pStyle w:val="Compact"/>
            </w:pPr>
            <w:r>
              <w:rPr>
                <w:sz w:val="20"/>
              </w:rPr>
              <w:t xml:space="preserve">Concept Debate (CD)</w:t>
            </w:r>
          </w:p>
        </w:tc>
        <w:tc>
          <w:tcPr/>
          <w:p>
            <w:pPr>
              <w:pStyle w:val="Compact"/>
            </w:pPr>
            <w:r>
              <w:rPr>
                <w:b/>
                <w:bCs/>
                <w:sz w:val="20"/>
              </w:rPr>
              <w:t xml:space="preserve">5%</w:t>
            </w:r>
          </w:p>
        </w:tc>
        <w:tc>
          <w:tcPr/>
          <w:p>
            <w:pPr>
              <w:pStyle w:val="Compact"/>
            </w:pPr>
            <w:r>
              <w:rPr>
                <w:sz w:val="20"/>
              </w:rPr>
              <w:t xml:space="preserve">Respond to a problem from the lecture, discuss with a peer, then commit to and resubmit an answer.</w:t>
            </w:r>
          </w:p>
        </w:tc>
      </w:tr>
      <w:tr>
        <w:tc>
          <w:tcPr/>
          <w:p>
            <w:pPr>
              <w:pStyle w:val="Compact"/>
            </w:pPr>
            <w:r>
              <w:rPr>
                <w:sz w:val="20"/>
              </w:rPr>
              <w:t xml:space="preserve">Knowledge Check (KC)</w:t>
            </w:r>
          </w:p>
        </w:tc>
        <w:tc>
          <w:tcPr/>
          <w:p>
            <w:pPr>
              <w:pStyle w:val="Compact"/>
            </w:pPr>
            <w:r>
              <w:rPr>
                <w:b/>
                <w:bCs/>
                <w:sz w:val="20"/>
              </w:rPr>
              <w:t xml:space="preserve">10%</w:t>
            </w:r>
          </w:p>
        </w:tc>
        <w:tc>
          <w:tcPr/>
          <w:p>
            <w:pPr>
              <w:pStyle w:val="Compact"/>
            </w:pPr>
            <w:r>
              <w:rPr>
                <w:sz w:val="20"/>
              </w:rPr>
              <w:t xml:space="preserve">Weekly quizzes on the module's concepts.</w:t>
            </w:r>
          </w:p>
        </w:tc>
      </w:tr>
    </w:tbl>
    <w:bookmarkEnd w:id="77"/>
    <w:bookmarkStart w:id="78" w:name="the-muddiest-point-mp---grading-criteria"/>
    <w:p>
      <w:pPr>
        <w:pStyle w:val="Heading3"/>
      </w:pPr>
      <w:r>
        <w:t xml:space="preserve">The Muddiest Point (MP) - Grading Criteria</w:t>
      </w:r>
    </w:p>
    <w:p>
      <w:pPr>
        <w:pStyle w:val="FirstParagraph"/>
      </w:pPr>
      <w:r>
        <w:t xml:space="preserve">Before class, students are required to submit the Muddiest Point (MP) activity. The purpose of this activity is to stimulate student engagement. The instructor uses the MP to assess how students understood the required readings. The instructor also uses the MP to customize the lecture scope to implement Just-in-Time Teaching (JiTT). The MP consists of writing a brief reflective essay identifying the most confusing part (i.e., the MP) of the content covered in the upcoming module. If a student understood all concepts, the student needs to explain the most exciting aspect. There is one multiple-choice question from the required reading to demonstrate that the student understood the required readings.</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Participation</w:t>
            </w:r>
          </w:p>
        </w:tc>
        <w:tc>
          <w:tcPr/>
          <w:p>
            <w:pPr>
              <w:pStyle w:val="Compact"/>
            </w:pPr>
            <w:r>
              <w:rPr>
                <w:sz w:val="20"/>
              </w:rPr>
              <w:t xml:space="preserve">80%</w:t>
            </w:r>
          </w:p>
        </w:tc>
      </w:tr>
      <w:tr>
        <w:tc>
          <w:tcPr/>
          <w:p>
            <w:pPr>
              <w:pStyle w:val="Compact"/>
            </w:pPr>
            <w:r>
              <w:rPr>
                <w:sz w:val="20"/>
              </w:rPr>
              <w:t xml:space="preserve">Correctness</w:t>
            </w:r>
          </w:p>
        </w:tc>
        <w:tc>
          <w:tcPr/>
          <w:p>
            <w:pPr>
              <w:pStyle w:val="Compact"/>
            </w:pPr>
            <w:r>
              <w:rPr>
                <w:sz w:val="20"/>
              </w:rPr>
              <w:t xml:space="preserve">20%</w:t>
            </w:r>
          </w:p>
        </w:tc>
      </w:tr>
      <w:tr>
        <w:tc>
          <w:tcPr/>
          <w:p>
            <w:pPr>
              <w:pStyle w:val="Compact"/>
            </w:pPr>
            <w:r>
              <w:rPr>
                <w:sz w:val="20"/>
              </w:rPr>
              <w:t xml:space="preserve">TOTAL</w:t>
            </w:r>
          </w:p>
        </w:tc>
        <w:tc>
          <w:tcPr/>
          <w:p>
            <w:pPr>
              <w:pStyle w:val="Compact"/>
            </w:pPr>
            <w:r>
              <w:rPr>
                <w:sz w:val="20"/>
              </w:rPr>
              <w:t xml:space="preserve">100%</w:t>
            </w:r>
          </w:p>
        </w:tc>
      </w:tr>
    </w:tbl>
    <w:bookmarkEnd w:id="78"/>
    <w:bookmarkStart w:id="79" w:name="concept-debate-cd---grading-criteria"/>
    <w:p>
      <w:pPr>
        <w:pStyle w:val="Heading3"/>
      </w:pPr>
      <w:r>
        <w:t xml:space="preserve">Concept Debate (CD) - Grading Criteria</w:t>
      </w:r>
    </w:p>
    <w:p>
      <w:pPr>
        <w:pStyle w:val="FirstParagraph"/>
      </w:pPr>
      <w:r>
        <w:t xml:space="preserve">The instructor poses a problem based on key concepts of a lecture. After reflecting on the problem, students submit their response and the instructor review them without providing a correct answer. Students discuss their thought process and solution with a peer. Students then commit to an answer and re-submits their responses. Instructor reviews responses and thought processes with the correct answer.</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Participation</w:t>
            </w:r>
          </w:p>
        </w:tc>
        <w:tc>
          <w:tcPr/>
          <w:p>
            <w:pPr>
              <w:pStyle w:val="Compact"/>
            </w:pPr>
            <w:r>
              <w:rPr>
                <w:sz w:val="20"/>
              </w:rPr>
              <w:t xml:space="preserve">50%</w:t>
            </w:r>
          </w:p>
        </w:tc>
      </w:tr>
      <w:tr>
        <w:tc>
          <w:tcPr/>
          <w:p>
            <w:pPr>
              <w:pStyle w:val="Compact"/>
            </w:pPr>
            <w:r>
              <w:rPr>
                <w:sz w:val="20"/>
              </w:rPr>
              <w:t xml:space="preserve">Writing</w:t>
            </w:r>
          </w:p>
        </w:tc>
        <w:tc>
          <w:tcPr/>
          <w:p>
            <w:pPr>
              <w:pStyle w:val="Compact"/>
            </w:pPr>
            <w:r>
              <w:rPr>
                <w:sz w:val="20"/>
              </w:rPr>
              <w:t xml:space="preserve">50%</w:t>
            </w:r>
          </w:p>
        </w:tc>
      </w:tr>
      <w:tr>
        <w:tc>
          <w:tcPr/>
          <w:p>
            <w:pPr>
              <w:pStyle w:val="Compact"/>
            </w:pPr>
            <w:r>
              <w:rPr>
                <w:sz w:val="20"/>
              </w:rPr>
              <w:t xml:space="preserve">TOTAL</w:t>
            </w:r>
          </w:p>
        </w:tc>
        <w:tc>
          <w:tcPr/>
          <w:p>
            <w:pPr>
              <w:pStyle w:val="Compact"/>
            </w:pPr>
            <w:r>
              <w:rPr>
                <w:sz w:val="20"/>
              </w:rPr>
              <w:t xml:space="preserve">100%</w:t>
            </w:r>
          </w:p>
        </w:tc>
      </w:tr>
    </w:tbl>
    <w:bookmarkEnd w:id="79"/>
    <w:bookmarkStart w:id="80" w:name="knowledge-check-kc---grading-criteria"/>
    <w:p>
      <w:pPr>
        <w:pStyle w:val="Heading3"/>
      </w:pPr>
      <w:r>
        <w:t xml:space="preserve">Knowledge Check (KC) - Grading Criteria</w:t>
      </w:r>
    </w:p>
    <w:p>
      <w:pPr>
        <w:pStyle w:val="FirstParagraph"/>
      </w:pPr>
      <w:r>
        <w:t xml:space="preserve">Weekly quizzes measure knowledge concepts acquired. Focus on the underlying principles and concepts rather than memorization to solve the quizzes.</w:t>
      </w:r>
    </w:p>
    <w:tbl>
      <w:tblPr>
        <w:tblStyle w:val="TableGrid"/>
        <w:tblW w:type="auto" w:w="0"/>
        <w:tblLayout w:type="autofit"/>
        <w:tblLook w:firstRow="1" w:lastRow="0" w:firstColumn="0" w:lastColumn="0" w:noHBand="0" w:noVBand="0" w:val="0020"/>
      </w:tblPr>
      <w:tblGrid>
        <w:gridCol w:w="3960"/>
        <w:gridCol w:w="3960"/>
      </w:tblGrid>
      <w:tr>
        <w:trPr>
          <w:tblHeader w:val="on"/>
        </w:trPr>
        <w:tc>
          <w:tcPr>
            <w:shd w:val="clear" w:color="auto" w:fill="D9E2F3"/>
          </w:tcPr>
          <w:p>
            <w:pPr>
              <w:pStyle w:val="Compact"/>
            </w:pPr>
            <w:r>
              <w:rPr>
                <w:b/>
                <w:sz w:val="20"/>
              </w:rPr>
              <w:t xml:space="preserve">Criteria</w:t>
            </w:r>
          </w:p>
        </w:tc>
        <w:tc>
          <w:tcPr>
            <w:shd w:val="clear" w:color="auto" w:fill="D9E2F3"/>
          </w:tcPr>
          <w:p>
            <w:pPr>
              <w:pStyle w:val="Compact"/>
            </w:pPr>
            <w:r>
              <w:rPr>
                <w:b/>
                <w:sz w:val="20"/>
              </w:rPr>
              <w:t xml:space="preserve">% of Grade</w:t>
            </w:r>
          </w:p>
        </w:tc>
      </w:tr>
      <w:tr>
        <w:tc>
          <w:tcPr/>
          <w:p>
            <w:pPr>
              <w:pStyle w:val="Compact"/>
            </w:pPr>
            <w:r>
              <w:rPr>
                <w:sz w:val="20"/>
              </w:rPr>
              <w:t xml:space="preserve">Correctness</w:t>
            </w:r>
          </w:p>
        </w:tc>
        <w:tc>
          <w:tcPr/>
          <w:p>
            <w:pPr>
              <w:pStyle w:val="Compact"/>
            </w:pPr>
            <w:r>
              <w:rPr>
                <w:sz w:val="20"/>
              </w:rPr>
              <w:t xml:space="preserve">100%</w:t>
            </w:r>
          </w:p>
        </w:tc>
      </w:tr>
      <w:tr>
        <w:tc>
          <w:tcPr/>
          <w:p>
            <w:pPr>
              <w:pStyle w:val="Compact"/>
            </w:pPr>
            <w:r>
              <w:rPr>
                <w:sz w:val="20"/>
              </w:rPr>
              <w:t xml:space="preserve">TOTAL</w:t>
            </w:r>
          </w:p>
        </w:tc>
        <w:tc>
          <w:tcPr/>
          <w:p>
            <w:pPr>
              <w:pStyle w:val="Compact"/>
            </w:pPr>
            <w:r>
              <w:rPr>
                <w:sz w:val="20"/>
              </w:rPr>
              <w:t xml:space="preserve">100%</w:t>
            </w:r>
          </w:p>
        </w:tc>
      </w:tr>
    </w:tbl>
    <w:bookmarkEnd w:id="80"/>
    <w:bookmarkEnd w:id="81"/>
    <w:bookmarkStart w:id="82" w:name="course-policies"/>
    <w:p>
      <w:pPr>
        <w:pStyle w:val="Heading1"/>
      </w:pPr>
      <w:r>
        <w:t xml:space="preserve">Course Policies</w:t>
      </w:r>
    </w:p>
    <w:p>
      <w:pPr>
        <w:pStyle w:val="FirstParagraph"/>
      </w:pPr>
      <w:r>
        <w:t xml:space="preserve">Course policies on topics such as</w:t>
      </w:r>
      <w:r>
        <w:t xml:space="preserve"> </w:t>
      </w:r>
      <w:r>
        <w:rPr>
          <w:i/>
          <w:iCs/>
        </w:rPr>
        <w:t xml:space="preserve">Late Assignments, Participation,</w:t>
      </w:r>
      <w:r>
        <w:t xml:space="preserve"> </w:t>
      </w:r>
      <w:r>
        <w:t xml:space="preserve">and</w:t>
      </w:r>
      <w:r>
        <w:t xml:space="preserve"> </w:t>
      </w:r>
      <w:r>
        <w:rPr>
          <w:i/>
          <w:iCs/>
        </w:rPr>
        <w:t xml:space="preserve">Professional Writing</w:t>
      </w:r>
      <w:r>
        <w:t xml:space="preserve"> </w:t>
      </w:r>
      <w:r>
        <w:t xml:space="preserve">are found under</w:t>
      </w:r>
      <w:r>
        <w:t xml:space="preserve"> </w:t>
      </w:r>
      <w:r>
        <w:rPr>
          <w:i/>
          <w:iCs/>
        </w:rPr>
        <w:t xml:space="preserve">Course Information</w:t>
      </w:r>
      <w:r>
        <w:t xml:space="preserve"> </w:t>
      </w:r>
      <w:r>
        <w:t xml:space="preserve">in the online course menu. Students are responsible for reviewing and applying these policies while enrolled in this course.</w:t>
      </w:r>
    </w:p>
    <w:bookmarkEnd w:id="82"/>
    <w:bookmarkStart w:id="91" w:name="university-policies"/>
    <w:p>
      <w:pPr>
        <w:pStyle w:val="Heading1"/>
      </w:pPr>
      <w:r>
        <w:t xml:space="preserve">University Policies</w:t>
      </w:r>
    </w:p>
    <w:p>
      <w:pPr>
        <w:pStyle w:val="FirstParagraph"/>
      </w:pPr>
      <w:r>
        <w:t xml:space="preserve">Students are responsible for understanding and adhering to all of City University of Seattle’s academic policies. The most current versions of these policies can be found in the</w:t>
      </w:r>
      <w:r>
        <w:t xml:space="preserve"> </w:t>
      </w:r>
      <w:hyperlink r:id="rId65">
        <w:r>
          <w:rPr>
            <w:rStyle w:val="Hyperlink"/>
          </w:rPr>
          <w:t xml:space="preserve">University Catalog</w:t>
        </w:r>
      </w:hyperlink>
      <w:r>
        <w:t xml:space="preserve"> </w:t>
      </w:r>
      <w:r>
        <w:t xml:space="preserve">that is linked from the CityU Web site.</w:t>
      </w:r>
    </w:p>
    <w:bookmarkStart w:id="83" w:name="antidiscrimination"/>
    <w:p>
      <w:pPr>
        <w:pStyle w:val="Heading3"/>
      </w:pPr>
      <w:r>
        <w:t xml:space="preserve">Antidiscrimination</w:t>
      </w:r>
    </w:p>
    <w:p>
      <w:pPr>
        <w:pStyle w:val="FirstParagraph"/>
      </w:pPr>
      <w:r>
        <w:t xml:space="preserve">City University of Seattle and its staff and faculty are committed to supporting our students. We value equity, diversity, and inclusion as a way of life as well as the educational opportunities it provides. City U will not tolerate any form of discrimination based on race, color, ethnicity, sexual orientation, gender identification, socioeconomic status, or religious values. If you have experienced any discrimination based on any of the above, we encourage you to report this to the University. Please report this to your instructor. If you do not feel safe reporting this to your instructor, please report to the Provost or to the Vice President of Student Affairs.</w:t>
      </w:r>
    </w:p>
    <w:bookmarkEnd w:id="83"/>
    <w:bookmarkStart w:id="86" w:name="X2ff45ddce780929933e3af26cae32f79067fee3"/>
    <w:p>
      <w:pPr>
        <w:pStyle w:val="Heading3"/>
      </w:pPr>
      <w:r>
        <w:t xml:space="preserve">Non-Discrimination &amp; Prohibition of Sexual Harassment</w:t>
      </w:r>
    </w:p>
    <w:p>
      <w:pPr>
        <w:pStyle w:val="FirstParagraph"/>
      </w:pPr>
      <w:r>
        <w:t xml:space="preserve">City University of Seattle adheres to all federal, state, and local civil rights laws prohibiting discrimination in employment and education. The University is committed to ensuring that the education environment is bounded by standards of mutual respect and safety and is free from discriminatory practices.</w:t>
      </w:r>
    </w:p>
    <w:p>
      <w:pPr>
        <w:pStyle w:val="BodyText"/>
      </w:pPr>
      <w:r>
        <w:t xml:space="preserve">In the U.S., the University is required by Title IX of the Education Amendments of 1972 to ensure that all of its education programs and activities do not discriminate on the basis of sex/gender. Sex include sex, sex stereotypes, gender identity, gender expression, sexual orientation, and pregnancy or parenting status. Sexual harassment, sexual assault, dating and domestic violence, and stalking are forms of sex discrimination, which are prohibited under Title IX and by City University of Seattle policy. City University of Seattle also prohibits retaliation against any person opposing discrimination or participating in any discrimination investigation or complaint process internal or external to the institution. Questions regarding Title IX, including its application and/or concerns about noncompliance, should be directed at Title IX Coordinator. For a complete copy of the policy or for more information, visit the</w:t>
      </w:r>
      <w:r>
        <w:t xml:space="preserve"> </w:t>
      </w:r>
      <w:hyperlink r:id="rId84">
        <w:r>
          <w:rPr>
            <w:rStyle w:val="Hyperlink"/>
          </w:rPr>
          <w:t xml:space="preserve">CityU website</w:t>
        </w:r>
      </w:hyperlink>
      <w:r>
        <w:t xml:space="preserve"> </w:t>
      </w:r>
      <w:r>
        <w:t xml:space="preserve">or contact the Title IX Coordinator.</w:t>
      </w:r>
    </w:p>
    <w:p>
      <w:pPr>
        <w:pStyle w:val="BodyText"/>
      </w:pPr>
      <w:r>
        <w:t xml:space="preserve">In Canada, in compliance with the British Columbia Human Rights Code, the Alberta Human Rights Act, WorksafeBC, and the Workers’ Compensation Board of Alberta, the University believes that its environment should at all times be supportive and respectful of the dignity and self-esteem of individuals. Discrimination, harassment and bullying conduct, whether through person-to-person behavior or via electronic communications such as email or social media is not acceptable and will not be tolerated. As an educational institution, it is our responsibility to cultivate an environment of excellence, equity, mutual respect and to recognize the value and potential of every individual. The University will take all necessary steps to meet or exceed the requirements of the law to prevent discrimination, harassment and bullying. The Respectful Workplace Policy for the prevention of discrimination, harassment and bullying policy and procedure can be found at</w:t>
      </w:r>
      <w:r>
        <w:t xml:space="preserve"> </w:t>
      </w:r>
      <w:hyperlink r:id="rId85">
        <w:r>
          <w:rPr>
            <w:rStyle w:val="Hyperlink"/>
          </w:rPr>
          <w:t xml:space="preserve">CityU in Canada</w:t>
        </w:r>
      </w:hyperlink>
      <w:r>
        <w:t xml:space="preserve"> </w:t>
      </w:r>
      <w:r>
        <w:t xml:space="preserve">website.</w:t>
      </w:r>
    </w:p>
    <w:bookmarkEnd w:id="86"/>
    <w:bookmarkStart w:id="87" w:name="religious-accommodations"/>
    <w:p>
      <w:pPr>
        <w:pStyle w:val="Heading3"/>
      </w:pPr>
      <w:r>
        <w:t xml:space="preserve">Religious Accommodations</w:t>
      </w:r>
    </w:p>
    <w:p>
      <w:pPr>
        <w:pStyle w:val="FirstParagraph"/>
      </w:pPr>
      <w:r>
        <w:t xml:space="preserve">City University of Seattle has a policy for accommodation of student absences or significant hardship due to reasons of faith or conscience, or for organized religious activities. The University’s policy, including more information about how to request accommodation, is available in the University Catalog and on the my.cityu.edu student portal. Accommodation must be requested by the 20% mark of this course (e.g. day 14 of a ten-week course, day 7 of a 5-week course) using the Religious Accommodations Request Form found on the student dashboard in the my.cityu.edu student portal.</w:t>
      </w:r>
    </w:p>
    <w:bookmarkEnd w:id="87"/>
    <w:bookmarkStart w:id="88" w:name="academic-integrity"/>
    <w:p>
      <w:pPr>
        <w:pStyle w:val="Heading3"/>
      </w:pPr>
      <w:r>
        <w:t xml:space="preserve">Academic Integrity</w:t>
      </w:r>
    </w:p>
    <w:p>
      <w:pPr>
        <w:pStyle w:val="FirstParagraph"/>
      </w:pPr>
      <w:r>
        <w:t xml:space="preserve">Academic integrity in students requires the pursuit of scholarly activity that is free from fraud, deception and unauthorized collaboration with other individuals. Students are responsible for understanding CityU’s policy on academic integrity and adhering to its standards in meeting all course requirements. A complete copy of this policy can be found in the</w:t>
      </w:r>
      <w:r>
        <w:t xml:space="preserve"> </w:t>
      </w:r>
      <w:hyperlink r:id="rId65">
        <w:r>
          <w:rPr>
            <w:rStyle w:val="Hyperlink"/>
          </w:rPr>
          <w:t xml:space="preserve">University Catalog</w:t>
        </w:r>
      </w:hyperlink>
      <w:r>
        <w:t xml:space="preserve"> </w:t>
      </w:r>
      <w:r>
        <w:t xml:space="preserve">under</w:t>
      </w:r>
      <w:r>
        <w:t xml:space="preserve"> </w:t>
      </w:r>
      <w:r>
        <w:rPr>
          <w:i/>
          <w:iCs/>
        </w:rPr>
        <w:t xml:space="preserve">Student Rights and Responsibilities</w:t>
      </w:r>
      <w:r>
        <w:t xml:space="preserve"> </w:t>
      </w:r>
      <w:r>
        <w:t xml:space="preserve">on the page titled</w:t>
      </w:r>
      <w:r>
        <w:t xml:space="preserve"> </w:t>
      </w:r>
      <w:r>
        <w:rPr>
          <w:i/>
          <w:iCs/>
        </w:rPr>
        <w:t xml:space="preserve">Academic Integrity Policy.</w:t>
      </w:r>
    </w:p>
    <w:bookmarkEnd w:id="88"/>
    <w:bookmarkStart w:id="89" w:name="attendance"/>
    <w:p>
      <w:pPr>
        <w:pStyle w:val="Heading3"/>
      </w:pPr>
      <w:r>
        <w:t xml:space="preserve">Attendance</w:t>
      </w:r>
    </w:p>
    <w:p>
      <w:pPr>
        <w:pStyle w:val="FirstParagraph"/>
      </w:pPr>
      <w:r>
        <w:t xml:space="preserve">Students taking courses in any format at the University are expected to be diligent in their studies and to attend class regularly.</w:t>
      </w:r>
    </w:p>
    <w:p>
      <w:pPr>
        <w:pStyle w:val="BodyText"/>
      </w:pPr>
      <w:r>
        <w:t xml:space="preserve">Regular class attendance is important in achieving learning outcomes in the course and may be a valid consideration in determining the final grade. For classes where a physical presence is required, a student has attended if they are present at any time during the class session. For online classes, a student has attended if they have posted or submitted an assignment. A complete copy of this policy can be in the</w:t>
      </w:r>
      <w:r>
        <w:t xml:space="preserve"> </w:t>
      </w:r>
      <w:hyperlink r:id="rId65">
        <w:r>
          <w:rPr>
            <w:rStyle w:val="Hyperlink"/>
          </w:rPr>
          <w:t xml:space="preserve">University Catalog</w:t>
        </w:r>
      </w:hyperlink>
      <w:r>
        <w:t xml:space="preserve"> </w:t>
      </w:r>
      <w:r>
        <w:t xml:space="preserve">under</w:t>
      </w:r>
      <w:r>
        <w:t xml:space="preserve"> </w:t>
      </w:r>
      <w:r>
        <w:rPr>
          <w:i/>
          <w:iCs/>
        </w:rPr>
        <w:t xml:space="preserve">Student Rights and Responsibilities</w:t>
      </w:r>
      <w:r>
        <w:t xml:space="preserve"> </w:t>
      </w:r>
      <w:r>
        <w:t xml:space="preserve">on the page titled</w:t>
      </w:r>
      <w:r>
        <w:t xml:space="preserve"> </w:t>
      </w:r>
      <w:r>
        <w:rPr>
          <w:i/>
          <w:iCs/>
        </w:rPr>
        <w:t xml:space="preserve">Attendance.</w:t>
      </w:r>
    </w:p>
    <w:bookmarkEnd w:id="89"/>
    <w:bookmarkStart w:id="90" w:name="final-assignment-due-date"/>
    <w:p>
      <w:pPr>
        <w:pStyle w:val="Heading3"/>
      </w:pPr>
      <w:r>
        <w:t xml:space="preserve">Final Assignment Due Date</w:t>
      </w:r>
    </w:p>
    <w:p>
      <w:pPr>
        <w:pStyle w:val="FirstParagraph"/>
      </w:pPr>
      <w:r>
        <w:t xml:space="preserve">Final assignments for each class at CityU must be due on or before the final date of the course as indicated in the university’s course information system. Due dates that extend beyond the final date of the course may negatively impact on tuition funding for students.</w:t>
      </w:r>
    </w:p>
    <w:bookmarkEnd w:id="90"/>
    <w:bookmarkEnd w:id="91"/>
    <w:bookmarkStart w:id="100" w:name="support-services"/>
    <w:p>
      <w:pPr>
        <w:pStyle w:val="Heading1"/>
      </w:pPr>
      <w:r>
        <w:t xml:space="preserve">Support Services</w:t>
      </w:r>
    </w:p>
    <w:bookmarkStart w:id="94" w:name="Xb1dc09c17d2b639f5600231a5d938c0f17bb2ae"/>
    <w:p>
      <w:pPr>
        <w:pStyle w:val="Heading3"/>
      </w:pPr>
      <w:r>
        <w:t xml:space="preserve">Disability Services Accommodations Statement</w:t>
      </w:r>
    </w:p>
    <w:p>
      <w:pPr>
        <w:pStyle w:val="FirstParagraph"/>
      </w:pPr>
      <w:r>
        <w:t xml:space="preserve">Students with a documented disability who wish to request academic accommodation are encouraged to contact Disability Support Services to discuss accommodation requests and eligibility requirements. Please contact Disability Support Services at</w:t>
      </w:r>
      <w:r>
        <w:t xml:space="preserve"> </w:t>
      </w:r>
      <w:hyperlink r:id="rId92">
        <w:r>
          <w:rPr>
            <w:rStyle w:val="Hyperlink"/>
          </w:rPr>
          <w:t xml:space="preserve">accommodations@cityu.edu</w:t>
        </w:r>
      </w:hyperlink>
      <w:r>
        <w:t xml:space="preserve"> </w:t>
      </w:r>
      <w:r>
        <w:t xml:space="preserve">or 206.239.4752. Visit the</w:t>
      </w:r>
      <w:r>
        <w:t xml:space="preserve"> </w:t>
      </w:r>
      <w:hyperlink r:id="rId93">
        <w:r>
          <w:rPr>
            <w:rStyle w:val="Hyperlink"/>
          </w:rPr>
          <w:t xml:space="preserve">Student Accommodations Office</w:t>
        </w:r>
      </w:hyperlink>
      <w:r>
        <w:t xml:space="preserve"> </w:t>
      </w:r>
      <w:r>
        <w:t xml:space="preserve">page on the my.cityu.edu portal or in the</w:t>
      </w:r>
      <w:r>
        <w:t xml:space="preserve"> </w:t>
      </w:r>
      <w:r>
        <w:rPr>
          <w:i/>
          <w:iCs/>
        </w:rPr>
        <w:t xml:space="preserve">Start Your Course Here</w:t>
      </w:r>
      <w:r>
        <w:t xml:space="preserve"> </w:t>
      </w:r>
      <w:r>
        <w:t xml:space="preserve">module in your course under</w:t>
      </w:r>
      <w:r>
        <w:t xml:space="preserve"> </w:t>
      </w:r>
      <w:r>
        <w:rPr>
          <w:i/>
          <w:iCs/>
        </w:rPr>
        <w:t xml:space="preserve">Support Services</w:t>
      </w:r>
      <w:r>
        <w:t xml:space="preserve">. Confidentiality will be observed in all inquiries. Once approved, information about academic accommodation will be shared with course instructors.</w:t>
      </w:r>
    </w:p>
    <w:bookmarkEnd w:id="94"/>
    <w:bookmarkStart w:id="97" w:name="library-services"/>
    <w:p>
      <w:pPr>
        <w:pStyle w:val="Heading3"/>
      </w:pPr>
      <w:r>
        <w:t xml:space="preserve">Library Services</w:t>
      </w:r>
    </w:p>
    <w:p>
      <w:pPr>
        <w:pStyle w:val="FirstParagraph"/>
      </w:pPr>
      <w:r>
        <w:t xml:space="preserve">CityU librarians are available to help students find the resources and information they need to succeed in this course. Contact a CityU librarian through the</w:t>
      </w:r>
      <w:r>
        <w:t xml:space="preserve"> </w:t>
      </w:r>
      <w:hyperlink r:id="rId95">
        <w:r>
          <w:rPr>
            <w:rStyle w:val="Hyperlink"/>
          </w:rPr>
          <w:t xml:space="preserve">Ask a Librarian</w:t>
        </w:r>
      </w:hyperlink>
      <w:r>
        <w:t xml:space="preserve"> </w:t>
      </w:r>
      <w:r>
        <w:t xml:space="preserve">service, or access</w:t>
      </w:r>
      <w:r>
        <w:t xml:space="preserve"> </w:t>
      </w:r>
      <w:hyperlink r:id="rId96">
        <w:r>
          <w:rPr>
            <w:rStyle w:val="Hyperlink"/>
          </w:rPr>
          <w:t xml:space="preserve">library resources and services online</w:t>
        </w:r>
      </w:hyperlink>
      <w:r>
        <w:t xml:space="preserve">, 24 hours a day, seven days a week.</w:t>
      </w:r>
    </w:p>
    <w:bookmarkEnd w:id="97"/>
    <w:bookmarkStart w:id="99" w:name="online-tutoring"/>
    <w:p>
      <w:pPr>
        <w:pStyle w:val="Heading3"/>
      </w:pPr>
      <w:r>
        <w:t xml:space="preserve">Online Tutoring</w:t>
      </w:r>
    </w:p>
    <w:p>
      <w:pPr>
        <w:pStyle w:val="FirstParagraph"/>
      </w:pPr>
      <w:r>
        <w:t xml:space="preserve">CityU students have access to free online tutoring offered through Brainfuse, including writing support, from certified tutors 24 hours a day, seven days a week. Visit the</w:t>
      </w:r>
      <w:r>
        <w:t xml:space="preserve"> </w:t>
      </w:r>
      <w:hyperlink r:id="rId98">
        <w:r>
          <w:rPr>
            <w:rStyle w:val="Hyperlink"/>
          </w:rPr>
          <w:t xml:space="preserve">Brainfuse</w:t>
        </w:r>
      </w:hyperlink>
      <w:r>
        <w:t xml:space="preserve"> </w:t>
      </w:r>
      <w:r>
        <w:t xml:space="preserve">page on the my.cityu.edu portal for more information.</w:t>
      </w:r>
    </w:p>
    <w:bookmarkEnd w:id="99"/>
    <w:bookmarkEnd w:id="100"/>
    <w:bookmarkStart w:id="101" w:name="course-schedule"/>
    <w:p>
      <w:pPr>
        <w:pStyle w:val="Heading1"/>
      </w:pPr>
      <w:r>
        <w:t xml:space="preserve">Course Schedule</w:t>
      </w:r>
    </w:p>
    <w:p>
      <w:pPr>
        <w:pStyle w:val="FirstParagraph"/>
      </w:pPr>
      <w:r>
        <w:t xml:space="preserve">Module topics follow CS 251's order through Module 7, then extend into the AI-math topics of the AI 251 description. MP = Muddiest Point, CD = Concept Debate, HOS = Hands-On Skill, PE = Programming Exercise, KC = Knowledge Check, TP = Team Project.</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p>
            <w:pPr>
              <w:pStyle w:val="Compact"/>
            </w:pPr>
            <w:r>
              <w:rPr>
                <w:b/>
                <w:sz w:val="20"/>
              </w:rPr>
              <w:t xml:space="preserve">Week</w:t>
            </w:r>
          </w:p>
        </w:tc>
        <w:tc>
          <w:tcPr>
            <w:shd w:val="clear" w:color="auto" w:fill="D9E2F3"/>
          </w:tcPr>
          <w:p>
            <w:pPr>
              <w:pStyle w:val="Compact"/>
            </w:pPr>
            <w:r>
              <w:rPr>
                <w:b/>
                <w:sz w:val="20"/>
              </w:rPr>
              <w:t xml:space="preserve">Focus</w:t>
            </w:r>
          </w:p>
        </w:tc>
        <w:tc>
          <w:tcPr>
            <w:shd w:val="clear" w:color="auto" w:fill="D9E2F3"/>
          </w:tcPr>
          <w:p>
            <w:pPr>
              <w:pStyle w:val="Compact"/>
            </w:pPr>
            <w:r>
              <w:rPr>
                <w:b/>
                <w:sz w:val="20"/>
              </w:rPr>
              <w:t xml:space="preserve">Readings</w:t>
            </w:r>
          </w:p>
        </w:tc>
        <w:tc>
          <w:tcPr>
            <w:shd w:val="clear" w:color="auto" w:fill="D9E2F3"/>
          </w:tcPr>
          <w:p>
            <w:pPr>
              <w:pStyle w:val="Compact"/>
            </w:pPr>
            <w:r>
              <w:rPr>
                <w:b/>
                <w:sz w:val="20"/>
              </w:rPr>
              <w:t xml:space="preserve">Activities &amp; Due</w:t>
            </w:r>
          </w:p>
        </w:tc>
        <w:tc>
          <w:tcPr>
            <w:shd w:val="clear" w:color="auto" w:fill="D9E2F3"/>
          </w:tcPr>
          <w:p>
            <w:pPr>
              <w:pStyle w:val="Compact"/>
            </w:pPr>
            <w:r>
              <w:rPr>
                <w:b/>
                <w:sz w:val="20"/>
              </w:rPr>
              <w:t xml:space="preserve">Outcome</w:t>
            </w:r>
          </w:p>
        </w:tc>
      </w:tr>
      <w:tr>
        <w:tc>
          <w:tcPr/>
          <w:p>
            <w:pPr>
              <w:pStyle w:val="Compact"/>
            </w:pPr>
            <w:r>
              <w:rPr>
                <w:b/>
                <w:bCs/>
                <w:sz w:val="20"/>
              </w:rPr>
              <w:t xml:space="preserve">1</w:t>
            </w:r>
          </w:p>
        </w:tc>
        <w:tc>
          <w:tcPr/>
          <w:p>
            <w:pPr>
              <w:pStyle w:val="Compact"/>
            </w:pPr>
            <w:r>
              <w:rPr>
                <w:b/>
                <w:bCs/>
                <w:sz w:val="20"/>
              </w:rPr>
              <w:t xml:space="preserve">Getting Started with Statistical Analysis in Python</w:t>
            </w:r>
          </w:p>
        </w:tc>
        <w:tc>
          <w:tcPr/>
          <w:p>
            <w:pPr>
              <w:pStyle w:val="Compact"/>
            </w:pPr>
            <w:r>
              <w:rPr>
                <w:i/>
                <w:iCs/>
                <w:sz w:val="20"/>
              </w:rPr>
              <w:t xml:space="preserve">Think Stats</w:t>
            </w:r>
            <w:r>
              <w:rPr>
                <w:sz w:val="20"/>
              </w:rPr>
              <w:t xml:space="preserve">: Exploratory Data Analysis · Week 1 Python ramp-up notebook</w:t>
            </w:r>
          </w:p>
        </w:tc>
        <w:tc>
          <w:tcPr/>
          <w:p>
            <w:pPr>
              <w:pStyle w:val="Compact"/>
            </w:pPr>
            <w:r>
              <w:rPr>
                <w:sz w:val="20"/>
              </w:rPr>
              <w:t xml:space="preserve">Student Introductory Assignment · MP · CD · HOS · PE · KC · TP Proposal announced</w:t>
            </w:r>
          </w:p>
        </w:tc>
        <w:tc>
          <w:tcPr/>
          <w:p>
            <w:pPr>
              <w:pStyle w:val="Compact"/>
            </w:pPr>
            <w:r>
              <w:rPr>
                <w:sz w:val="20"/>
              </w:rPr>
              <w:t xml:space="preserve">O2</w:t>
            </w:r>
          </w:p>
        </w:tc>
      </w:tr>
      <w:tr>
        <w:tc>
          <w:tcPr/>
          <w:p>
            <w:pPr>
              <w:pStyle w:val="Compact"/>
            </w:pPr>
            <w:r>
              <w:rPr>
                <w:b/>
                <w:bCs/>
                <w:sz w:val="20"/>
              </w:rPr>
              <w:t xml:space="preserve">2</w:t>
            </w:r>
          </w:p>
        </w:tc>
        <w:tc>
          <w:tcPr/>
          <w:p>
            <w:pPr>
              <w:pStyle w:val="Compact"/>
            </w:pPr>
            <w:r>
              <w:rPr>
                <w:b/>
                <w:bCs/>
                <w:sz w:val="20"/>
              </w:rPr>
              <w:t xml:space="preserve">Describing Data with Graphs</w:t>
            </w:r>
          </w:p>
        </w:tc>
        <w:tc>
          <w:tcPr/>
          <w:p>
            <w:pPr>
              <w:pStyle w:val="Compact"/>
            </w:pPr>
            <w:r>
              <w:rPr>
                <w:i/>
                <w:iCs/>
                <w:sz w:val="20"/>
              </w:rPr>
              <w:t xml:space="preserve">Think Stats</w:t>
            </w:r>
            <w:r>
              <w:rPr>
                <w:sz w:val="20"/>
              </w:rPr>
              <w:t xml:space="preserve">: Distributions</w:t>
            </w:r>
          </w:p>
        </w:tc>
        <w:tc>
          <w:tcPr/>
          <w:p>
            <w:pPr>
              <w:pStyle w:val="Compact"/>
            </w:pPr>
            <w:r>
              <w:rPr>
                <w:sz w:val="20"/>
              </w:rPr>
              <w:t xml:space="preserve">MP · CD · HOS · PE · KC</w:t>
            </w:r>
          </w:p>
        </w:tc>
        <w:tc>
          <w:tcPr/>
          <w:p>
            <w:pPr>
              <w:pStyle w:val="Compact"/>
            </w:pPr>
            <w:r>
              <w:rPr>
                <w:sz w:val="20"/>
              </w:rPr>
              <w:t xml:space="preserve">O2</w:t>
            </w:r>
          </w:p>
        </w:tc>
      </w:tr>
      <w:tr>
        <w:tc>
          <w:tcPr/>
          <w:p>
            <w:pPr>
              <w:pStyle w:val="Compact"/>
            </w:pPr>
            <w:r>
              <w:rPr>
                <w:b/>
                <w:bCs/>
                <w:sz w:val="20"/>
              </w:rPr>
              <w:t xml:space="preserve">3</w:t>
            </w:r>
          </w:p>
        </w:tc>
        <w:tc>
          <w:tcPr/>
          <w:p>
            <w:pPr>
              <w:pStyle w:val="Compact"/>
            </w:pPr>
            <w:r>
              <w:rPr>
                <w:b/>
                <w:bCs/>
                <w:sz w:val="20"/>
              </w:rPr>
              <w:t xml:space="preserve">Describing Data with Descriptive Measures and the Normal Distribution</w:t>
            </w:r>
          </w:p>
        </w:tc>
        <w:tc>
          <w:tcPr/>
          <w:p>
            <w:pPr>
              <w:pStyle w:val="Compact"/>
            </w:pPr>
            <w:r>
              <w:rPr>
                <w:i/>
                <w:iCs/>
                <w:sz w:val="20"/>
              </w:rPr>
              <w:t xml:space="preserve">Think Stats</w:t>
            </w:r>
            <w:r>
              <w:rPr>
                <w:sz w:val="20"/>
              </w:rPr>
              <w:t xml:space="preserve">: Summary statistics; Modeling distributions</w:t>
            </w:r>
          </w:p>
        </w:tc>
        <w:tc>
          <w:tcPr/>
          <w:p>
            <w:pPr>
              <w:pStyle w:val="Compact"/>
            </w:pPr>
            <w:r>
              <w:rPr>
                <w:sz w:val="20"/>
              </w:rPr>
              <w:t xml:space="preserve">MP · CD · HOS · PE · KC ·</w:t>
            </w:r>
            <w:r>
              <w:rPr>
                <w:sz w:val="20"/>
              </w:rPr>
              <w:t xml:space="preserve"> </w:t>
            </w:r>
            <w:r>
              <w:rPr>
                <w:b/>
                <w:bCs/>
                <w:sz w:val="20"/>
              </w:rPr>
              <w:t xml:space="preserve">TP01 Proposal due</w:t>
            </w:r>
          </w:p>
        </w:tc>
        <w:tc>
          <w:tcPr/>
          <w:p>
            <w:pPr>
              <w:pStyle w:val="Compact"/>
            </w:pPr>
            <w:r>
              <w:rPr>
                <w:sz w:val="20"/>
              </w:rPr>
              <w:t xml:space="preserve">O1, O4</w:t>
            </w:r>
          </w:p>
        </w:tc>
      </w:tr>
      <w:tr>
        <w:tc>
          <w:tcPr/>
          <w:p>
            <w:pPr>
              <w:pStyle w:val="Compact"/>
            </w:pPr>
            <w:r>
              <w:rPr>
                <w:b/>
                <w:bCs/>
                <w:sz w:val="20"/>
              </w:rPr>
              <w:t xml:space="preserve">4</w:t>
            </w:r>
          </w:p>
        </w:tc>
        <w:tc>
          <w:tcPr/>
          <w:p>
            <w:pPr>
              <w:pStyle w:val="Compact"/>
            </w:pPr>
            <w:r>
              <w:rPr>
                <w:b/>
                <w:bCs/>
                <w:sz w:val="20"/>
              </w:rPr>
              <w:t xml:space="preserve">Understanding Basic Concepts of Probability</w:t>
            </w:r>
          </w:p>
        </w:tc>
        <w:tc>
          <w:tcPr/>
          <w:p>
            <w:pPr>
              <w:pStyle w:val="Compact"/>
            </w:pPr>
            <w:r>
              <w:rPr>
                <w:i/>
                <w:iCs/>
                <w:sz w:val="20"/>
              </w:rPr>
              <w:t xml:space="preserve">Think Stats</w:t>
            </w:r>
            <w:r>
              <w:rPr>
                <w:sz w:val="20"/>
              </w:rPr>
              <w:t xml:space="preserve">: Probability mass and density functions · Danka &amp; Valdarrama: Probability</w:t>
            </w:r>
          </w:p>
        </w:tc>
        <w:tc>
          <w:tcPr/>
          <w:p>
            <w:pPr>
              <w:pStyle w:val="Compact"/>
            </w:pPr>
            <w:r>
              <w:rPr>
                <w:sz w:val="20"/>
              </w:rPr>
              <w:t xml:space="preserve">MP · CD · HOS · PE · KC · TP Progress announced</w:t>
            </w:r>
          </w:p>
        </w:tc>
        <w:tc>
          <w:tcPr/>
          <w:p>
            <w:pPr>
              <w:pStyle w:val="Compact"/>
            </w:pPr>
            <w:r>
              <w:rPr>
                <w:sz w:val="20"/>
              </w:rPr>
              <w:t xml:space="preserve">O4</w:t>
            </w:r>
          </w:p>
        </w:tc>
      </w:tr>
      <w:tr>
        <w:tc>
          <w:tcPr/>
          <w:p>
            <w:pPr>
              <w:pStyle w:val="Compact"/>
            </w:pPr>
            <w:r>
              <w:rPr>
                <w:b/>
                <w:bCs/>
                <w:sz w:val="20"/>
              </w:rPr>
              <w:t xml:space="preserve">5</w:t>
            </w:r>
          </w:p>
        </w:tc>
        <w:tc>
          <w:tcPr/>
          <w:p>
            <w:pPr>
              <w:pStyle w:val="Compact"/>
            </w:pPr>
            <w:r>
              <w:rPr>
                <w:b/>
                <w:bCs/>
                <w:sz w:val="20"/>
              </w:rPr>
              <w:t xml:space="preserve">Estimating Intervals and Hypothesis Testing with One and Two Samples</w:t>
            </w:r>
          </w:p>
        </w:tc>
        <w:tc>
          <w:tcPr/>
          <w:p>
            <w:pPr>
              <w:pStyle w:val="Compact"/>
            </w:pPr>
            <w:r>
              <w:rPr>
                <w:i/>
                <w:iCs/>
                <w:sz w:val="20"/>
              </w:rPr>
              <w:t xml:space="preserve">Think Stats</w:t>
            </w:r>
            <w:r>
              <w:rPr>
                <w:sz w:val="20"/>
              </w:rPr>
              <w:t xml:space="preserve">: Estimation; Hypothesis testing</w:t>
            </w:r>
          </w:p>
        </w:tc>
        <w:tc>
          <w:tcPr/>
          <w:p>
            <w:pPr>
              <w:pStyle w:val="Compact"/>
            </w:pPr>
            <w:r>
              <w:rPr>
                <w:sz w:val="20"/>
              </w:rPr>
              <w:t xml:space="preserve">MP · CD · HOS · PE · KC</w:t>
            </w:r>
          </w:p>
        </w:tc>
        <w:tc>
          <w:tcPr/>
          <w:p>
            <w:pPr>
              <w:pStyle w:val="Compact"/>
            </w:pPr>
            <w:r>
              <w:rPr>
                <w:sz w:val="20"/>
              </w:rPr>
              <w:t xml:space="preserve">O1</w:t>
            </w:r>
          </w:p>
        </w:tc>
      </w:tr>
      <w:tr>
        <w:tc>
          <w:tcPr/>
          <w:p>
            <w:pPr>
              <w:pStyle w:val="Compact"/>
            </w:pPr>
            <w:r>
              <w:rPr>
                <w:b/>
                <w:bCs/>
                <w:sz w:val="20"/>
              </w:rPr>
              <w:t xml:space="preserve">6</w:t>
            </w:r>
          </w:p>
        </w:tc>
        <w:tc>
          <w:tcPr/>
          <w:p>
            <w:pPr>
              <w:pStyle w:val="Compact"/>
            </w:pPr>
            <w:r>
              <w:rPr>
                <w:b/>
                <w:bCs/>
                <w:sz w:val="20"/>
              </w:rPr>
              <w:t xml:space="preserve">Testing More than Two Samples: ANOVA and Chi-Square</w:t>
            </w:r>
          </w:p>
        </w:tc>
        <w:tc>
          <w:tcPr/>
          <w:p>
            <w:pPr>
              <w:pStyle w:val="Compact"/>
            </w:pPr>
            <w:r>
              <w:rPr>
                <w:i/>
                <w:iCs/>
                <w:sz w:val="20"/>
              </w:rPr>
              <w:t xml:space="preserve">Think Stats</w:t>
            </w:r>
            <w:r>
              <w:rPr>
                <w:sz w:val="20"/>
              </w:rPr>
              <w:t xml:space="preserve">: Hypothesis testing (continued)</w:t>
            </w:r>
          </w:p>
        </w:tc>
        <w:tc>
          <w:tcPr/>
          <w:p>
            <w:pPr>
              <w:pStyle w:val="Compact"/>
            </w:pPr>
            <w:r>
              <w:rPr>
                <w:sz w:val="20"/>
              </w:rPr>
              <w:t xml:space="preserve">MP · CD · HOS · PE · KC</w:t>
            </w:r>
          </w:p>
        </w:tc>
        <w:tc>
          <w:tcPr/>
          <w:p>
            <w:pPr>
              <w:pStyle w:val="Compact"/>
            </w:pPr>
            <w:r>
              <w:rPr>
                <w:sz w:val="20"/>
              </w:rPr>
              <w:t xml:space="preserve">O1</w:t>
            </w:r>
          </w:p>
        </w:tc>
      </w:tr>
      <w:tr>
        <w:tc>
          <w:tcPr/>
          <w:p>
            <w:pPr>
              <w:pStyle w:val="Compact"/>
            </w:pPr>
            <w:r>
              <w:rPr>
                <w:b/>
                <w:bCs/>
                <w:sz w:val="20"/>
              </w:rPr>
              <w:t xml:space="preserve">7</w:t>
            </w:r>
          </w:p>
        </w:tc>
        <w:tc>
          <w:tcPr/>
          <w:p>
            <w:pPr>
              <w:pStyle w:val="Compact"/>
            </w:pPr>
            <w:r>
              <w:rPr>
                <w:b/>
                <w:bCs/>
                <w:sz w:val="20"/>
              </w:rPr>
              <w:t xml:space="preserve">Correlation and Linear Regression as Linear Algebra</w:t>
            </w:r>
          </w:p>
        </w:tc>
        <w:tc>
          <w:tcPr/>
          <w:p>
            <w:pPr>
              <w:pStyle w:val="Compact"/>
            </w:pPr>
            <w:r>
              <w:rPr>
                <w:i/>
                <w:iCs/>
                <w:sz w:val="20"/>
              </w:rPr>
              <w:t xml:space="preserve">Think Stats</w:t>
            </w:r>
            <w:r>
              <w:rPr>
                <w:sz w:val="20"/>
              </w:rPr>
              <w:t xml:space="preserve">: Relationships between variables; Linear least squares · Danka &amp; Valdarrama: Linear algebra (vectors, norms, dot products)</w:t>
            </w:r>
          </w:p>
        </w:tc>
        <w:tc>
          <w:tcPr/>
          <w:p>
            <w:pPr>
              <w:pStyle w:val="Compact"/>
            </w:pPr>
            <w:r>
              <w:rPr>
                <w:sz w:val="20"/>
              </w:rPr>
              <w:t xml:space="preserve">MP · CD · HOS · PE · KC ·</w:t>
            </w:r>
            <w:r>
              <w:rPr>
                <w:sz w:val="20"/>
              </w:rPr>
              <w:t xml:space="preserve"> </w:t>
            </w:r>
            <w:r>
              <w:rPr>
                <w:b/>
                <w:bCs/>
                <w:sz w:val="20"/>
              </w:rPr>
              <w:t xml:space="preserve">TP02 Progress due</w:t>
            </w:r>
          </w:p>
        </w:tc>
        <w:tc>
          <w:tcPr/>
          <w:p>
            <w:pPr>
              <w:pStyle w:val="Compact"/>
            </w:pPr>
            <w:r>
              <w:rPr>
                <w:sz w:val="20"/>
              </w:rPr>
              <w:t xml:space="preserve">O1, O2</w:t>
            </w:r>
          </w:p>
        </w:tc>
      </w:tr>
      <w:tr>
        <w:tc>
          <w:tcPr/>
          <w:p>
            <w:pPr>
              <w:pStyle w:val="Compact"/>
            </w:pPr>
            <w:r>
              <w:rPr>
                <w:b/>
                <w:bCs/>
                <w:sz w:val="20"/>
              </w:rPr>
              <w:t xml:space="preserve">8</w:t>
            </w:r>
          </w:p>
        </w:tc>
        <w:tc>
          <w:tcPr/>
          <w:p>
            <w:pPr>
              <w:pStyle w:val="Compact"/>
            </w:pPr>
            <w:r>
              <w:rPr>
                <w:b/>
                <w:bCs/>
                <w:sz w:val="20"/>
              </w:rPr>
              <w:t xml:space="preserve">Vectors, Matrices, and Tensors</w:t>
            </w:r>
          </w:p>
        </w:tc>
        <w:tc>
          <w:tcPr/>
          <w:p>
            <w:pPr>
              <w:pStyle w:val="Compact"/>
            </w:pPr>
            <w:r>
              <w:rPr>
                <w:sz w:val="20"/>
              </w:rPr>
              <w:t xml:space="preserve">Danka &amp; Valdarrama: Linear algebra (matrices) · NumPy and PyTorch tensor basics</w:t>
            </w:r>
          </w:p>
        </w:tc>
        <w:tc>
          <w:tcPr/>
          <w:p>
            <w:pPr>
              <w:pStyle w:val="Compact"/>
            </w:pPr>
            <w:r>
              <w:rPr>
                <w:sz w:val="20"/>
              </w:rPr>
              <w:t xml:space="preserve">MP · CD · HOS · PE · KC · TP Final Report and Presentation announced</w:t>
            </w:r>
          </w:p>
        </w:tc>
        <w:tc>
          <w:tcPr/>
          <w:p>
            <w:pPr>
              <w:pStyle w:val="Compact"/>
            </w:pPr>
            <w:r>
              <w:rPr>
                <w:sz w:val="20"/>
              </w:rPr>
              <w:t xml:space="preserve">O2</w:t>
            </w:r>
          </w:p>
        </w:tc>
      </w:tr>
      <w:tr>
        <w:tc>
          <w:tcPr/>
          <w:p>
            <w:pPr>
              <w:pStyle w:val="Compact"/>
            </w:pPr>
            <w:r>
              <w:rPr>
                <w:b/>
                <w:bCs/>
                <w:sz w:val="20"/>
              </w:rPr>
              <w:t xml:space="preserve">9</w:t>
            </w:r>
          </w:p>
        </w:tc>
        <w:tc>
          <w:tcPr/>
          <w:p>
            <w:pPr>
              <w:pStyle w:val="Compact"/>
            </w:pPr>
            <w:r>
              <w:rPr>
                <w:b/>
                <w:bCs/>
                <w:sz w:val="20"/>
              </w:rPr>
              <w:t xml:space="preserve">Gradients and Gradient Descent</w:t>
            </w:r>
          </w:p>
        </w:tc>
        <w:tc>
          <w:tcPr/>
          <w:p>
            <w:pPr>
              <w:pStyle w:val="Compact"/>
            </w:pPr>
            <w:r>
              <w:rPr>
                <w:sz w:val="20"/>
              </w:rPr>
              <w:t xml:space="preserve">Danka &amp; Valdarrama: Calculus and multivariable calculus (gradients)</w:t>
            </w:r>
          </w:p>
        </w:tc>
        <w:tc>
          <w:tcPr/>
          <w:p>
            <w:pPr>
              <w:pStyle w:val="Compact"/>
            </w:pPr>
            <w:r>
              <w:rPr>
                <w:sz w:val="20"/>
              </w:rPr>
              <w:t xml:space="preserve">MP · CD · HOS · PE · KC</w:t>
            </w:r>
          </w:p>
        </w:tc>
        <w:tc>
          <w:tcPr/>
          <w:p>
            <w:pPr>
              <w:pStyle w:val="Compact"/>
            </w:pPr>
            <w:r>
              <w:rPr>
                <w:sz w:val="20"/>
              </w:rPr>
              <w:t xml:space="preserve">O3, O5</w:t>
            </w:r>
          </w:p>
        </w:tc>
      </w:tr>
      <w:tr>
        <w:tc>
          <w:tcPr/>
          <w:p>
            <w:pPr>
              <w:pStyle w:val="Compact"/>
            </w:pPr>
            <w:r>
              <w:rPr>
                <w:b/>
                <w:bCs/>
                <w:sz w:val="20"/>
              </w:rPr>
              <w:t xml:space="preserve">10</w:t>
            </w:r>
          </w:p>
        </w:tc>
        <w:tc>
          <w:tcPr/>
          <w:p>
            <w:pPr>
              <w:pStyle w:val="Compact"/>
            </w:pPr>
            <w:r>
              <w:rPr>
                <w:b/>
                <w:bCs/>
                <w:sz w:val="20"/>
              </w:rPr>
              <w:t xml:space="preserve">Likelihood, Loss Functions, and Backpropagation</w:t>
            </w:r>
          </w:p>
        </w:tc>
        <w:tc>
          <w:tcPr/>
          <w:p>
            <w:pPr>
              <w:pStyle w:val="Compact"/>
            </w:pPr>
            <w:r>
              <w:rPr>
                <w:sz w:val="20"/>
              </w:rPr>
              <w:t xml:space="preserve">Danka &amp; Valdarrama: Probability (maximum likelihood); backpropagation and autograd</w:t>
            </w:r>
          </w:p>
        </w:tc>
        <w:tc>
          <w:tcPr/>
          <w:p>
            <w:pPr>
              <w:pStyle w:val="Compact"/>
            </w:pPr>
            <w:r>
              <w:rPr>
                <w:sz w:val="20"/>
              </w:rPr>
              <w:t xml:space="preserve">MP · CD · HOS · PE · KC ·</w:t>
            </w:r>
            <w:r>
              <w:rPr>
                <w:sz w:val="20"/>
              </w:rPr>
              <w:t xml:space="preserve"> </w:t>
            </w:r>
            <w:r>
              <w:rPr>
                <w:b/>
                <w:bCs/>
                <w:sz w:val="20"/>
              </w:rPr>
              <w:t xml:space="preserve">TP03 Final Report and TP04 Final PPT due</w:t>
            </w:r>
          </w:p>
        </w:tc>
        <w:tc>
          <w:tcPr/>
          <w:p>
            <w:pPr>
              <w:pStyle w:val="Compact"/>
            </w:pPr>
            <w:r>
              <w:rPr>
                <w:sz w:val="20"/>
              </w:rPr>
              <w:t xml:space="preserve">O4, O5</w:t>
            </w:r>
          </w:p>
        </w:tc>
      </w:tr>
    </w:tbl>
    <w:bookmarkEnd w:id="101"/>
    <w:sectPr w:rsidR="001506D5" w:rsidRPr="003043EB" w:rsidSect="007A79DC">
      <w:headerReference r:id="rId34" w:type="even"/>
      <w:headerReference r:id="rId35" w:type="default"/>
      <w:footerReference r:id="rId36" w:type="even"/>
      <w:footerReference r:id="rId37" w:type="default"/>
      <w:headerReference r:id="rId38" w:type="first"/>
      <w:footerReference r:id="rId39" w:type="firs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DDEA" w14:textId="77777777" w:rsidR="000A1C4E" w:rsidRDefault="000A1C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5880" w14:textId="57F03D88" w:rsidR="007A79DC" w:rsidRPr="003167E4" w:rsidRDefault="007A79DC" w:rsidP="007A79DC">
    <w:pPr>
      <w:pStyle w:val="Footer"/>
      <w:jc w:val="center"/>
      <w:rPr>
        <w:rFonts w:cs="Arial"/>
        <w:sz w:val="20"/>
        <w:szCs w:val="20"/>
      </w:rPr>
    </w:pPr>
    <w:r w:rsidRPr="003167E4">
      <w:rPr>
        <w:rStyle w:val="PageNumber"/>
        <w:rFonts w:cs="Arial"/>
        <w:sz w:val="20"/>
        <w:szCs w:val="20"/>
      </w:rPr>
      <w:t xml:space="preserve">Page </w:t>
    </w:r>
    <w:r w:rsidR="00DD0260" w:rsidRPr="003167E4">
      <w:rPr>
        <w:rStyle w:val="PageNumber"/>
        <w:rFonts w:cs="Arial"/>
        <w:sz w:val="20"/>
        <w:szCs w:val="20"/>
      </w:rPr>
      <w:fldChar w:fldCharType="begin"/>
    </w:r>
    <w:r w:rsidRPr="003167E4">
      <w:rPr>
        <w:rStyle w:val="PageNumber"/>
        <w:rFonts w:cs="Arial"/>
        <w:sz w:val="20"/>
        <w:szCs w:val="20"/>
      </w:rPr>
      <w:instrText xml:space="preserve"> PAGE </w:instrText>
    </w:r>
    <w:r w:rsidR="00DD0260" w:rsidRPr="003167E4">
      <w:rPr>
        <w:rStyle w:val="PageNumber"/>
        <w:rFonts w:cs="Arial"/>
        <w:sz w:val="20"/>
        <w:szCs w:val="20"/>
      </w:rPr>
      <w:fldChar w:fldCharType="separate"/>
    </w:r>
    <w:r w:rsidR="006715F5">
      <w:rPr>
        <w:rStyle w:val="PageNumber"/>
        <w:rFonts w:cs="Arial"/>
        <w:noProof/>
        <w:sz w:val="20"/>
        <w:szCs w:val="20"/>
      </w:rPr>
      <w:t>7</w:t>
    </w:r>
    <w:r w:rsidR="00DD0260" w:rsidRPr="003167E4">
      <w:rPr>
        <w:rStyle w:val="PageNumber"/>
        <w:rFonts w:cs="Arial"/>
        <w:sz w:val="20"/>
        <w:szCs w:val="20"/>
      </w:rPr>
      <w:fldChar w:fldCharType="end"/>
    </w:r>
    <w:r w:rsidRPr="003167E4">
      <w:rPr>
        <w:rStyle w:val="PageNumber"/>
        <w:rFonts w:cs="Arial"/>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4987" w14:textId="77777777" w:rsidR="000A1C4E" w:rsidRDefault="000A1C4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E936" w14:textId="77777777" w:rsidR="000A1C4E" w:rsidRDefault="000A1C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505B" w14:textId="77777777" w:rsidR="000A1C4E" w:rsidRDefault="000A1C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05E8" w14:textId="77777777" w:rsidR="000A1C4E" w:rsidRDefault="000A1C4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B61E559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4305568"/>
    <w:multiLevelType w:val="multilevel"/>
    <w:tmpl w:val="5B4E149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96E6F1B"/>
    <w:multiLevelType w:val="hybridMultilevel"/>
    <w:tmpl w:val="7B1099C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98A1B5E"/>
    <w:multiLevelType w:val="hybridMultilevel"/>
    <w:tmpl w:val="181EAD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DD43838"/>
    <w:multiLevelType w:val="hybridMultilevel"/>
    <w:tmpl w:val="1084F2A0"/>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E7968D3"/>
    <w:multiLevelType w:val="multilevel"/>
    <w:tmpl w:val="42C4DC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FA735F0"/>
    <w:multiLevelType w:val="multilevel"/>
    <w:tmpl w:val="DFAC5C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112738CA"/>
    <w:multiLevelType w:val="multilevel"/>
    <w:tmpl w:val="C4CA16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A027ABA"/>
    <w:multiLevelType w:val="hybridMultilevel"/>
    <w:tmpl w:val="03F8B08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20AA5036"/>
    <w:multiLevelType w:val="hybridMultilevel"/>
    <w:tmpl w:val="F6888BD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21166F97"/>
    <w:multiLevelType w:val="hybridMultilevel"/>
    <w:tmpl w:val="582E3072"/>
    <w:lvl w:ilvl="0" w:tplc="795E9A42">
      <w:start w:val="1"/>
      <w:numFmt w:val="upperLetter"/>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25834905"/>
    <w:multiLevelType w:val="multilevel"/>
    <w:tmpl w:val="0B1207A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25D217D3"/>
    <w:multiLevelType w:val="hybridMultilevel"/>
    <w:tmpl w:val="43A20E1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260420AC"/>
    <w:multiLevelType w:val="hybridMultilevel"/>
    <w:tmpl w:val="6130CB90"/>
    <w:lvl w:ilvl="0" w:tplc="097A10F0">
      <w:start w:val="1"/>
      <w:numFmt w:val="bullet"/>
      <w:lvlText w:val=""/>
      <w:lvlJc w:val="left"/>
      <w:pPr>
        <w:ind w:hanging="360" w:left="720"/>
      </w:pPr>
      <w:rPr>
        <w:rFonts w:ascii="Symbol" w:hAnsi="Symbol" w:hint="default"/>
      </w:rPr>
    </w:lvl>
    <w:lvl w:ilvl="1" w:tplc="05421022">
      <w:start w:val="1"/>
      <w:numFmt w:val="bullet"/>
      <w:lvlText w:val="o"/>
      <w:lvlJc w:val="left"/>
      <w:pPr>
        <w:ind w:hanging="360" w:left="1440"/>
      </w:pPr>
      <w:rPr>
        <w:rFonts w:ascii="Courier New" w:hAnsi="Courier New" w:hint="default"/>
      </w:rPr>
    </w:lvl>
    <w:lvl w:ilvl="2" w:tplc="59103F70">
      <w:start w:val="1"/>
      <w:numFmt w:val="bullet"/>
      <w:lvlText w:val=""/>
      <w:lvlJc w:val="left"/>
      <w:pPr>
        <w:ind w:hanging="360" w:left="2160"/>
      </w:pPr>
      <w:rPr>
        <w:rFonts w:ascii="Wingdings" w:hAnsi="Wingdings" w:hint="default"/>
      </w:rPr>
    </w:lvl>
    <w:lvl w:ilvl="3" w:tplc="1CD0AFF0">
      <w:start w:val="1"/>
      <w:numFmt w:val="bullet"/>
      <w:lvlText w:val=""/>
      <w:lvlJc w:val="left"/>
      <w:pPr>
        <w:ind w:hanging="360" w:left="2880"/>
      </w:pPr>
      <w:rPr>
        <w:rFonts w:ascii="Symbol" w:hAnsi="Symbol" w:hint="default"/>
      </w:rPr>
    </w:lvl>
    <w:lvl w:ilvl="4" w:tplc="0DC0D0F4">
      <w:start w:val="1"/>
      <w:numFmt w:val="bullet"/>
      <w:lvlText w:val="o"/>
      <w:lvlJc w:val="left"/>
      <w:pPr>
        <w:ind w:hanging="360" w:left="3600"/>
      </w:pPr>
      <w:rPr>
        <w:rFonts w:ascii="Courier New" w:hAnsi="Courier New" w:hint="default"/>
      </w:rPr>
    </w:lvl>
    <w:lvl w:ilvl="5" w:tplc="A7448680">
      <w:start w:val="1"/>
      <w:numFmt w:val="bullet"/>
      <w:lvlText w:val=""/>
      <w:lvlJc w:val="left"/>
      <w:pPr>
        <w:ind w:hanging="360" w:left="4320"/>
      </w:pPr>
      <w:rPr>
        <w:rFonts w:ascii="Wingdings" w:hAnsi="Wingdings" w:hint="default"/>
      </w:rPr>
    </w:lvl>
    <w:lvl w:ilvl="6" w:tplc="7E4EEF66">
      <w:start w:val="1"/>
      <w:numFmt w:val="bullet"/>
      <w:lvlText w:val=""/>
      <w:lvlJc w:val="left"/>
      <w:pPr>
        <w:ind w:hanging="360" w:left="5040"/>
      </w:pPr>
      <w:rPr>
        <w:rFonts w:ascii="Symbol" w:hAnsi="Symbol" w:hint="default"/>
      </w:rPr>
    </w:lvl>
    <w:lvl w:ilvl="7" w:tplc="C7EAE52E">
      <w:start w:val="1"/>
      <w:numFmt w:val="bullet"/>
      <w:lvlText w:val="o"/>
      <w:lvlJc w:val="left"/>
      <w:pPr>
        <w:ind w:hanging="360" w:left="5760"/>
      </w:pPr>
      <w:rPr>
        <w:rFonts w:ascii="Courier New" w:hAnsi="Courier New" w:hint="default"/>
      </w:rPr>
    </w:lvl>
    <w:lvl w:ilvl="8" w:tplc="C404822C">
      <w:start w:val="1"/>
      <w:numFmt w:val="bullet"/>
      <w:lvlText w:val=""/>
      <w:lvlJc w:val="left"/>
      <w:pPr>
        <w:ind w:hanging="360" w:left="6480"/>
      </w:pPr>
      <w:rPr>
        <w:rFonts w:ascii="Wingdings" w:hAnsi="Wingdings" w:hint="default"/>
      </w:rPr>
    </w:lvl>
  </w:abstractNum>
  <w:abstractNum w15:restartNumberingAfterBreak="0" w:abstractNumId="14">
    <w:nsid w:val="26E0284F"/>
    <w:multiLevelType w:val="hybridMultilevel"/>
    <w:tmpl w:val="5466213C"/>
    <w:lvl w:ilvl="0" w:tplc="795E9A42">
      <w:start w:val="1"/>
      <w:numFmt w:val="upperLetter"/>
      <w:lvlText w:val="(%1)"/>
      <w:lvlJc w:val="left"/>
      <w:pPr>
        <w:ind w:hanging="360" w:left="720"/>
      </w:pPr>
      <w:rPr>
        <w:rFonts w:hint="default"/>
        <w:b w:val="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A983112"/>
    <w:multiLevelType w:val="hybridMultilevel"/>
    <w:tmpl w:val="73805B7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2DC1020A"/>
    <w:multiLevelType w:val="hybridMultilevel"/>
    <w:tmpl w:val="6568E566"/>
    <w:lvl w:ilvl="0" w:tplc="FE5E0468">
      <w:start w:val="1"/>
      <w:numFmt w:val="decimal"/>
      <w:lvlText w:val="%1)"/>
      <w:lvlJc w:val="left"/>
      <w:pPr>
        <w:ind w:hanging="360" w:left="720"/>
      </w:pPr>
      <w:rPr>
        <w:rFonts w:hint="default"/>
        <w:b w:val="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01E82B6"/>
    <w:multiLevelType w:val="hybridMultilevel"/>
    <w:tmpl w:val="82F6A39A"/>
    <w:lvl w:ilvl="0" w:tplc="DC64680C">
      <w:start w:val="1"/>
      <w:numFmt w:val="decimal"/>
      <w:lvlText w:val="%1."/>
      <w:lvlJc w:val="left"/>
      <w:pPr>
        <w:ind w:hanging="360" w:left="720"/>
      </w:pPr>
    </w:lvl>
    <w:lvl w:ilvl="1" w:tplc="0394A318">
      <w:start w:val="1"/>
      <w:numFmt w:val="lowerLetter"/>
      <w:lvlText w:val="%2."/>
      <w:lvlJc w:val="left"/>
      <w:pPr>
        <w:ind w:hanging="360" w:left="1440"/>
      </w:pPr>
    </w:lvl>
    <w:lvl w:ilvl="2" w:tplc="3BFEE4E2">
      <w:start w:val="1"/>
      <w:numFmt w:val="lowerRoman"/>
      <w:lvlText w:val="%3."/>
      <w:lvlJc w:val="right"/>
      <w:pPr>
        <w:ind w:hanging="180" w:left="2160"/>
      </w:pPr>
    </w:lvl>
    <w:lvl w:ilvl="3" w:tplc="3B3E26A6">
      <w:start w:val="1"/>
      <w:numFmt w:val="decimal"/>
      <w:lvlText w:val="%4."/>
      <w:lvlJc w:val="left"/>
      <w:pPr>
        <w:ind w:hanging="360" w:left="2880"/>
      </w:pPr>
    </w:lvl>
    <w:lvl w:ilvl="4" w:tplc="3C4EFB58">
      <w:start w:val="1"/>
      <w:numFmt w:val="lowerLetter"/>
      <w:lvlText w:val="%5."/>
      <w:lvlJc w:val="left"/>
      <w:pPr>
        <w:ind w:hanging="360" w:left="3600"/>
      </w:pPr>
    </w:lvl>
    <w:lvl w:ilvl="5" w:tplc="28B4E1F2">
      <w:start w:val="1"/>
      <w:numFmt w:val="lowerRoman"/>
      <w:lvlText w:val="%6."/>
      <w:lvlJc w:val="right"/>
      <w:pPr>
        <w:ind w:hanging="180" w:left="4320"/>
      </w:pPr>
    </w:lvl>
    <w:lvl w:ilvl="6" w:tplc="A25C30F0">
      <w:start w:val="1"/>
      <w:numFmt w:val="decimal"/>
      <w:lvlText w:val="%7."/>
      <w:lvlJc w:val="left"/>
      <w:pPr>
        <w:ind w:hanging="360" w:left="5040"/>
      </w:pPr>
    </w:lvl>
    <w:lvl w:ilvl="7" w:tplc="F16410B2">
      <w:start w:val="1"/>
      <w:numFmt w:val="lowerLetter"/>
      <w:lvlText w:val="%8."/>
      <w:lvlJc w:val="left"/>
      <w:pPr>
        <w:ind w:hanging="360" w:left="5760"/>
      </w:pPr>
    </w:lvl>
    <w:lvl w:ilvl="8" w:tplc="DE805D26">
      <w:start w:val="1"/>
      <w:numFmt w:val="lowerRoman"/>
      <w:lvlText w:val="%9."/>
      <w:lvlJc w:val="right"/>
      <w:pPr>
        <w:ind w:hanging="180" w:left="6480"/>
      </w:pPr>
    </w:lvl>
  </w:abstractNum>
  <w:abstractNum w15:restartNumberingAfterBreak="0" w:abstractNumId="18">
    <w:nsid w:val="30945AE4"/>
    <w:multiLevelType w:val="hybridMultilevel"/>
    <w:tmpl w:val="301639B6"/>
    <w:lvl w:ilvl="0" w:tplc="04090001">
      <w:start w:val="1"/>
      <w:numFmt w:val="bullet"/>
      <w:lvlText w:val=""/>
      <w:lvlJc w:val="left"/>
      <w:pPr>
        <w:ind w:hanging="360" w:left="816"/>
      </w:pPr>
      <w:rPr>
        <w:rFonts w:ascii="Symbol" w:hAnsi="Symbol" w:hint="default"/>
      </w:rPr>
    </w:lvl>
    <w:lvl w:ilvl="1" w:tentative="1" w:tplc="04090003">
      <w:start w:val="1"/>
      <w:numFmt w:val="bullet"/>
      <w:lvlText w:val="o"/>
      <w:lvlJc w:val="left"/>
      <w:pPr>
        <w:ind w:hanging="360" w:left="1536"/>
      </w:pPr>
      <w:rPr>
        <w:rFonts w:ascii="Courier New" w:cs="Courier New" w:hAnsi="Courier New" w:hint="default"/>
      </w:rPr>
    </w:lvl>
    <w:lvl w:ilvl="2" w:tentative="1" w:tplc="04090005">
      <w:start w:val="1"/>
      <w:numFmt w:val="bullet"/>
      <w:lvlText w:val=""/>
      <w:lvlJc w:val="left"/>
      <w:pPr>
        <w:ind w:hanging="360" w:left="2256"/>
      </w:pPr>
      <w:rPr>
        <w:rFonts w:ascii="Wingdings" w:hAnsi="Wingdings" w:hint="default"/>
      </w:rPr>
    </w:lvl>
    <w:lvl w:ilvl="3" w:tentative="1" w:tplc="04090001">
      <w:start w:val="1"/>
      <w:numFmt w:val="bullet"/>
      <w:lvlText w:val=""/>
      <w:lvlJc w:val="left"/>
      <w:pPr>
        <w:ind w:hanging="360" w:left="2976"/>
      </w:pPr>
      <w:rPr>
        <w:rFonts w:ascii="Symbol" w:hAnsi="Symbol" w:hint="default"/>
      </w:rPr>
    </w:lvl>
    <w:lvl w:ilvl="4" w:tentative="1" w:tplc="04090003">
      <w:start w:val="1"/>
      <w:numFmt w:val="bullet"/>
      <w:lvlText w:val="o"/>
      <w:lvlJc w:val="left"/>
      <w:pPr>
        <w:ind w:hanging="360" w:left="3696"/>
      </w:pPr>
      <w:rPr>
        <w:rFonts w:ascii="Courier New" w:cs="Courier New" w:hAnsi="Courier New" w:hint="default"/>
      </w:rPr>
    </w:lvl>
    <w:lvl w:ilvl="5" w:tentative="1" w:tplc="04090005">
      <w:start w:val="1"/>
      <w:numFmt w:val="bullet"/>
      <w:lvlText w:val=""/>
      <w:lvlJc w:val="left"/>
      <w:pPr>
        <w:ind w:hanging="360" w:left="4416"/>
      </w:pPr>
      <w:rPr>
        <w:rFonts w:ascii="Wingdings" w:hAnsi="Wingdings" w:hint="default"/>
      </w:rPr>
    </w:lvl>
    <w:lvl w:ilvl="6" w:tentative="1" w:tplc="04090001">
      <w:start w:val="1"/>
      <w:numFmt w:val="bullet"/>
      <w:lvlText w:val=""/>
      <w:lvlJc w:val="left"/>
      <w:pPr>
        <w:ind w:hanging="360" w:left="5136"/>
      </w:pPr>
      <w:rPr>
        <w:rFonts w:ascii="Symbol" w:hAnsi="Symbol" w:hint="default"/>
      </w:rPr>
    </w:lvl>
    <w:lvl w:ilvl="7" w:tentative="1" w:tplc="04090003">
      <w:start w:val="1"/>
      <w:numFmt w:val="bullet"/>
      <w:lvlText w:val="o"/>
      <w:lvlJc w:val="left"/>
      <w:pPr>
        <w:ind w:hanging="360" w:left="5856"/>
      </w:pPr>
      <w:rPr>
        <w:rFonts w:ascii="Courier New" w:cs="Courier New" w:hAnsi="Courier New" w:hint="default"/>
      </w:rPr>
    </w:lvl>
    <w:lvl w:ilvl="8" w:tentative="1" w:tplc="04090005">
      <w:start w:val="1"/>
      <w:numFmt w:val="bullet"/>
      <w:lvlText w:val=""/>
      <w:lvlJc w:val="left"/>
      <w:pPr>
        <w:ind w:hanging="360" w:left="6576"/>
      </w:pPr>
      <w:rPr>
        <w:rFonts w:ascii="Wingdings" w:hAnsi="Wingdings" w:hint="default"/>
      </w:rPr>
    </w:lvl>
  </w:abstractNum>
  <w:abstractNum w15:restartNumberingAfterBreak="0" w:abstractNumId="19">
    <w:nsid w:val="316D5544"/>
    <w:multiLevelType w:val="hybridMultilevel"/>
    <w:tmpl w:val="A328C8B6"/>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374E7B56"/>
    <w:multiLevelType w:val="multilevel"/>
    <w:tmpl w:val="B212D7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9B17ECD"/>
    <w:multiLevelType w:val="hybridMultilevel"/>
    <w:tmpl w:val="EFD098E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C0135D6"/>
    <w:multiLevelType w:val="hybridMultilevel"/>
    <w:tmpl w:val="07B2828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3E306BBA"/>
    <w:multiLevelType w:val="hybridMultilevel"/>
    <w:tmpl w:val="09288EA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3FEF6CD0"/>
    <w:multiLevelType w:val="hybridMultilevel"/>
    <w:tmpl w:val="FE1861A8"/>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5">
    <w:nsid w:val="408B65F5"/>
    <w:multiLevelType w:val="hybridMultilevel"/>
    <w:tmpl w:val="7876D550"/>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450D4638"/>
    <w:multiLevelType w:val="hybridMultilevel"/>
    <w:tmpl w:val="0DC6A3D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4F523AAD"/>
    <w:multiLevelType w:val="hybridMultilevel"/>
    <w:tmpl w:val="95BCF662"/>
    <w:lvl w:ilvl="0" w:tplc="795E9A42">
      <w:start w:val="1"/>
      <w:numFmt w:val="upperLetter"/>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541D1948"/>
    <w:multiLevelType w:val="hybridMultilevel"/>
    <w:tmpl w:val="8EE67936"/>
    <w:lvl w:ilvl="0" w:tplc="AC04AEFE">
      <w:start w:val="1"/>
      <w:numFmt w:val="decimal"/>
      <w:lvlText w:val="%1)"/>
      <w:lvlJc w:val="left"/>
      <w:pPr>
        <w:ind w:hanging="360" w:left="720"/>
      </w:pPr>
      <w:rPr>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9">
    <w:nsid w:val="569026CF"/>
    <w:multiLevelType w:val="hybridMultilevel"/>
    <w:tmpl w:val="3FE461D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0">
    <w:nsid w:val="5C8A75B0"/>
    <w:multiLevelType w:val="hybridMultilevel"/>
    <w:tmpl w:val="4B4AC5C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5E1BCF9B"/>
    <w:multiLevelType w:val="hybridMultilevel"/>
    <w:tmpl w:val="2662D898"/>
    <w:lvl w:ilvl="0" w:tplc="04090003">
      <w:start w:val="1"/>
      <w:numFmt w:val="bullet"/>
      <w:lvlText w:val="o"/>
      <w:lvlJc w:val="left"/>
      <w:pPr>
        <w:ind w:hanging="360" w:left="720"/>
      </w:pPr>
      <w:rPr>
        <w:rFonts w:ascii="Courier New" w:cs="Courier New" w:hAnsi="Courier New" w:hint="default"/>
      </w:rPr>
    </w:lvl>
    <w:lvl w:ilvl="1" w:tplc="5F3AA5F2">
      <w:start w:val="1"/>
      <w:numFmt w:val="bullet"/>
      <w:lvlText w:val="o"/>
      <w:lvlJc w:val="left"/>
      <w:pPr>
        <w:ind w:hanging="360" w:left="1440"/>
      </w:pPr>
      <w:rPr>
        <w:rFonts w:ascii="Courier New" w:hAnsi="Courier New" w:hint="default"/>
      </w:rPr>
    </w:lvl>
    <w:lvl w:ilvl="2" w:tplc="D9D2C8D0">
      <w:start w:val="1"/>
      <w:numFmt w:val="bullet"/>
      <w:lvlText w:val=""/>
      <w:lvlJc w:val="left"/>
      <w:pPr>
        <w:ind w:hanging="360" w:left="2160"/>
      </w:pPr>
      <w:rPr>
        <w:rFonts w:ascii="Wingdings" w:hAnsi="Wingdings" w:hint="default"/>
      </w:rPr>
    </w:lvl>
    <w:lvl w:ilvl="3" w:tplc="90A48D56">
      <w:start w:val="1"/>
      <w:numFmt w:val="bullet"/>
      <w:lvlText w:val=""/>
      <w:lvlJc w:val="left"/>
      <w:pPr>
        <w:ind w:hanging="360" w:left="2880"/>
      </w:pPr>
      <w:rPr>
        <w:rFonts w:ascii="Symbol" w:hAnsi="Symbol" w:hint="default"/>
      </w:rPr>
    </w:lvl>
    <w:lvl w:ilvl="4" w:tplc="9E4AF79E">
      <w:start w:val="1"/>
      <w:numFmt w:val="bullet"/>
      <w:lvlText w:val="o"/>
      <w:lvlJc w:val="left"/>
      <w:pPr>
        <w:ind w:hanging="360" w:left="3600"/>
      </w:pPr>
      <w:rPr>
        <w:rFonts w:ascii="Courier New" w:hAnsi="Courier New" w:hint="default"/>
      </w:rPr>
    </w:lvl>
    <w:lvl w:ilvl="5" w:tplc="0B5065A6">
      <w:start w:val="1"/>
      <w:numFmt w:val="bullet"/>
      <w:lvlText w:val=""/>
      <w:lvlJc w:val="left"/>
      <w:pPr>
        <w:ind w:hanging="360" w:left="4320"/>
      </w:pPr>
      <w:rPr>
        <w:rFonts w:ascii="Wingdings" w:hAnsi="Wingdings" w:hint="default"/>
      </w:rPr>
    </w:lvl>
    <w:lvl w:ilvl="6" w:tplc="2A882BE2">
      <w:start w:val="1"/>
      <w:numFmt w:val="bullet"/>
      <w:lvlText w:val=""/>
      <w:lvlJc w:val="left"/>
      <w:pPr>
        <w:ind w:hanging="360" w:left="5040"/>
      </w:pPr>
      <w:rPr>
        <w:rFonts w:ascii="Symbol" w:hAnsi="Symbol" w:hint="default"/>
      </w:rPr>
    </w:lvl>
    <w:lvl w:ilvl="7" w:tplc="FC8C4872">
      <w:start w:val="1"/>
      <w:numFmt w:val="bullet"/>
      <w:lvlText w:val="o"/>
      <w:lvlJc w:val="left"/>
      <w:pPr>
        <w:ind w:hanging="360" w:left="5760"/>
      </w:pPr>
      <w:rPr>
        <w:rFonts w:ascii="Courier New" w:hAnsi="Courier New" w:hint="default"/>
      </w:rPr>
    </w:lvl>
    <w:lvl w:ilvl="8" w:tplc="D0084E48">
      <w:start w:val="1"/>
      <w:numFmt w:val="bullet"/>
      <w:lvlText w:val=""/>
      <w:lvlJc w:val="left"/>
      <w:pPr>
        <w:ind w:hanging="360" w:left="6480"/>
      </w:pPr>
      <w:rPr>
        <w:rFonts w:ascii="Wingdings" w:hAnsi="Wingdings" w:hint="default"/>
      </w:rPr>
    </w:lvl>
  </w:abstractNum>
  <w:abstractNum w15:restartNumberingAfterBreak="0" w:abstractNumId="32">
    <w:nsid w:val="64BC5755"/>
    <w:multiLevelType w:val="hybridMultilevel"/>
    <w:tmpl w:val="683C54C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69CAEE93"/>
    <w:multiLevelType w:val="hybridMultilevel"/>
    <w:tmpl w:val="E7B829C8"/>
    <w:lvl w:ilvl="0" w:tplc="5990576E">
      <w:start w:val="1"/>
      <w:numFmt w:val="bullet"/>
      <w:lvlText w:val=""/>
      <w:lvlJc w:val="left"/>
      <w:pPr>
        <w:ind w:hanging="360" w:left="720"/>
      </w:pPr>
      <w:rPr>
        <w:rFonts w:ascii="Symbol" w:hAnsi="Symbol" w:hint="default"/>
      </w:rPr>
    </w:lvl>
    <w:lvl w:ilvl="1" w:tplc="79E83006">
      <w:start w:val="1"/>
      <w:numFmt w:val="bullet"/>
      <w:lvlText w:val="o"/>
      <w:lvlJc w:val="left"/>
      <w:pPr>
        <w:ind w:hanging="360" w:left="1440"/>
      </w:pPr>
      <w:rPr>
        <w:rFonts w:ascii="Courier New" w:hAnsi="Courier New" w:hint="default"/>
      </w:rPr>
    </w:lvl>
    <w:lvl w:ilvl="2" w:tplc="C1A42BE4">
      <w:start w:val="1"/>
      <w:numFmt w:val="bullet"/>
      <w:lvlText w:val=""/>
      <w:lvlJc w:val="left"/>
      <w:pPr>
        <w:ind w:hanging="360" w:left="2160"/>
      </w:pPr>
      <w:rPr>
        <w:rFonts w:ascii="Wingdings" w:hAnsi="Wingdings" w:hint="default"/>
      </w:rPr>
    </w:lvl>
    <w:lvl w:ilvl="3" w:tplc="4D40E57E">
      <w:start w:val="1"/>
      <w:numFmt w:val="bullet"/>
      <w:lvlText w:val=""/>
      <w:lvlJc w:val="left"/>
      <w:pPr>
        <w:ind w:hanging="360" w:left="2880"/>
      </w:pPr>
      <w:rPr>
        <w:rFonts w:ascii="Symbol" w:hAnsi="Symbol" w:hint="default"/>
      </w:rPr>
    </w:lvl>
    <w:lvl w:ilvl="4" w:tplc="9490D8A8">
      <w:start w:val="1"/>
      <w:numFmt w:val="bullet"/>
      <w:lvlText w:val="o"/>
      <w:lvlJc w:val="left"/>
      <w:pPr>
        <w:ind w:hanging="360" w:left="3600"/>
      </w:pPr>
      <w:rPr>
        <w:rFonts w:ascii="Courier New" w:hAnsi="Courier New" w:hint="default"/>
      </w:rPr>
    </w:lvl>
    <w:lvl w:ilvl="5" w:tplc="4E3CA7D2">
      <w:start w:val="1"/>
      <w:numFmt w:val="bullet"/>
      <w:lvlText w:val=""/>
      <w:lvlJc w:val="left"/>
      <w:pPr>
        <w:ind w:hanging="360" w:left="4320"/>
      </w:pPr>
      <w:rPr>
        <w:rFonts w:ascii="Wingdings" w:hAnsi="Wingdings" w:hint="default"/>
      </w:rPr>
    </w:lvl>
    <w:lvl w:ilvl="6" w:tplc="A448FD0C">
      <w:start w:val="1"/>
      <w:numFmt w:val="bullet"/>
      <w:lvlText w:val=""/>
      <w:lvlJc w:val="left"/>
      <w:pPr>
        <w:ind w:hanging="360" w:left="5040"/>
      </w:pPr>
      <w:rPr>
        <w:rFonts w:ascii="Symbol" w:hAnsi="Symbol" w:hint="default"/>
      </w:rPr>
    </w:lvl>
    <w:lvl w:ilvl="7" w:tplc="5DB8DFFC">
      <w:start w:val="1"/>
      <w:numFmt w:val="bullet"/>
      <w:lvlText w:val="o"/>
      <w:lvlJc w:val="left"/>
      <w:pPr>
        <w:ind w:hanging="360" w:left="5760"/>
      </w:pPr>
      <w:rPr>
        <w:rFonts w:ascii="Courier New" w:hAnsi="Courier New" w:hint="default"/>
      </w:rPr>
    </w:lvl>
    <w:lvl w:ilvl="8" w:tplc="739ECE80">
      <w:start w:val="1"/>
      <w:numFmt w:val="bullet"/>
      <w:lvlText w:val=""/>
      <w:lvlJc w:val="left"/>
      <w:pPr>
        <w:ind w:hanging="360" w:left="6480"/>
      </w:pPr>
      <w:rPr>
        <w:rFonts w:ascii="Wingdings" w:hAnsi="Wingdings" w:hint="default"/>
      </w:rPr>
    </w:lvl>
  </w:abstractNum>
  <w:abstractNum w15:restartNumberingAfterBreak="0" w:abstractNumId="34">
    <w:nsid w:val="6B8C1C7C"/>
    <w:multiLevelType w:val="hybridMultilevel"/>
    <w:tmpl w:val="11BEE8D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5">
    <w:nsid w:val="6E630DBB"/>
    <w:multiLevelType w:val="hybridMultilevel"/>
    <w:tmpl w:val="ED4E6E9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15:restartNumberingAfterBreak="0" w:abstractNumId="36">
    <w:nsid w:val="74A350E2"/>
    <w:multiLevelType w:val="hybridMultilevel"/>
    <w:tmpl w:val="8E049396"/>
    <w:lvl w:ilvl="0" w:tplc="04090011">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77787672"/>
    <w:multiLevelType w:val="hybridMultilevel"/>
    <w:tmpl w:val="9B7C69D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7920001B"/>
    <w:multiLevelType w:val="hybridMultilevel"/>
    <w:tmpl w:val="50844ADC"/>
    <w:lvl w:ilvl="0" w:tplc="2A02DAEA">
      <w:start w:val="1"/>
      <w:numFmt w:val="bullet"/>
      <w:lvlText w:val=""/>
      <w:lvlJc w:val="left"/>
      <w:pPr>
        <w:ind w:hanging="360" w:left="720"/>
      </w:pPr>
      <w:rPr>
        <w:rFonts w:ascii="Symbol" w:hAnsi="Symbol" w:hint="default"/>
      </w:rPr>
    </w:lvl>
    <w:lvl w:ilvl="1" w:tplc="D596861A">
      <w:start w:val="1"/>
      <w:numFmt w:val="bullet"/>
      <w:lvlText w:val="o"/>
      <w:lvlJc w:val="left"/>
      <w:pPr>
        <w:ind w:hanging="360" w:left="1440"/>
      </w:pPr>
      <w:rPr>
        <w:rFonts w:ascii="Courier New" w:hAnsi="Courier New" w:hint="default"/>
      </w:rPr>
    </w:lvl>
    <w:lvl w:ilvl="2" w:tplc="0D7EE926">
      <w:start w:val="1"/>
      <w:numFmt w:val="bullet"/>
      <w:lvlText w:val=""/>
      <w:lvlJc w:val="left"/>
      <w:pPr>
        <w:ind w:hanging="360" w:left="2160"/>
      </w:pPr>
      <w:rPr>
        <w:rFonts w:ascii="Wingdings" w:hAnsi="Wingdings" w:hint="default"/>
      </w:rPr>
    </w:lvl>
    <w:lvl w:ilvl="3" w:tplc="068A2BE0">
      <w:start w:val="1"/>
      <w:numFmt w:val="bullet"/>
      <w:lvlText w:val=""/>
      <w:lvlJc w:val="left"/>
      <w:pPr>
        <w:ind w:hanging="360" w:left="2880"/>
      </w:pPr>
      <w:rPr>
        <w:rFonts w:ascii="Symbol" w:hAnsi="Symbol" w:hint="default"/>
      </w:rPr>
    </w:lvl>
    <w:lvl w:ilvl="4" w:tplc="7AD25B92">
      <w:start w:val="1"/>
      <w:numFmt w:val="bullet"/>
      <w:lvlText w:val="o"/>
      <w:lvlJc w:val="left"/>
      <w:pPr>
        <w:ind w:hanging="360" w:left="3600"/>
      </w:pPr>
      <w:rPr>
        <w:rFonts w:ascii="Courier New" w:hAnsi="Courier New" w:hint="default"/>
      </w:rPr>
    </w:lvl>
    <w:lvl w:ilvl="5" w:tplc="4F2A6BDE">
      <w:start w:val="1"/>
      <w:numFmt w:val="bullet"/>
      <w:lvlText w:val=""/>
      <w:lvlJc w:val="left"/>
      <w:pPr>
        <w:ind w:hanging="360" w:left="4320"/>
      </w:pPr>
      <w:rPr>
        <w:rFonts w:ascii="Wingdings" w:hAnsi="Wingdings" w:hint="default"/>
      </w:rPr>
    </w:lvl>
    <w:lvl w:ilvl="6" w:tplc="C620312C">
      <w:start w:val="1"/>
      <w:numFmt w:val="bullet"/>
      <w:lvlText w:val=""/>
      <w:lvlJc w:val="left"/>
      <w:pPr>
        <w:ind w:hanging="360" w:left="5040"/>
      </w:pPr>
      <w:rPr>
        <w:rFonts w:ascii="Symbol" w:hAnsi="Symbol" w:hint="default"/>
      </w:rPr>
    </w:lvl>
    <w:lvl w:ilvl="7" w:tplc="F20A1BF0">
      <w:start w:val="1"/>
      <w:numFmt w:val="bullet"/>
      <w:lvlText w:val="o"/>
      <w:lvlJc w:val="left"/>
      <w:pPr>
        <w:ind w:hanging="360" w:left="5760"/>
      </w:pPr>
      <w:rPr>
        <w:rFonts w:ascii="Courier New" w:hAnsi="Courier New" w:hint="default"/>
      </w:rPr>
    </w:lvl>
    <w:lvl w:ilvl="8" w:tplc="0EC62D9E">
      <w:start w:val="1"/>
      <w:numFmt w:val="bullet"/>
      <w:lvlText w:val=""/>
      <w:lvlJc w:val="left"/>
      <w:pPr>
        <w:ind w:hanging="360" w:left="6480"/>
      </w:pPr>
      <w:rPr>
        <w:rFonts w:ascii="Wingdings" w:hAnsi="Wingdings" w:hint="default"/>
      </w:rPr>
    </w:lvl>
  </w:abstractNum>
  <w:abstractNum w15:restartNumberingAfterBreak="0" w:abstractNumId="39">
    <w:nsid w:val="7921469A"/>
    <w:multiLevelType w:val="hybridMultilevel"/>
    <w:tmpl w:val="69A674A2"/>
    <w:lvl w:ilvl="0" w:tplc="0409000F">
      <w:start w:val="1"/>
      <w:numFmt w:val="decimal"/>
      <w:lvlText w:val="%1."/>
      <w:lvlJc w:val="left"/>
      <w:pPr>
        <w:ind w:hanging="360" w:left="720"/>
      </w:pPr>
      <w:rPr>
        <w:rFonts w:hint="default"/>
        <w:b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0">
    <w:nsid w:val="79B56EA4"/>
    <w:multiLevelType w:val="multilevel"/>
    <w:tmpl w:val="BBFE8F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68681686" w:numId="1">
    <w:abstractNumId w:val="37"/>
  </w:num>
  <w:num w16cid:durableId="1071150901" w:numId="2">
    <w:abstractNumId w:val="21"/>
  </w:num>
  <w:num w16cid:durableId="618610937" w:numId="3">
    <w:abstractNumId w:val="22"/>
  </w:num>
  <w:num w16cid:durableId="607665148" w:numId="4">
    <w:abstractNumId w:val="30"/>
  </w:num>
  <w:num w16cid:durableId="1069040673" w:numId="5">
    <w:abstractNumId w:val="29"/>
  </w:num>
  <w:num w16cid:durableId="1846244509" w:numId="6">
    <w:abstractNumId w:val="26"/>
  </w:num>
  <w:num w16cid:durableId="349453841" w:numId="7">
    <w:abstractNumId w:val="0"/>
  </w:num>
  <w:num w16cid:durableId="1666980264" w:numId="8">
    <w:abstractNumId w:val="2"/>
  </w:num>
  <w:num w16cid:durableId="109321459" w:numId="9">
    <w:abstractNumId w:val="8"/>
  </w:num>
  <w:num w16cid:durableId="1137069984" w:numId="10">
    <w:abstractNumId w:val="10"/>
  </w:num>
  <w:num w16cid:durableId="1270817491" w:numId="11">
    <w:abstractNumId w:val="14"/>
  </w:num>
  <w:num w16cid:durableId="1293825103" w:numId="12">
    <w:abstractNumId w:val="27"/>
  </w:num>
  <w:num w16cid:durableId="177930645" w:numId="13">
    <w:abstractNumId w:val="39"/>
  </w:num>
  <w:num w16cid:durableId="545486835" w:numId="14">
    <w:abstractNumId w:val="15"/>
  </w:num>
  <w:num w16cid:durableId="1144271600" w:numId="15">
    <w:abstractNumId w:val="25"/>
  </w:num>
  <w:num w16cid:durableId="1446919787" w:numId="16">
    <w:abstractNumId w:val="16"/>
  </w:num>
  <w:num w16cid:durableId="1060058426" w:numId="17">
    <w:abstractNumId w:val="4"/>
  </w:num>
  <w:num w16cid:durableId="113256573" w:numId="18">
    <w:abstractNumId w:val="19"/>
  </w:num>
  <w:num w16cid:durableId="1704358977" w:numId="19">
    <w:abstractNumId w:val="24"/>
  </w:num>
  <w:num w16cid:durableId="1661888610" w:numId="20">
    <w:abstractNumId w:val="36"/>
  </w:num>
  <w:num w16cid:durableId="135413682" w:numId="21">
    <w:abstractNumId w:val="28"/>
  </w:num>
  <w:num w16cid:durableId="1673021547" w:numId="22">
    <w:abstractNumId w:val="9"/>
  </w:num>
  <w:num w16cid:durableId="1936867026" w:numId="23">
    <w:abstractNumId w:val="12"/>
  </w:num>
  <w:num w16cid:durableId="1891071215" w:numId="24">
    <w:abstractNumId w:val="35"/>
  </w:num>
  <w:num w16cid:durableId="1004011671" w:numId="25">
    <w:abstractNumId w:val="7"/>
  </w:num>
  <w:num w16cid:durableId="1025709714" w:numId="26">
    <w:abstractNumId w:val="6"/>
  </w:num>
  <w:num w16cid:durableId="998115322" w:numId="27">
    <w:abstractNumId w:val="20"/>
  </w:num>
  <w:num w16cid:durableId="1673020568" w:numId="28">
    <w:abstractNumId w:val="1"/>
  </w:num>
  <w:num w16cid:durableId="2050260727" w:numId="29">
    <w:abstractNumId w:val="11"/>
  </w:num>
  <w:num w16cid:durableId="384910269" w:numId="30">
    <w:abstractNumId w:val="38"/>
  </w:num>
  <w:num w16cid:durableId="2009627961" w:numId="31">
    <w:abstractNumId w:val="13"/>
  </w:num>
  <w:num w16cid:durableId="1371684220" w:numId="32">
    <w:abstractNumId w:val="40"/>
  </w:num>
  <w:num w16cid:durableId="804203994" w:numId="33">
    <w:abstractNumId w:val="18"/>
  </w:num>
  <w:num w16cid:durableId="662776878" w:numId="34">
    <w:abstractNumId w:val="3"/>
  </w:num>
  <w:num w16cid:durableId="841240551" w:numId="35">
    <w:abstractNumId w:val="17"/>
  </w:num>
  <w:num w16cid:durableId="413236436" w:numId="36">
    <w:abstractNumId w:val="33"/>
  </w:num>
  <w:num w16cid:durableId="792090958" w:numId="37">
    <w:abstractNumId w:val="31"/>
  </w:num>
  <w:num w16cid:durableId="1718623713" w:numId="38">
    <w:abstractNumId w:val="34"/>
  </w:num>
  <w:num w16cid:durableId="958027317" w:numId="39">
    <w:abstractNumId w:val="32"/>
  </w:num>
  <w:num w16cid:durableId="1754929891" w:numId="40">
    <w:abstractNumId w:val="23"/>
  </w:num>
  <w:num w16cid:durableId="1883439352" w:numId="41">
    <w:abstractNumId w:val="5"/>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9DC"/>
    <w:rsid w:val="00002702"/>
    <w:rsid w:val="000052B0"/>
    <w:rsid w:val="0000683F"/>
    <w:rsid w:val="00007CA6"/>
    <w:rsid w:val="0001040A"/>
    <w:rsid w:val="00010678"/>
    <w:rsid w:val="00010B2C"/>
    <w:rsid w:val="0001398D"/>
    <w:rsid w:val="00014527"/>
    <w:rsid w:val="000171BA"/>
    <w:rsid w:val="00024E91"/>
    <w:rsid w:val="000335C6"/>
    <w:rsid w:val="000418FE"/>
    <w:rsid w:val="00041DC3"/>
    <w:rsid w:val="0004363C"/>
    <w:rsid w:val="00044443"/>
    <w:rsid w:val="0004470F"/>
    <w:rsid w:val="0004727B"/>
    <w:rsid w:val="0005026C"/>
    <w:rsid w:val="0005145A"/>
    <w:rsid w:val="0005367C"/>
    <w:rsid w:val="0005551D"/>
    <w:rsid w:val="00056496"/>
    <w:rsid w:val="00057A0B"/>
    <w:rsid w:val="00062817"/>
    <w:rsid w:val="00063B4A"/>
    <w:rsid w:val="00064BBA"/>
    <w:rsid w:val="00066243"/>
    <w:rsid w:val="000707F7"/>
    <w:rsid w:val="0007177F"/>
    <w:rsid w:val="00073EA0"/>
    <w:rsid w:val="000740B9"/>
    <w:rsid w:val="00090C32"/>
    <w:rsid w:val="000918EA"/>
    <w:rsid w:val="00097C18"/>
    <w:rsid w:val="000A1C4E"/>
    <w:rsid w:val="000A2718"/>
    <w:rsid w:val="000A3F38"/>
    <w:rsid w:val="000A4675"/>
    <w:rsid w:val="000A4C65"/>
    <w:rsid w:val="000A5009"/>
    <w:rsid w:val="000A54C5"/>
    <w:rsid w:val="000A6093"/>
    <w:rsid w:val="000B0509"/>
    <w:rsid w:val="000B0C4E"/>
    <w:rsid w:val="000B2418"/>
    <w:rsid w:val="000B731D"/>
    <w:rsid w:val="000C1892"/>
    <w:rsid w:val="000C4898"/>
    <w:rsid w:val="000C4AA0"/>
    <w:rsid w:val="000D646C"/>
    <w:rsid w:val="000D79DB"/>
    <w:rsid w:val="000E386A"/>
    <w:rsid w:val="000E4FAE"/>
    <w:rsid w:val="000E70B9"/>
    <w:rsid w:val="000F551E"/>
    <w:rsid w:val="00106C48"/>
    <w:rsid w:val="00110D9B"/>
    <w:rsid w:val="001141DA"/>
    <w:rsid w:val="00116FBE"/>
    <w:rsid w:val="00117550"/>
    <w:rsid w:val="0011783F"/>
    <w:rsid w:val="0012015A"/>
    <w:rsid w:val="0012665F"/>
    <w:rsid w:val="00133914"/>
    <w:rsid w:val="00135565"/>
    <w:rsid w:val="001478CC"/>
    <w:rsid w:val="001506D5"/>
    <w:rsid w:val="001520D5"/>
    <w:rsid w:val="00155C59"/>
    <w:rsid w:val="00171321"/>
    <w:rsid w:val="001744A1"/>
    <w:rsid w:val="0017614B"/>
    <w:rsid w:val="00176211"/>
    <w:rsid w:val="00177901"/>
    <w:rsid w:val="00180F4C"/>
    <w:rsid w:val="00183CB8"/>
    <w:rsid w:val="00185F13"/>
    <w:rsid w:val="001913C3"/>
    <w:rsid w:val="00192228"/>
    <w:rsid w:val="0019245C"/>
    <w:rsid w:val="00196360"/>
    <w:rsid w:val="001967F5"/>
    <w:rsid w:val="001970B5"/>
    <w:rsid w:val="001B0BF5"/>
    <w:rsid w:val="001B23D4"/>
    <w:rsid w:val="001B35F9"/>
    <w:rsid w:val="001C0FF1"/>
    <w:rsid w:val="001C1437"/>
    <w:rsid w:val="001C46A3"/>
    <w:rsid w:val="001C7E27"/>
    <w:rsid w:val="001D4728"/>
    <w:rsid w:val="001D7E17"/>
    <w:rsid w:val="001E3680"/>
    <w:rsid w:val="001F4648"/>
    <w:rsid w:val="001F5611"/>
    <w:rsid w:val="001F5FE3"/>
    <w:rsid w:val="001F7907"/>
    <w:rsid w:val="001F7BA8"/>
    <w:rsid w:val="00212023"/>
    <w:rsid w:val="00213418"/>
    <w:rsid w:val="00216056"/>
    <w:rsid w:val="00220827"/>
    <w:rsid w:val="00223031"/>
    <w:rsid w:val="0022460E"/>
    <w:rsid w:val="002305C6"/>
    <w:rsid w:val="00230981"/>
    <w:rsid w:val="002313C9"/>
    <w:rsid w:val="00233A63"/>
    <w:rsid w:val="0023489D"/>
    <w:rsid w:val="002364B4"/>
    <w:rsid w:val="0024314F"/>
    <w:rsid w:val="00243A5A"/>
    <w:rsid w:val="00247CD7"/>
    <w:rsid w:val="00247FEC"/>
    <w:rsid w:val="002542B4"/>
    <w:rsid w:val="00261963"/>
    <w:rsid w:val="00262599"/>
    <w:rsid w:val="00262F23"/>
    <w:rsid w:val="0026439E"/>
    <w:rsid w:val="0027247C"/>
    <w:rsid w:val="002741D4"/>
    <w:rsid w:val="002747BE"/>
    <w:rsid w:val="0027549E"/>
    <w:rsid w:val="00275628"/>
    <w:rsid w:val="00276A0F"/>
    <w:rsid w:val="00276B12"/>
    <w:rsid w:val="00277119"/>
    <w:rsid w:val="0028136C"/>
    <w:rsid w:val="00283021"/>
    <w:rsid w:val="00284BE0"/>
    <w:rsid w:val="00286D2A"/>
    <w:rsid w:val="00287F69"/>
    <w:rsid w:val="00291CA3"/>
    <w:rsid w:val="0029469A"/>
    <w:rsid w:val="002969CE"/>
    <w:rsid w:val="0029745D"/>
    <w:rsid w:val="002A088A"/>
    <w:rsid w:val="002A1C32"/>
    <w:rsid w:val="002A4397"/>
    <w:rsid w:val="002B14E5"/>
    <w:rsid w:val="002B27FD"/>
    <w:rsid w:val="002B74A0"/>
    <w:rsid w:val="002B7FC4"/>
    <w:rsid w:val="002C29EB"/>
    <w:rsid w:val="002C5C8A"/>
    <w:rsid w:val="002C68D7"/>
    <w:rsid w:val="002D6531"/>
    <w:rsid w:val="002E3C79"/>
    <w:rsid w:val="002E6B1B"/>
    <w:rsid w:val="00300089"/>
    <w:rsid w:val="003043EB"/>
    <w:rsid w:val="00304466"/>
    <w:rsid w:val="00304666"/>
    <w:rsid w:val="00310EA2"/>
    <w:rsid w:val="00311E6C"/>
    <w:rsid w:val="00312FCC"/>
    <w:rsid w:val="00314A14"/>
    <w:rsid w:val="003167E4"/>
    <w:rsid w:val="003206B1"/>
    <w:rsid w:val="00322F83"/>
    <w:rsid w:val="00326109"/>
    <w:rsid w:val="00327889"/>
    <w:rsid w:val="00333F5F"/>
    <w:rsid w:val="00335506"/>
    <w:rsid w:val="003355E0"/>
    <w:rsid w:val="003416C3"/>
    <w:rsid w:val="00343138"/>
    <w:rsid w:val="003515FE"/>
    <w:rsid w:val="003570AB"/>
    <w:rsid w:val="003572D5"/>
    <w:rsid w:val="003638CF"/>
    <w:rsid w:val="0036516F"/>
    <w:rsid w:val="00365BD8"/>
    <w:rsid w:val="00366E49"/>
    <w:rsid w:val="00372E31"/>
    <w:rsid w:val="003740DA"/>
    <w:rsid w:val="00377CE5"/>
    <w:rsid w:val="00386168"/>
    <w:rsid w:val="003877FF"/>
    <w:rsid w:val="0039076B"/>
    <w:rsid w:val="003909AD"/>
    <w:rsid w:val="00396F28"/>
    <w:rsid w:val="003A0431"/>
    <w:rsid w:val="003B0255"/>
    <w:rsid w:val="003B0C79"/>
    <w:rsid w:val="003B4E1D"/>
    <w:rsid w:val="003B6C52"/>
    <w:rsid w:val="003C2FA5"/>
    <w:rsid w:val="003C32A1"/>
    <w:rsid w:val="003C3A1C"/>
    <w:rsid w:val="003D4F25"/>
    <w:rsid w:val="003D6C3C"/>
    <w:rsid w:val="003D7232"/>
    <w:rsid w:val="003E3A99"/>
    <w:rsid w:val="003F3D7C"/>
    <w:rsid w:val="003F5E33"/>
    <w:rsid w:val="003F6179"/>
    <w:rsid w:val="00400EA1"/>
    <w:rsid w:val="004011DB"/>
    <w:rsid w:val="00402F42"/>
    <w:rsid w:val="0040346D"/>
    <w:rsid w:val="00405BF8"/>
    <w:rsid w:val="00410E0F"/>
    <w:rsid w:val="0042131E"/>
    <w:rsid w:val="00422EFA"/>
    <w:rsid w:val="00424FC8"/>
    <w:rsid w:val="00425D4E"/>
    <w:rsid w:val="00431451"/>
    <w:rsid w:val="004349F0"/>
    <w:rsid w:val="00436272"/>
    <w:rsid w:val="00437F29"/>
    <w:rsid w:val="004406D6"/>
    <w:rsid w:val="00441242"/>
    <w:rsid w:val="004563BC"/>
    <w:rsid w:val="0046212B"/>
    <w:rsid w:val="004647BD"/>
    <w:rsid w:val="00467BD3"/>
    <w:rsid w:val="00472114"/>
    <w:rsid w:val="00473075"/>
    <w:rsid w:val="00480083"/>
    <w:rsid w:val="00480513"/>
    <w:rsid w:val="00483623"/>
    <w:rsid w:val="004844A2"/>
    <w:rsid w:val="00485D9E"/>
    <w:rsid w:val="00490167"/>
    <w:rsid w:val="004A05EC"/>
    <w:rsid w:val="004A1D67"/>
    <w:rsid w:val="004A1DD5"/>
    <w:rsid w:val="004A1E9C"/>
    <w:rsid w:val="004A28B8"/>
    <w:rsid w:val="004A6159"/>
    <w:rsid w:val="004B3E58"/>
    <w:rsid w:val="004B3E89"/>
    <w:rsid w:val="004B4CB9"/>
    <w:rsid w:val="004B526B"/>
    <w:rsid w:val="004B592B"/>
    <w:rsid w:val="004C205F"/>
    <w:rsid w:val="004C5827"/>
    <w:rsid w:val="004D196A"/>
    <w:rsid w:val="004E0861"/>
    <w:rsid w:val="004E38DB"/>
    <w:rsid w:val="004E5606"/>
    <w:rsid w:val="004E661C"/>
    <w:rsid w:val="004E6A70"/>
    <w:rsid w:val="004E7990"/>
    <w:rsid w:val="004F1A13"/>
    <w:rsid w:val="004F1FA6"/>
    <w:rsid w:val="004F38D8"/>
    <w:rsid w:val="004F4F29"/>
    <w:rsid w:val="004F4FF5"/>
    <w:rsid w:val="004F5D0D"/>
    <w:rsid w:val="004F6806"/>
    <w:rsid w:val="005028A3"/>
    <w:rsid w:val="00504AD0"/>
    <w:rsid w:val="00505D3E"/>
    <w:rsid w:val="00506466"/>
    <w:rsid w:val="00506EDF"/>
    <w:rsid w:val="00507744"/>
    <w:rsid w:val="005077F6"/>
    <w:rsid w:val="00507A9F"/>
    <w:rsid w:val="0051435B"/>
    <w:rsid w:val="005145CF"/>
    <w:rsid w:val="005151CD"/>
    <w:rsid w:val="0051704A"/>
    <w:rsid w:val="005179B1"/>
    <w:rsid w:val="0052123F"/>
    <w:rsid w:val="0052363A"/>
    <w:rsid w:val="005265C5"/>
    <w:rsid w:val="00526717"/>
    <w:rsid w:val="00531702"/>
    <w:rsid w:val="0053279B"/>
    <w:rsid w:val="00537521"/>
    <w:rsid w:val="00547506"/>
    <w:rsid w:val="005529A0"/>
    <w:rsid w:val="00553858"/>
    <w:rsid w:val="0055486C"/>
    <w:rsid w:val="00555D91"/>
    <w:rsid w:val="00556547"/>
    <w:rsid w:val="005571D6"/>
    <w:rsid w:val="00557610"/>
    <w:rsid w:val="00560EF3"/>
    <w:rsid w:val="00564942"/>
    <w:rsid w:val="00565C66"/>
    <w:rsid w:val="00570107"/>
    <w:rsid w:val="005702B8"/>
    <w:rsid w:val="00570E30"/>
    <w:rsid w:val="00574357"/>
    <w:rsid w:val="00580B3B"/>
    <w:rsid w:val="00586C22"/>
    <w:rsid w:val="00590676"/>
    <w:rsid w:val="00590E00"/>
    <w:rsid w:val="00593F51"/>
    <w:rsid w:val="005959BE"/>
    <w:rsid w:val="005A1F5D"/>
    <w:rsid w:val="005B2C4D"/>
    <w:rsid w:val="005C12E1"/>
    <w:rsid w:val="005C20AA"/>
    <w:rsid w:val="005C2327"/>
    <w:rsid w:val="005C2AA6"/>
    <w:rsid w:val="005D09D3"/>
    <w:rsid w:val="005D5459"/>
    <w:rsid w:val="005D58B5"/>
    <w:rsid w:val="005D5B80"/>
    <w:rsid w:val="005D5FFA"/>
    <w:rsid w:val="005D78A6"/>
    <w:rsid w:val="005E02B8"/>
    <w:rsid w:val="005E0B92"/>
    <w:rsid w:val="005E11B4"/>
    <w:rsid w:val="005F25B5"/>
    <w:rsid w:val="005F293C"/>
    <w:rsid w:val="005F35E2"/>
    <w:rsid w:val="00615C09"/>
    <w:rsid w:val="00620D71"/>
    <w:rsid w:val="006215F3"/>
    <w:rsid w:val="00622E29"/>
    <w:rsid w:val="00627D6B"/>
    <w:rsid w:val="00641326"/>
    <w:rsid w:val="00646455"/>
    <w:rsid w:val="00656349"/>
    <w:rsid w:val="006600EC"/>
    <w:rsid w:val="00660BE6"/>
    <w:rsid w:val="00664D37"/>
    <w:rsid w:val="006668F1"/>
    <w:rsid w:val="006715F5"/>
    <w:rsid w:val="006717AF"/>
    <w:rsid w:val="006727D7"/>
    <w:rsid w:val="006759CD"/>
    <w:rsid w:val="0067626A"/>
    <w:rsid w:val="0068126E"/>
    <w:rsid w:val="0068630F"/>
    <w:rsid w:val="00687100"/>
    <w:rsid w:val="00691290"/>
    <w:rsid w:val="00692B53"/>
    <w:rsid w:val="00692CF6"/>
    <w:rsid w:val="00692FB4"/>
    <w:rsid w:val="006974EA"/>
    <w:rsid w:val="00697E66"/>
    <w:rsid w:val="006A0366"/>
    <w:rsid w:val="006A041E"/>
    <w:rsid w:val="006B05E5"/>
    <w:rsid w:val="006B2E36"/>
    <w:rsid w:val="006C1FB9"/>
    <w:rsid w:val="006C27C4"/>
    <w:rsid w:val="006C283D"/>
    <w:rsid w:val="006C55C8"/>
    <w:rsid w:val="006D25E2"/>
    <w:rsid w:val="006E383B"/>
    <w:rsid w:val="006E5031"/>
    <w:rsid w:val="006E51EE"/>
    <w:rsid w:val="006F0DD5"/>
    <w:rsid w:val="006F4A93"/>
    <w:rsid w:val="006F584A"/>
    <w:rsid w:val="00702788"/>
    <w:rsid w:val="00710BF4"/>
    <w:rsid w:val="0071613A"/>
    <w:rsid w:val="00716680"/>
    <w:rsid w:val="00720469"/>
    <w:rsid w:val="007207C7"/>
    <w:rsid w:val="007217BA"/>
    <w:rsid w:val="00721D50"/>
    <w:rsid w:val="00722CA5"/>
    <w:rsid w:val="00734C66"/>
    <w:rsid w:val="00737E8A"/>
    <w:rsid w:val="0074799C"/>
    <w:rsid w:val="00754099"/>
    <w:rsid w:val="00757335"/>
    <w:rsid w:val="00757918"/>
    <w:rsid w:val="0076281A"/>
    <w:rsid w:val="00771898"/>
    <w:rsid w:val="00780F2F"/>
    <w:rsid w:val="00787E6D"/>
    <w:rsid w:val="0079464C"/>
    <w:rsid w:val="007A1ACB"/>
    <w:rsid w:val="007A6CFA"/>
    <w:rsid w:val="007A7781"/>
    <w:rsid w:val="007A79DC"/>
    <w:rsid w:val="007C660A"/>
    <w:rsid w:val="007C7A26"/>
    <w:rsid w:val="007C7F53"/>
    <w:rsid w:val="007D22B1"/>
    <w:rsid w:val="007D31B3"/>
    <w:rsid w:val="007D437B"/>
    <w:rsid w:val="007D44F3"/>
    <w:rsid w:val="007E3DB9"/>
    <w:rsid w:val="007E49A7"/>
    <w:rsid w:val="007E623F"/>
    <w:rsid w:val="007E7305"/>
    <w:rsid w:val="007F3676"/>
    <w:rsid w:val="00804A4B"/>
    <w:rsid w:val="008057A2"/>
    <w:rsid w:val="00811726"/>
    <w:rsid w:val="00813066"/>
    <w:rsid w:val="00824968"/>
    <w:rsid w:val="008258CC"/>
    <w:rsid w:val="00826295"/>
    <w:rsid w:val="008265CE"/>
    <w:rsid w:val="00827607"/>
    <w:rsid w:val="00834D75"/>
    <w:rsid w:val="0085546D"/>
    <w:rsid w:val="00855F5F"/>
    <w:rsid w:val="008572D1"/>
    <w:rsid w:val="00865BBC"/>
    <w:rsid w:val="00870E4A"/>
    <w:rsid w:val="008711C4"/>
    <w:rsid w:val="00873215"/>
    <w:rsid w:val="00873B4A"/>
    <w:rsid w:val="00875FE3"/>
    <w:rsid w:val="00877640"/>
    <w:rsid w:val="008809CA"/>
    <w:rsid w:val="008823FB"/>
    <w:rsid w:val="0089439D"/>
    <w:rsid w:val="008943B2"/>
    <w:rsid w:val="008A0ECD"/>
    <w:rsid w:val="008B3EE1"/>
    <w:rsid w:val="008B4E70"/>
    <w:rsid w:val="008C0644"/>
    <w:rsid w:val="008C196A"/>
    <w:rsid w:val="008C2DEB"/>
    <w:rsid w:val="008C4709"/>
    <w:rsid w:val="008C723D"/>
    <w:rsid w:val="008C7598"/>
    <w:rsid w:val="008D0898"/>
    <w:rsid w:val="008D47C7"/>
    <w:rsid w:val="008D52B3"/>
    <w:rsid w:val="008D5FC8"/>
    <w:rsid w:val="008E0907"/>
    <w:rsid w:val="008E5E30"/>
    <w:rsid w:val="008E7CFF"/>
    <w:rsid w:val="00901754"/>
    <w:rsid w:val="00905371"/>
    <w:rsid w:val="00907990"/>
    <w:rsid w:val="00913119"/>
    <w:rsid w:val="00920680"/>
    <w:rsid w:val="009219DA"/>
    <w:rsid w:val="0092656E"/>
    <w:rsid w:val="00926A50"/>
    <w:rsid w:val="00927906"/>
    <w:rsid w:val="00932542"/>
    <w:rsid w:val="0093499A"/>
    <w:rsid w:val="00941945"/>
    <w:rsid w:val="00944B42"/>
    <w:rsid w:val="00945194"/>
    <w:rsid w:val="0094527A"/>
    <w:rsid w:val="00946A1A"/>
    <w:rsid w:val="00947617"/>
    <w:rsid w:val="009524DF"/>
    <w:rsid w:val="00957190"/>
    <w:rsid w:val="00965BAF"/>
    <w:rsid w:val="00974D56"/>
    <w:rsid w:val="0098187E"/>
    <w:rsid w:val="00983B73"/>
    <w:rsid w:val="00987400"/>
    <w:rsid w:val="00994AD8"/>
    <w:rsid w:val="00994F00"/>
    <w:rsid w:val="00997F80"/>
    <w:rsid w:val="009A06EC"/>
    <w:rsid w:val="009A124C"/>
    <w:rsid w:val="009A611A"/>
    <w:rsid w:val="009B023C"/>
    <w:rsid w:val="009B24C8"/>
    <w:rsid w:val="009B3900"/>
    <w:rsid w:val="009D41A5"/>
    <w:rsid w:val="009D425C"/>
    <w:rsid w:val="009D4D0A"/>
    <w:rsid w:val="009E410D"/>
    <w:rsid w:val="009F69C3"/>
    <w:rsid w:val="009F7B11"/>
    <w:rsid w:val="00A0440C"/>
    <w:rsid w:val="00A063F9"/>
    <w:rsid w:val="00A071CB"/>
    <w:rsid w:val="00A15056"/>
    <w:rsid w:val="00A178FC"/>
    <w:rsid w:val="00A225A4"/>
    <w:rsid w:val="00A22994"/>
    <w:rsid w:val="00A235BD"/>
    <w:rsid w:val="00A2488A"/>
    <w:rsid w:val="00A26E69"/>
    <w:rsid w:val="00A3629F"/>
    <w:rsid w:val="00A3660D"/>
    <w:rsid w:val="00A4000F"/>
    <w:rsid w:val="00A42566"/>
    <w:rsid w:val="00A44D9A"/>
    <w:rsid w:val="00A522D4"/>
    <w:rsid w:val="00A5779A"/>
    <w:rsid w:val="00A64E01"/>
    <w:rsid w:val="00A71FE9"/>
    <w:rsid w:val="00A727C5"/>
    <w:rsid w:val="00A77FF4"/>
    <w:rsid w:val="00A83100"/>
    <w:rsid w:val="00A84147"/>
    <w:rsid w:val="00A900F2"/>
    <w:rsid w:val="00A9016C"/>
    <w:rsid w:val="00A90482"/>
    <w:rsid w:val="00A916B9"/>
    <w:rsid w:val="00A93237"/>
    <w:rsid w:val="00AA4188"/>
    <w:rsid w:val="00AA6020"/>
    <w:rsid w:val="00AB118C"/>
    <w:rsid w:val="00AB482C"/>
    <w:rsid w:val="00AB517B"/>
    <w:rsid w:val="00AC3272"/>
    <w:rsid w:val="00AC5ADC"/>
    <w:rsid w:val="00AD0328"/>
    <w:rsid w:val="00AD31BA"/>
    <w:rsid w:val="00AD5C14"/>
    <w:rsid w:val="00AD615C"/>
    <w:rsid w:val="00AD6594"/>
    <w:rsid w:val="00AD6B82"/>
    <w:rsid w:val="00AE37B2"/>
    <w:rsid w:val="00AE52C3"/>
    <w:rsid w:val="00AE5594"/>
    <w:rsid w:val="00AE5778"/>
    <w:rsid w:val="00AF4B6A"/>
    <w:rsid w:val="00AF79E3"/>
    <w:rsid w:val="00B008DB"/>
    <w:rsid w:val="00B02562"/>
    <w:rsid w:val="00B0638F"/>
    <w:rsid w:val="00B10785"/>
    <w:rsid w:val="00B12DA3"/>
    <w:rsid w:val="00B14E75"/>
    <w:rsid w:val="00B173F7"/>
    <w:rsid w:val="00B249A9"/>
    <w:rsid w:val="00B26614"/>
    <w:rsid w:val="00B3088D"/>
    <w:rsid w:val="00B3401F"/>
    <w:rsid w:val="00B43282"/>
    <w:rsid w:val="00B459A6"/>
    <w:rsid w:val="00B50115"/>
    <w:rsid w:val="00B52476"/>
    <w:rsid w:val="00B570F0"/>
    <w:rsid w:val="00B575F7"/>
    <w:rsid w:val="00B578CF"/>
    <w:rsid w:val="00B621CC"/>
    <w:rsid w:val="00B641CC"/>
    <w:rsid w:val="00B67679"/>
    <w:rsid w:val="00B67BAB"/>
    <w:rsid w:val="00B73988"/>
    <w:rsid w:val="00B83238"/>
    <w:rsid w:val="00B84CC7"/>
    <w:rsid w:val="00B90307"/>
    <w:rsid w:val="00B903C7"/>
    <w:rsid w:val="00B9631A"/>
    <w:rsid w:val="00B969B3"/>
    <w:rsid w:val="00BA180B"/>
    <w:rsid w:val="00BA1FA5"/>
    <w:rsid w:val="00BA4442"/>
    <w:rsid w:val="00BA7E47"/>
    <w:rsid w:val="00BA7F05"/>
    <w:rsid w:val="00BB1878"/>
    <w:rsid w:val="00BB4784"/>
    <w:rsid w:val="00BB5007"/>
    <w:rsid w:val="00BB524B"/>
    <w:rsid w:val="00BC1B91"/>
    <w:rsid w:val="00BD09A4"/>
    <w:rsid w:val="00BD1A91"/>
    <w:rsid w:val="00BD2D2A"/>
    <w:rsid w:val="00BD3269"/>
    <w:rsid w:val="00BD3671"/>
    <w:rsid w:val="00BD4080"/>
    <w:rsid w:val="00BE05B0"/>
    <w:rsid w:val="00BE31E1"/>
    <w:rsid w:val="00BE4E1D"/>
    <w:rsid w:val="00BF016D"/>
    <w:rsid w:val="00BF0C25"/>
    <w:rsid w:val="00BF1E8D"/>
    <w:rsid w:val="00BF233B"/>
    <w:rsid w:val="00BF497A"/>
    <w:rsid w:val="00BF77D6"/>
    <w:rsid w:val="00C008A3"/>
    <w:rsid w:val="00C03804"/>
    <w:rsid w:val="00C0471C"/>
    <w:rsid w:val="00C0566A"/>
    <w:rsid w:val="00C05976"/>
    <w:rsid w:val="00C064D1"/>
    <w:rsid w:val="00C07BA2"/>
    <w:rsid w:val="00C11384"/>
    <w:rsid w:val="00C15377"/>
    <w:rsid w:val="00C16543"/>
    <w:rsid w:val="00C21021"/>
    <w:rsid w:val="00C21259"/>
    <w:rsid w:val="00C23180"/>
    <w:rsid w:val="00C237AA"/>
    <w:rsid w:val="00C27F02"/>
    <w:rsid w:val="00C33754"/>
    <w:rsid w:val="00C37F52"/>
    <w:rsid w:val="00C40545"/>
    <w:rsid w:val="00C40CCB"/>
    <w:rsid w:val="00C4390C"/>
    <w:rsid w:val="00C45C5B"/>
    <w:rsid w:val="00C5619A"/>
    <w:rsid w:val="00C6274E"/>
    <w:rsid w:val="00C6290D"/>
    <w:rsid w:val="00C62E89"/>
    <w:rsid w:val="00C631D3"/>
    <w:rsid w:val="00C64CEA"/>
    <w:rsid w:val="00C65FD2"/>
    <w:rsid w:val="00C67091"/>
    <w:rsid w:val="00C67558"/>
    <w:rsid w:val="00C67868"/>
    <w:rsid w:val="00C6789A"/>
    <w:rsid w:val="00C75342"/>
    <w:rsid w:val="00C766B7"/>
    <w:rsid w:val="00C778EF"/>
    <w:rsid w:val="00C80E97"/>
    <w:rsid w:val="00C863A6"/>
    <w:rsid w:val="00C8762F"/>
    <w:rsid w:val="00C91E01"/>
    <w:rsid w:val="00C97B2D"/>
    <w:rsid w:val="00CA28A1"/>
    <w:rsid w:val="00CA4DC0"/>
    <w:rsid w:val="00CB1AD1"/>
    <w:rsid w:val="00CC28D2"/>
    <w:rsid w:val="00CD12A0"/>
    <w:rsid w:val="00CD16ED"/>
    <w:rsid w:val="00CD6762"/>
    <w:rsid w:val="00CE0A31"/>
    <w:rsid w:val="00CE1514"/>
    <w:rsid w:val="00CE699C"/>
    <w:rsid w:val="00CF46C3"/>
    <w:rsid w:val="00CF6846"/>
    <w:rsid w:val="00CF75BE"/>
    <w:rsid w:val="00D0298D"/>
    <w:rsid w:val="00D05EB3"/>
    <w:rsid w:val="00D10363"/>
    <w:rsid w:val="00D11992"/>
    <w:rsid w:val="00D17E87"/>
    <w:rsid w:val="00D2157A"/>
    <w:rsid w:val="00D24000"/>
    <w:rsid w:val="00D256AA"/>
    <w:rsid w:val="00D31926"/>
    <w:rsid w:val="00D3229E"/>
    <w:rsid w:val="00D34975"/>
    <w:rsid w:val="00D36937"/>
    <w:rsid w:val="00D43EB7"/>
    <w:rsid w:val="00D54816"/>
    <w:rsid w:val="00D575CF"/>
    <w:rsid w:val="00D62719"/>
    <w:rsid w:val="00D64A98"/>
    <w:rsid w:val="00D66CC2"/>
    <w:rsid w:val="00D72046"/>
    <w:rsid w:val="00D72CFA"/>
    <w:rsid w:val="00D74E1B"/>
    <w:rsid w:val="00D75A0D"/>
    <w:rsid w:val="00D77170"/>
    <w:rsid w:val="00D85DF0"/>
    <w:rsid w:val="00D86200"/>
    <w:rsid w:val="00D901D0"/>
    <w:rsid w:val="00D915D6"/>
    <w:rsid w:val="00D937E7"/>
    <w:rsid w:val="00D96C99"/>
    <w:rsid w:val="00DA2352"/>
    <w:rsid w:val="00DA2E11"/>
    <w:rsid w:val="00DA4A9C"/>
    <w:rsid w:val="00DB2A36"/>
    <w:rsid w:val="00DB5B26"/>
    <w:rsid w:val="00DB5DEB"/>
    <w:rsid w:val="00DC07C8"/>
    <w:rsid w:val="00DC4881"/>
    <w:rsid w:val="00DC7719"/>
    <w:rsid w:val="00DD0260"/>
    <w:rsid w:val="00DD1F5B"/>
    <w:rsid w:val="00DD3507"/>
    <w:rsid w:val="00DD493D"/>
    <w:rsid w:val="00DE1063"/>
    <w:rsid w:val="00DE1350"/>
    <w:rsid w:val="00DE2A42"/>
    <w:rsid w:val="00DF14C6"/>
    <w:rsid w:val="00E0326E"/>
    <w:rsid w:val="00E03ED9"/>
    <w:rsid w:val="00E05B72"/>
    <w:rsid w:val="00E076C9"/>
    <w:rsid w:val="00E12151"/>
    <w:rsid w:val="00E13AA9"/>
    <w:rsid w:val="00E17355"/>
    <w:rsid w:val="00E24AF0"/>
    <w:rsid w:val="00E2775D"/>
    <w:rsid w:val="00E27CA2"/>
    <w:rsid w:val="00E34438"/>
    <w:rsid w:val="00E34800"/>
    <w:rsid w:val="00E406AD"/>
    <w:rsid w:val="00E42AE6"/>
    <w:rsid w:val="00E50DC7"/>
    <w:rsid w:val="00E578FD"/>
    <w:rsid w:val="00E607FD"/>
    <w:rsid w:val="00E61466"/>
    <w:rsid w:val="00E63B9B"/>
    <w:rsid w:val="00E63CD9"/>
    <w:rsid w:val="00E66792"/>
    <w:rsid w:val="00E70AFF"/>
    <w:rsid w:val="00E72E82"/>
    <w:rsid w:val="00E80BFB"/>
    <w:rsid w:val="00E85DC5"/>
    <w:rsid w:val="00E96328"/>
    <w:rsid w:val="00E97A4E"/>
    <w:rsid w:val="00EA020B"/>
    <w:rsid w:val="00EA2E3B"/>
    <w:rsid w:val="00EA6E11"/>
    <w:rsid w:val="00EA786B"/>
    <w:rsid w:val="00EB1DD3"/>
    <w:rsid w:val="00EB20AD"/>
    <w:rsid w:val="00EB2993"/>
    <w:rsid w:val="00EB2A84"/>
    <w:rsid w:val="00EB5685"/>
    <w:rsid w:val="00EC0A3F"/>
    <w:rsid w:val="00EC6EBE"/>
    <w:rsid w:val="00ED10B1"/>
    <w:rsid w:val="00ED39FF"/>
    <w:rsid w:val="00ED3CC0"/>
    <w:rsid w:val="00ED6B67"/>
    <w:rsid w:val="00ED73B5"/>
    <w:rsid w:val="00EE1C1E"/>
    <w:rsid w:val="00EE5575"/>
    <w:rsid w:val="00EF1CE9"/>
    <w:rsid w:val="00EF339B"/>
    <w:rsid w:val="00EF3909"/>
    <w:rsid w:val="00EF68F7"/>
    <w:rsid w:val="00F03F2E"/>
    <w:rsid w:val="00F12291"/>
    <w:rsid w:val="00F13FAD"/>
    <w:rsid w:val="00F148E7"/>
    <w:rsid w:val="00F20A0D"/>
    <w:rsid w:val="00F20C7F"/>
    <w:rsid w:val="00F22BBF"/>
    <w:rsid w:val="00F255BE"/>
    <w:rsid w:val="00F313A3"/>
    <w:rsid w:val="00F34700"/>
    <w:rsid w:val="00F40A40"/>
    <w:rsid w:val="00F41806"/>
    <w:rsid w:val="00F44F87"/>
    <w:rsid w:val="00F4518C"/>
    <w:rsid w:val="00F519A0"/>
    <w:rsid w:val="00F52E6F"/>
    <w:rsid w:val="00F54000"/>
    <w:rsid w:val="00F546F4"/>
    <w:rsid w:val="00F61F07"/>
    <w:rsid w:val="00F65D61"/>
    <w:rsid w:val="00F73BF9"/>
    <w:rsid w:val="00F760BF"/>
    <w:rsid w:val="00F83456"/>
    <w:rsid w:val="00F9110D"/>
    <w:rsid w:val="00F94403"/>
    <w:rsid w:val="00F94853"/>
    <w:rsid w:val="00FA260E"/>
    <w:rsid w:val="00FB20E3"/>
    <w:rsid w:val="00FC0F5F"/>
    <w:rsid w:val="00FC1B0A"/>
    <w:rsid w:val="00FC2F68"/>
    <w:rsid w:val="00FC46E4"/>
    <w:rsid w:val="00FC5F71"/>
    <w:rsid w:val="00FE1973"/>
    <w:rsid w:val="00FE346D"/>
    <w:rsid w:val="00FE7062"/>
    <w:rsid w:val="00FF0AD0"/>
    <w:rsid w:val="00FF381C"/>
    <w:rsid w:val="00FF7B4D"/>
    <w:rsid w:val="02DA1A99"/>
    <w:rsid w:val="042D575A"/>
    <w:rsid w:val="04D9B570"/>
    <w:rsid w:val="04EFBF2B"/>
    <w:rsid w:val="06336AEC"/>
    <w:rsid w:val="13286832"/>
    <w:rsid w:val="13BCFF02"/>
    <w:rsid w:val="202468FC"/>
    <w:rsid w:val="22131671"/>
    <w:rsid w:val="229225E5"/>
    <w:rsid w:val="267F97CA"/>
    <w:rsid w:val="292A9E77"/>
    <w:rsid w:val="2DDA42C0"/>
    <w:rsid w:val="2FC813CE"/>
    <w:rsid w:val="313979FF"/>
    <w:rsid w:val="38CC51DB"/>
    <w:rsid w:val="39B85FF6"/>
    <w:rsid w:val="3BEF9248"/>
    <w:rsid w:val="3CDDBAC5"/>
    <w:rsid w:val="49D94949"/>
    <w:rsid w:val="4A3D843D"/>
    <w:rsid w:val="4AA2524B"/>
    <w:rsid w:val="4C7FF883"/>
    <w:rsid w:val="5106455E"/>
    <w:rsid w:val="5A3E096E"/>
    <w:rsid w:val="5A76720D"/>
    <w:rsid w:val="5BA6E8C7"/>
    <w:rsid w:val="739C9B6F"/>
    <w:rsid w:val="775CCBC5"/>
    <w:rsid w:val="79C52DBD"/>
    <w:rsid w:val="7B5E2A8B"/>
    <w:rsid w:val="7DAD48F6"/>
    <w:rsid w:val="7DD4A7CF"/>
    <w:rsid w:val="7F143CB7"/>
  </w:rsids>
  <w:themeFontLang w:bidi="ar-SA"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ja-JP"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0"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E4FAE"/>
    <w:rPr>
      <w:rFonts w:ascii="Arial" w:hAnsi="Arial"/>
    </w:rPr>
  </w:style>
  <w:style w:styleId="Heading1" w:type="paragraph">
    <w:name w:val="heading 1"/>
    <w:basedOn w:val="Normal"/>
    <w:next w:val="Normal"/>
    <w:link w:val="Heading1Char"/>
    <w:uiPriority w:val="9"/>
    <w:qFormat/>
    <w:rsid w:val="000E4FAE"/>
    <w:pPr>
      <w:keepNext/>
      <w:keepLines/>
      <w:spacing w:after="0" w:before="480"/>
      <w:jc w:val="center"/>
      <w:outlineLvl w:val="0"/>
    </w:pPr>
    <w:rPr>
      <w:rFonts w:ascii="Arial Black" w:cstheme="majorBidi" w:eastAsiaTheme="majorEastAsia" w:hAnsi="Arial Black"/>
      <w:b/>
      <w:bCs/>
      <w:sz w:val="36"/>
      <w:szCs w:val="28"/>
    </w:rPr>
  </w:style>
  <w:style w:styleId="Heading2" w:type="paragraph">
    <w:name w:val="heading 2"/>
    <w:basedOn w:val="Normal"/>
    <w:next w:val="Normal"/>
    <w:link w:val="Heading2Char"/>
    <w:qFormat/>
    <w:rsid w:val="007C7F53"/>
    <w:pPr>
      <w:keepNext/>
      <w:pBdr>
        <w:top w:color="auto" w:space="1" w:sz="6" w:val="single"/>
        <w:left w:color="auto" w:space="1" w:sz="6" w:val="single"/>
        <w:bottom w:color="auto" w:space="1" w:sz="6" w:val="single"/>
        <w:right w:color="auto" w:space="1" w:sz="6" w:val="single"/>
      </w:pBdr>
      <w:shd w:color="auto" w:fill="auto" w:val="pct5"/>
      <w:spacing w:after="0" w:line="240" w:lineRule="auto"/>
      <w:outlineLvl w:val="1"/>
    </w:pPr>
    <w:rPr>
      <w:rFonts w:ascii="Arial Black" w:cs="Times New Roman" w:eastAsia="Times New Roman" w:hAnsi="Arial Black"/>
      <w:i/>
      <w:szCs w:val="20"/>
      <w:lang w:eastAsia="en-US"/>
    </w:rPr>
  </w:style>
  <w:style w:styleId="Heading3" w:type="paragraph">
    <w:name w:val="heading 3"/>
    <w:basedOn w:val="Normal"/>
    <w:next w:val="Normal"/>
    <w:link w:val="Heading3Char"/>
    <w:uiPriority w:val="9"/>
    <w:unhideWhenUsed/>
    <w:qFormat/>
    <w:rsid w:val="003570AB"/>
    <w:pPr>
      <w:keepNext/>
      <w:keepLines/>
      <w:spacing w:after="0" w:before="40"/>
      <w:outlineLvl w:val="2"/>
    </w:pPr>
    <w:rPr>
      <w:rFonts w:ascii="Arial Black" w:cstheme="majorBidi" w:eastAsiaTheme="majorEastAsia" w:hAnsi="Arial Black"/>
      <w:b/>
      <w:sz w:val="24"/>
      <w:szCs w:val="24"/>
    </w:rPr>
  </w:style>
  <w:style w:styleId="Heading4" w:type="paragraph">
    <w:name w:val="heading 4"/>
    <w:basedOn w:val="Normal"/>
    <w:next w:val="Normal"/>
    <w:link w:val="Heading4Char"/>
    <w:uiPriority w:val="9"/>
    <w:semiHidden/>
    <w:unhideWhenUsed/>
    <w:qFormat/>
    <w:rsid w:val="0067626A"/>
    <w:pPr>
      <w:keepNext/>
      <w:keepLines/>
      <w:spacing w:after="0" w:before="40"/>
      <w:outlineLvl w:val="3"/>
    </w:pPr>
    <w:rPr>
      <w:rFonts w:asciiTheme="majorHAnsi" w:cstheme="majorBidi" w:eastAsiaTheme="majorEastAsia" w:hAnsiTheme="majorHAnsi"/>
      <w:i/>
      <w:iCs/>
      <w:color w:themeColor="accent1" w:themeShade="BF" w:val="365F91"/>
    </w:rPr>
  </w:style>
  <w:style w:styleId="Heading5" w:type="paragraph">
    <w:name w:val="heading 5"/>
    <w:basedOn w:val="Normal"/>
    <w:next w:val="Normal"/>
    <w:link w:val="Heading5Char"/>
    <w:uiPriority w:val="9"/>
    <w:semiHidden/>
    <w:unhideWhenUsed/>
    <w:qFormat/>
    <w:rsid w:val="003638CF"/>
    <w:pPr>
      <w:keepNext/>
      <w:keepLines/>
      <w:spacing w:after="0" w:before="40"/>
      <w:outlineLvl w:val="4"/>
    </w:pPr>
    <w:rPr>
      <w:rFonts w:asciiTheme="majorHAnsi" w:cstheme="majorBidi" w:eastAsiaTheme="majorEastAsia" w:hAnsiTheme="majorHAnsi"/>
      <w:color w:themeColor="accent1" w:themeShade="BF" w:val="365F91"/>
    </w:rPr>
  </w:style>
  <w:style w:styleId="Heading6" w:type="paragraph">
    <w:name w:val="heading 6"/>
    <w:basedOn w:val="Normal"/>
    <w:next w:val="Normal"/>
    <w:link w:val="Heading6Char"/>
    <w:uiPriority w:val="9"/>
    <w:semiHidden/>
    <w:unhideWhenUsed/>
    <w:qFormat/>
    <w:rsid w:val="003638CF"/>
    <w:pPr>
      <w:keepNext/>
      <w:keepLines/>
      <w:spacing w:after="0" w:before="40"/>
      <w:outlineLvl w:val="5"/>
    </w:pPr>
    <w:rPr>
      <w:rFonts w:asciiTheme="majorHAnsi" w:cstheme="majorBidi" w:eastAsiaTheme="majorEastAsia" w:hAnsiTheme="majorHAnsi"/>
      <w:color w:themeColor="accent1" w:themeShade="7F" w:val="243F60"/>
    </w:rPr>
  </w:style>
  <w:style w:styleId="Heading7" w:type="paragraph">
    <w:name w:val="heading 7"/>
    <w:basedOn w:val="Normal"/>
    <w:next w:val="Normal"/>
    <w:link w:val="Heading7Char"/>
    <w:uiPriority w:val="9"/>
    <w:semiHidden/>
    <w:unhideWhenUsed/>
    <w:qFormat/>
    <w:rsid w:val="003638CF"/>
    <w:pPr>
      <w:keepNext/>
      <w:keepLines/>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uiPriority w:val="9"/>
    <w:semiHidden/>
    <w:unhideWhenUsed/>
    <w:qFormat/>
    <w:rsid w:val="003638CF"/>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3638CF"/>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7A79DC"/>
    <w:pPr>
      <w:spacing w:after="0" w:line="240" w:lineRule="auto"/>
    </w:pPr>
    <w:rPr>
      <w:rFonts w:ascii="Times New Roman" w:cs="Times New Roman" w:hAnsi="Times New Roman"/>
      <w:sz w:val="16"/>
      <w:szCs w:val="16"/>
    </w:rPr>
  </w:style>
  <w:style w:customStyle="1" w:styleId="BalloonTextChar" w:type="character">
    <w:name w:val="Balloon Text Char"/>
    <w:basedOn w:val="DefaultParagraphFont"/>
    <w:link w:val="BalloonText"/>
    <w:uiPriority w:val="99"/>
    <w:semiHidden/>
    <w:rsid w:val="007A79DC"/>
    <w:rPr>
      <w:rFonts w:ascii="Times New Roman" w:cs="Times New Roman" w:hAnsi="Times New Roman"/>
      <w:sz w:val="16"/>
      <w:szCs w:val="16"/>
    </w:rPr>
  </w:style>
  <w:style w:customStyle="1" w:styleId="Heading2Char" w:type="character">
    <w:name w:val="Heading 2 Char"/>
    <w:basedOn w:val="DefaultParagraphFont"/>
    <w:link w:val="Heading2"/>
    <w:rsid w:val="007C7F53"/>
    <w:rPr>
      <w:rFonts w:ascii="Arial Black" w:cs="Times New Roman" w:eastAsia="Times New Roman" w:hAnsi="Arial Black"/>
      <w:i/>
      <w:szCs w:val="20"/>
      <w:shd w:color="auto" w:fill="auto" w:val="pct5"/>
      <w:lang w:eastAsia="en-US"/>
    </w:rPr>
  </w:style>
  <w:style w:customStyle="1" w:styleId="StyleHeading211ptPink" w:type="paragraph">
    <w:name w:val="Style Heading 2 + 11 pt Pink"/>
    <w:basedOn w:val="Heading2"/>
    <w:link w:val="StyleHeading211ptPinkChar"/>
    <w:rsid w:val="007A79DC"/>
    <w:rPr>
      <w:smallCaps/>
      <w:color w:val="000000"/>
    </w:rPr>
  </w:style>
  <w:style w:customStyle="1" w:styleId="StyleHeading211ptPinkChar" w:type="character">
    <w:name w:val="Style Heading 2 + 11 pt Pink Char"/>
    <w:basedOn w:val="Heading2Char"/>
    <w:link w:val="StyleHeading211ptPink"/>
    <w:rsid w:val="007A79DC"/>
    <w:rPr>
      <w:rFonts w:ascii="Arial Black" w:cs="Times New Roman" w:eastAsia="Times New Roman" w:hAnsi="Arial Black"/>
      <w:i/>
      <w:smallCaps/>
      <w:color w:val="000000"/>
      <w:sz w:val="44"/>
      <w:szCs w:val="20"/>
      <w:shd w:color="auto" w:fill="auto" w:val="pct5"/>
      <w:lang w:eastAsia="en-US"/>
    </w:rPr>
  </w:style>
  <w:style w:customStyle="1" w:styleId="Style14ptBoldSmallcaps" w:type="character">
    <w:name w:val="Style 14 pt Bold Small caps"/>
    <w:basedOn w:val="DefaultParagraphFont"/>
    <w:rsid w:val="007A79DC"/>
    <w:rPr>
      <w:rFonts w:ascii="Arial" w:hAnsi="Arial"/>
      <w:b/>
      <w:bCs/>
      <w:caps/>
      <w:sz w:val="28"/>
    </w:rPr>
  </w:style>
  <w:style w:customStyle="1" w:styleId="Style16ptSmallcapsCentered" w:type="paragraph">
    <w:name w:val="Style 16 pt Small caps Centered"/>
    <w:basedOn w:val="Normal"/>
    <w:rsid w:val="007A79DC"/>
    <w:pPr>
      <w:spacing w:after="0" w:line="240" w:lineRule="auto"/>
      <w:jc w:val="center"/>
    </w:pPr>
    <w:rPr>
      <w:rFonts w:cs="Times New Roman" w:eastAsia="Times New Roman"/>
      <w:smallCaps/>
      <w:sz w:val="32"/>
      <w:szCs w:val="20"/>
      <w:lang w:eastAsia="en-US"/>
    </w:rPr>
  </w:style>
  <w:style w:customStyle="1" w:styleId="StyleHeading118ptSmallcaps" w:type="paragraph">
    <w:name w:val="Style Heading 1 + 18 pt Small caps"/>
    <w:basedOn w:val="Heading1"/>
    <w:rsid w:val="007A79DC"/>
    <w:pPr>
      <w:keepLines w:val="0"/>
      <w:spacing w:before="0" w:line="240" w:lineRule="auto"/>
    </w:pPr>
    <w:rPr>
      <w:rFonts w:ascii="Arial" w:cs="Times New Roman" w:eastAsia="Times New Roman" w:hAnsi="Arial"/>
      <w:b w:val="0"/>
      <w:bCs w:val="0"/>
      <w:caps/>
      <w:szCs w:val="24"/>
      <w:lang w:eastAsia="en-US"/>
    </w:rPr>
  </w:style>
  <w:style w:customStyle="1" w:styleId="Style10ptCentered" w:type="paragraph">
    <w:name w:val="Style 10 pt Centered"/>
    <w:basedOn w:val="Normal"/>
    <w:autoRedefine/>
    <w:rsid w:val="007A79DC"/>
    <w:pPr>
      <w:spacing w:after="0" w:line="240" w:lineRule="auto"/>
      <w:jc w:val="center"/>
    </w:pPr>
    <w:rPr>
      <w:rFonts w:cs="Times New Roman" w:eastAsia="Times New Roman"/>
      <w:sz w:val="20"/>
      <w:szCs w:val="20"/>
      <w:lang w:eastAsia="en-US"/>
    </w:rPr>
  </w:style>
  <w:style w:customStyle="1" w:styleId="Heading1Char" w:type="character">
    <w:name w:val="Heading 1 Char"/>
    <w:basedOn w:val="DefaultParagraphFont"/>
    <w:link w:val="Heading1"/>
    <w:uiPriority w:val="9"/>
    <w:rsid w:val="000E4FAE"/>
    <w:rPr>
      <w:rFonts w:ascii="Arial Black" w:cstheme="majorBidi" w:eastAsiaTheme="majorEastAsia" w:hAnsi="Arial Black"/>
      <w:b/>
      <w:bCs/>
      <w:sz w:val="36"/>
      <w:szCs w:val="28"/>
    </w:rPr>
  </w:style>
  <w:style w:styleId="BodyText" w:type="paragraph">
    <w:name w:val="Body Text"/>
    <w:basedOn w:val="Normal"/>
    <w:link w:val="BodyTextChar"/>
    <w:rsid w:val="007A79DC"/>
    <w:pPr>
      <w:spacing w:after="0" w:line="240" w:lineRule="auto"/>
    </w:pPr>
    <w:rPr>
      <w:rFonts w:ascii="Times New Roman" w:cs="Times New Roman" w:eastAsia="Times New Roman" w:hAnsi="Times New Roman"/>
      <w:b/>
      <w:color w:val="000000"/>
      <w:szCs w:val="20"/>
      <w:lang w:eastAsia="en-US"/>
    </w:rPr>
  </w:style>
  <w:style w:customStyle="1" w:styleId="BodyTextChar" w:type="character">
    <w:name w:val="Body Text Char"/>
    <w:basedOn w:val="DefaultParagraphFont"/>
    <w:link w:val="BodyText"/>
    <w:rsid w:val="007A79DC"/>
    <w:rPr>
      <w:rFonts w:ascii="Times New Roman" w:cs="Times New Roman" w:eastAsia="Times New Roman" w:hAnsi="Times New Roman"/>
      <w:b/>
      <w:color w:val="000000"/>
      <w:szCs w:val="20"/>
      <w:lang w:eastAsia="en-US"/>
    </w:rPr>
  </w:style>
  <w:style w:styleId="BodyText2" w:type="paragraph">
    <w:name w:val="Body Text 2"/>
    <w:basedOn w:val="Normal"/>
    <w:link w:val="BodyText2Char"/>
    <w:rsid w:val="007A79DC"/>
    <w:pPr>
      <w:spacing w:after="0" w:line="240" w:lineRule="auto"/>
    </w:pPr>
    <w:rPr>
      <w:rFonts w:ascii="Times New Roman" w:cs="Times New Roman" w:eastAsia="Times New Roman" w:hAnsi="Times New Roman"/>
      <w:szCs w:val="20"/>
      <w:lang w:eastAsia="en-US"/>
    </w:rPr>
  </w:style>
  <w:style w:customStyle="1" w:styleId="BodyText2Char" w:type="character">
    <w:name w:val="Body Text 2 Char"/>
    <w:basedOn w:val="DefaultParagraphFont"/>
    <w:link w:val="BodyText2"/>
    <w:rsid w:val="007A79DC"/>
    <w:rPr>
      <w:rFonts w:ascii="Times New Roman" w:cs="Times New Roman" w:eastAsia="Times New Roman" w:hAnsi="Times New Roman"/>
      <w:szCs w:val="20"/>
      <w:lang w:eastAsia="en-US"/>
    </w:rPr>
  </w:style>
  <w:style w:styleId="Hyperlink" w:type="character">
    <w:name w:val="Hyperlink"/>
    <w:basedOn w:val="DefaultParagraphFont"/>
    <w:uiPriority w:val="99"/>
    <w:rsid w:val="007A79DC"/>
    <w:rPr>
      <w:color w:val="0000FF"/>
      <w:u w:val="single"/>
    </w:rPr>
  </w:style>
  <w:style w:customStyle="1" w:styleId="subhead2" w:type="character">
    <w:name w:val="subhead2"/>
    <w:basedOn w:val="DefaultParagraphFont"/>
    <w:rsid w:val="007A79DC"/>
    <w:rPr>
      <w:b/>
      <w:bCs/>
      <w:caps/>
      <w:sz w:val="28"/>
    </w:rPr>
  </w:style>
  <w:style w:customStyle="1" w:styleId="subhead1" w:type="character">
    <w:name w:val="subhead1"/>
    <w:basedOn w:val="DefaultParagraphFont"/>
    <w:rsid w:val="007A79DC"/>
    <w:rPr>
      <w:rFonts w:ascii="Arial" w:hAnsi="Arial"/>
      <w:b/>
      <w:bCs/>
      <w:sz w:val="22"/>
    </w:rPr>
  </w:style>
  <w:style w:customStyle="1" w:styleId="StyleStyle14ptBoldSmallcapsNotBold" w:type="character">
    <w:name w:val="Style Style 14 pt Bold Small caps + Not Bold"/>
    <w:basedOn w:val="Style14ptBoldSmallcaps"/>
    <w:rsid w:val="007A79DC"/>
    <w:rPr>
      <w:rFonts w:ascii="Arial" w:hAnsi="Arial"/>
      <w:b/>
      <w:bCs/>
      <w:caps/>
      <w:sz w:val="28"/>
    </w:rPr>
  </w:style>
  <w:style w:styleId="Header" w:type="paragraph">
    <w:name w:val="header"/>
    <w:basedOn w:val="Normal"/>
    <w:link w:val="HeaderChar"/>
    <w:uiPriority w:val="99"/>
    <w:unhideWhenUsed/>
    <w:rsid w:val="007A79DC"/>
    <w:pPr>
      <w:tabs>
        <w:tab w:pos="4680" w:val="center"/>
        <w:tab w:pos="9360" w:val="right"/>
      </w:tabs>
      <w:spacing w:after="0" w:line="240" w:lineRule="auto"/>
    </w:pPr>
  </w:style>
  <w:style w:customStyle="1" w:styleId="HeaderChar" w:type="character">
    <w:name w:val="Header Char"/>
    <w:basedOn w:val="DefaultParagraphFont"/>
    <w:link w:val="Header"/>
    <w:uiPriority w:val="99"/>
    <w:rsid w:val="007A79DC"/>
  </w:style>
  <w:style w:styleId="Footer" w:type="paragraph">
    <w:name w:val="footer"/>
    <w:basedOn w:val="Normal"/>
    <w:link w:val="FooterChar"/>
    <w:unhideWhenUsed/>
    <w:rsid w:val="007A79DC"/>
    <w:pPr>
      <w:tabs>
        <w:tab w:pos="4680" w:val="center"/>
        <w:tab w:pos="9360" w:val="right"/>
      </w:tabs>
      <w:spacing w:after="0" w:line="240" w:lineRule="auto"/>
    </w:pPr>
  </w:style>
  <w:style w:customStyle="1" w:styleId="FooterChar" w:type="character">
    <w:name w:val="Footer Char"/>
    <w:basedOn w:val="DefaultParagraphFont"/>
    <w:link w:val="Footer"/>
    <w:uiPriority w:val="99"/>
    <w:semiHidden/>
    <w:rsid w:val="007A79DC"/>
  </w:style>
  <w:style w:styleId="PageNumber" w:type="character">
    <w:name w:val="page number"/>
    <w:basedOn w:val="DefaultParagraphFont"/>
    <w:rsid w:val="007A79DC"/>
  </w:style>
  <w:style w:styleId="ListParagraph" w:type="paragraph">
    <w:name w:val="List Paragraph"/>
    <w:basedOn w:val="Normal"/>
    <w:uiPriority w:val="34"/>
    <w:qFormat/>
    <w:rsid w:val="00710BF4"/>
    <w:pPr>
      <w:ind w:left="720"/>
      <w:contextualSpacing/>
    </w:pPr>
  </w:style>
  <w:style w:styleId="CommentReference" w:type="character">
    <w:name w:val="annotation reference"/>
    <w:basedOn w:val="DefaultParagraphFont"/>
    <w:uiPriority w:val="99"/>
    <w:semiHidden/>
    <w:unhideWhenUsed/>
    <w:rsid w:val="00DD1F5B"/>
    <w:rPr>
      <w:sz w:val="16"/>
      <w:szCs w:val="16"/>
    </w:rPr>
  </w:style>
  <w:style w:styleId="CommentText" w:type="paragraph">
    <w:name w:val="annotation text"/>
    <w:basedOn w:val="Normal"/>
    <w:link w:val="CommentTextChar"/>
    <w:uiPriority w:val="99"/>
    <w:unhideWhenUsed/>
    <w:rsid w:val="00DD1F5B"/>
    <w:pPr>
      <w:spacing w:line="240" w:lineRule="auto"/>
    </w:pPr>
    <w:rPr>
      <w:sz w:val="20"/>
      <w:szCs w:val="20"/>
    </w:rPr>
  </w:style>
  <w:style w:customStyle="1" w:styleId="CommentTextChar" w:type="character">
    <w:name w:val="Comment Text Char"/>
    <w:basedOn w:val="DefaultParagraphFont"/>
    <w:link w:val="CommentText"/>
    <w:uiPriority w:val="99"/>
    <w:rsid w:val="00DD1F5B"/>
    <w:rPr>
      <w:sz w:val="20"/>
      <w:szCs w:val="20"/>
    </w:rPr>
  </w:style>
  <w:style w:styleId="CommentSubject" w:type="paragraph">
    <w:name w:val="annotation subject"/>
    <w:basedOn w:val="CommentText"/>
    <w:next w:val="CommentText"/>
    <w:link w:val="CommentSubjectChar"/>
    <w:uiPriority w:val="99"/>
    <w:semiHidden/>
    <w:unhideWhenUsed/>
    <w:rsid w:val="00DD1F5B"/>
    <w:rPr>
      <w:b/>
      <w:bCs/>
    </w:rPr>
  </w:style>
  <w:style w:customStyle="1" w:styleId="CommentSubjectChar" w:type="character">
    <w:name w:val="Comment Subject Char"/>
    <w:basedOn w:val="CommentTextChar"/>
    <w:link w:val="CommentSubject"/>
    <w:uiPriority w:val="99"/>
    <w:semiHidden/>
    <w:rsid w:val="00DD1F5B"/>
    <w:rPr>
      <w:b/>
      <w:bCs/>
      <w:sz w:val="20"/>
      <w:szCs w:val="20"/>
    </w:rPr>
  </w:style>
  <w:style w:customStyle="1" w:styleId="Heading3Char" w:type="character">
    <w:name w:val="Heading 3 Char"/>
    <w:basedOn w:val="DefaultParagraphFont"/>
    <w:link w:val="Heading3"/>
    <w:uiPriority w:val="9"/>
    <w:rsid w:val="003570AB"/>
    <w:rPr>
      <w:rFonts w:ascii="Arial Black" w:cstheme="majorBidi" w:eastAsiaTheme="majorEastAsia" w:hAnsi="Arial Black"/>
      <w:b/>
      <w:sz w:val="24"/>
      <w:szCs w:val="24"/>
    </w:rPr>
  </w:style>
  <w:style w:styleId="NoSpacing" w:type="paragraph">
    <w:name w:val="No Spacing"/>
    <w:uiPriority w:val="1"/>
    <w:qFormat/>
    <w:rsid w:val="00946A1A"/>
    <w:pPr>
      <w:spacing w:after="0" w:line="240" w:lineRule="auto"/>
    </w:pPr>
    <w:rPr>
      <w:rFonts w:ascii="Arial" w:hAnsi="Arial"/>
    </w:rPr>
  </w:style>
  <w:style w:styleId="ListBullet" w:type="paragraph">
    <w:name w:val="List Bullet"/>
    <w:basedOn w:val="Normal"/>
    <w:uiPriority w:val="99"/>
    <w:unhideWhenUsed/>
    <w:rsid w:val="003D6C3C"/>
    <w:pPr>
      <w:numPr>
        <w:numId w:val="7"/>
      </w:numPr>
      <w:contextualSpacing/>
    </w:pPr>
  </w:style>
  <w:style w:styleId="FollowedHyperlink" w:type="character">
    <w:name w:val="FollowedHyperlink"/>
    <w:basedOn w:val="DefaultParagraphFont"/>
    <w:uiPriority w:val="99"/>
    <w:semiHidden/>
    <w:unhideWhenUsed/>
    <w:rsid w:val="00E03ED9"/>
    <w:rPr>
      <w:color w:themeColor="followedHyperlink" w:val="800080"/>
      <w:u w:val="single"/>
    </w:rPr>
  </w:style>
  <w:style w:styleId="TableGrid" w:type="table">
    <w:name w:val="Table Grid"/>
    <w:basedOn w:val="TableNormal"/>
    <w:uiPriority w:val="39"/>
    <w:rsid w:val="0029469A"/>
    <w:pPr>
      <w:spacing w:after="0" w:line="240" w:lineRule="auto"/>
    </w:pPr>
    <w:rPr>
      <w:rFonts w:eastAsia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BF497A"/>
    <w:rPr>
      <w:color w:val="605E5C"/>
      <w:shd w:color="auto" w:fill="E1DFDD" w:val="clear"/>
    </w:rPr>
  </w:style>
  <w:style w:customStyle="1" w:styleId="Heading4Char" w:type="character">
    <w:name w:val="Heading 4 Char"/>
    <w:basedOn w:val="DefaultParagraphFont"/>
    <w:link w:val="Heading4"/>
    <w:uiPriority w:val="9"/>
    <w:semiHidden/>
    <w:rsid w:val="0067626A"/>
    <w:rPr>
      <w:rFonts w:asciiTheme="majorHAnsi" w:cstheme="majorBidi" w:eastAsiaTheme="majorEastAsia" w:hAnsiTheme="majorHAnsi"/>
      <w:i/>
      <w:iCs/>
      <w:color w:themeColor="accent1" w:themeShade="BF" w:val="365F91"/>
    </w:rPr>
  </w:style>
  <w:style w:styleId="BookTitle" w:type="character">
    <w:name w:val="Book Title"/>
    <w:basedOn w:val="DefaultParagraphFont"/>
    <w:uiPriority w:val="33"/>
    <w:qFormat/>
    <w:rsid w:val="003638CF"/>
    <w:rPr>
      <w:b/>
      <w:bCs/>
      <w:i/>
      <w:iCs/>
      <w:spacing w:val="5"/>
    </w:rPr>
  </w:style>
  <w:style w:styleId="Caption" w:type="paragraph">
    <w:name w:val="caption"/>
    <w:basedOn w:val="Normal"/>
    <w:next w:val="Normal"/>
    <w:uiPriority w:val="35"/>
    <w:semiHidden/>
    <w:unhideWhenUsed/>
    <w:qFormat/>
    <w:rsid w:val="003638CF"/>
    <w:pPr>
      <w:spacing w:line="240" w:lineRule="auto"/>
    </w:pPr>
    <w:rPr>
      <w:i/>
      <w:iCs/>
      <w:color w:themeColor="text2" w:val="1F497D"/>
      <w:sz w:val="18"/>
      <w:szCs w:val="18"/>
    </w:rPr>
  </w:style>
  <w:style w:styleId="Emphasis" w:type="character">
    <w:name w:val="Emphasis"/>
    <w:basedOn w:val="DefaultParagraphFont"/>
    <w:uiPriority w:val="20"/>
    <w:qFormat/>
    <w:rsid w:val="003638CF"/>
    <w:rPr>
      <w:i/>
      <w:iCs/>
    </w:rPr>
  </w:style>
  <w:style w:customStyle="1" w:styleId="Heading5Char" w:type="character">
    <w:name w:val="Heading 5 Char"/>
    <w:basedOn w:val="DefaultParagraphFont"/>
    <w:link w:val="Heading5"/>
    <w:uiPriority w:val="9"/>
    <w:semiHidden/>
    <w:rsid w:val="003638CF"/>
    <w:rPr>
      <w:rFonts w:asciiTheme="majorHAnsi" w:cstheme="majorBidi" w:eastAsiaTheme="majorEastAsia" w:hAnsiTheme="majorHAnsi"/>
      <w:color w:themeColor="accent1" w:themeShade="BF" w:val="365F91"/>
    </w:rPr>
  </w:style>
  <w:style w:customStyle="1" w:styleId="Heading6Char" w:type="character">
    <w:name w:val="Heading 6 Char"/>
    <w:basedOn w:val="DefaultParagraphFont"/>
    <w:link w:val="Heading6"/>
    <w:uiPriority w:val="9"/>
    <w:semiHidden/>
    <w:rsid w:val="003638CF"/>
    <w:rPr>
      <w:rFonts w:asciiTheme="majorHAnsi" w:cstheme="majorBidi" w:eastAsiaTheme="majorEastAsia" w:hAnsiTheme="majorHAnsi"/>
      <w:color w:themeColor="accent1" w:themeShade="7F" w:val="243F60"/>
    </w:rPr>
  </w:style>
  <w:style w:customStyle="1" w:styleId="Heading7Char" w:type="character">
    <w:name w:val="Heading 7 Char"/>
    <w:basedOn w:val="DefaultParagraphFont"/>
    <w:link w:val="Heading7"/>
    <w:uiPriority w:val="9"/>
    <w:semiHidden/>
    <w:rsid w:val="003638CF"/>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uiPriority w:val="9"/>
    <w:semiHidden/>
    <w:rsid w:val="003638CF"/>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3638CF"/>
    <w:rPr>
      <w:rFonts w:asciiTheme="majorHAnsi" w:cstheme="majorBidi" w:eastAsiaTheme="majorEastAsia" w:hAnsiTheme="majorHAnsi"/>
      <w:i/>
      <w:iCs/>
      <w:color w:themeColor="text1" w:themeTint="D8" w:val="272727"/>
      <w:sz w:val="21"/>
      <w:szCs w:val="21"/>
    </w:rPr>
  </w:style>
  <w:style w:styleId="IntenseEmphasis" w:type="character">
    <w:name w:val="Intense Emphasis"/>
    <w:basedOn w:val="DefaultParagraphFont"/>
    <w:uiPriority w:val="21"/>
    <w:qFormat/>
    <w:rsid w:val="003638CF"/>
    <w:rPr>
      <w:i/>
      <w:iCs/>
      <w:color w:themeColor="accent1" w:val="4F81BD"/>
    </w:rPr>
  </w:style>
  <w:style w:styleId="IntenseQuote" w:type="paragraph">
    <w:name w:val="Intense Quote"/>
    <w:basedOn w:val="Normal"/>
    <w:next w:val="Normal"/>
    <w:link w:val="IntenseQuoteChar"/>
    <w:uiPriority w:val="30"/>
    <w:qFormat/>
    <w:rsid w:val="003638CF"/>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IntenseQuoteChar" w:type="character">
    <w:name w:val="Intense Quote Char"/>
    <w:basedOn w:val="DefaultParagraphFont"/>
    <w:link w:val="IntenseQuote"/>
    <w:uiPriority w:val="30"/>
    <w:rsid w:val="003638CF"/>
    <w:rPr>
      <w:rFonts w:ascii="Arial" w:hAnsi="Arial"/>
      <w:i/>
      <w:iCs/>
      <w:color w:themeColor="accent1" w:val="4F81BD"/>
    </w:rPr>
  </w:style>
  <w:style w:styleId="IntenseReference" w:type="character">
    <w:name w:val="Intense Reference"/>
    <w:basedOn w:val="DefaultParagraphFont"/>
    <w:uiPriority w:val="32"/>
    <w:qFormat/>
    <w:rsid w:val="003638CF"/>
    <w:rPr>
      <w:b/>
      <w:bCs/>
      <w:smallCaps/>
      <w:color w:themeColor="accent1" w:val="4F81BD"/>
      <w:spacing w:val="5"/>
    </w:rPr>
  </w:style>
  <w:style w:styleId="Quote" w:type="paragraph">
    <w:name w:val="Quote"/>
    <w:basedOn w:val="Normal"/>
    <w:next w:val="Normal"/>
    <w:link w:val="QuoteChar"/>
    <w:uiPriority w:val="29"/>
    <w:qFormat/>
    <w:rsid w:val="003638CF"/>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3638CF"/>
    <w:rPr>
      <w:rFonts w:ascii="Arial" w:hAnsi="Arial"/>
      <w:i/>
      <w:iCs/>
      <w:color w:themeColor="text1" w:themeTint="BF" w:val="404040"/>
    </w:rPr>
  </w:style>
  <w:style w:styleId="Strong" w:type="character">
    <w:name w:val="Strong"/>
    <w:basedOn w:val="DefaultParagraphFont"/>
    <w:uiPriority w:val="22"/>
    <w:qFormat/>
    <w:rsid w:val="003638CF"/>
    <w:rPr>
      <w:b/>
      <w:bCs/>
    </w:rPr>
  </w:style>
  <w:style w:styleId="Subtitle" w:type="paragraph">
    <w:name w:val="Subtitle"/>
    <w:basedOn w:val="Normal"/>
    <w:next w:val="Normal"/>
    <w:link w:val="SubtitleChar"/>
    <w:uiPriority w:val="11"/>
    <w:qFormat/>
    <w:rsid w:val="003638CF"/>
    <w:pPr>
      <w:numPr>
        <w:ilvl w:val="1"/>
      </w:numPr>
      <w:spacing w:after="160"/>
    </w:pPr>
    <w:rPr>
      <w:rFonts w:asciiTheme="minorHAnsi" w:hAnsiTheme="minorHAnsi"/>
      <w:color w:themeColor="text1" w:themeTint="A5" w:val="5A5A5A"/>
      <w:spacing w:val="15"/>
    </w:rPr>
  </w:style>
  <w:style w:customStyle="1" w:styleId="SubtitleChar" w:type="character">
    <w:name w:val="Subtitle Char"/>
    <w:basedOn w:val="DefaultParagraphFont"/>
    <w:link w:val="Subtitle"/>
    <w:uiPriority w:val="11"/>
    <w:rsid w:val="003638CF"/>
    <w:rPr>
      <w:color w:themeColor="text1" w:themeTint="A5" w:val="5A5A5A"/>
      <w:spacing w:val="15"/>
    </w:rPr>
  </w:style>
  <w:style w:styleId="SubtleEmphasis" w:type="character">
    <w:name w:val="Subtle Emphasis"/>
    <w:basedOn w:val="DefaultParagraphFont"/>
    <w:uiPriority w:val="19"/>
    <w:qFormat/>
    <w:rsid w:val="003638CF"/>
    <w:rPr>
      <w:i/>
      <w:iCs/>
      <w:color w:themeColor="text1" w:themeTint="BF" w:val="404040"/>
    </w:rPr>
  </w:style>
  <w:style w:styleId="SubtleReference" w:type="character">
    <w:name w:val="Subtle Reference"/>
    <w:basedOn w:val="DefaultParagraphFont"/>
    <w:uiPriority w:val="31"/>
    <w:qFormat/>
    <w:rsid w:val="003638CF"/>
    <w:rPr>
      <w:smallCaps/>
      <w:color w:themeColor="text1" w:themeTint="A5" w:val="5A5A5A"/>
    </w:rPr>
  </w:style>
  <w:style w:styleId="Title" w:type="paragraph">
    <w:name w:val="Title"/>
    <w:basedOn w:val="Normal"/>
    <w:next w:val="Normal"/>
    <w:link w:val="TitleChar"/>
    <w:uiPriority w:val="10"/>
    <w:qFormat/>
    <w:rsid w:val="003638CF"/>
    <w:pPr>
      <w:spacing w:after="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638CF"/>
    <w:rPr>
      <w:rFonts w:asciiTheme="majorHAnsi" w:cstheme="majorBidi" w:eastAsiaTheme="majorEastAsia" w:hAnsiTheme="majorHAnsi"/>
      <w:spacing w:val="-10"/>
      <w:kern w:val="28"/>
      <w:sz w:val="56"/>
      <w:szCs w:val="56"/>
    </w:rPr>
  </w:style>
  <w:style w:styleId="TOCHeading" w:type="paragraph">
    <w:name w:val="TOC Heading"/>
    <w:basedOn w:val="Heading1"/>
    <w:next w:val="Normal"/>
    <w:uiPriority w:val="39"/>
    <w:semiHidden/>
    <w:unhideWhenUsed/>
    <w:qFormat/>
    <w:rsid w:val="003638CF"/>
    <w:pPr>
      <w:spacing w:before="240"/>
      <w:jc w:val="left"/>
      <w:outlineLvl w:val="9"/>
    </w:pPr>
    <w:rPr>
      <w:rFonts w:asciiTheme="majorHAnsi" w:hAnsiTheme="majorHAnsi"/>
      <w:b w:val="0"/>
      <w:bCs w:val="0"/>
      <w:color w:themeColor="accent1" w:themeShade="BF" w:val="365F91"/>
      <w:sz w:val="32"/>
      <w:szCs w:val="32"/>
    </w:rPr>
  </w:style>
  <w:style w:customStyle="1" w:styleId="bcx0" w:type="character">
    <w:name w:val="bcx0"/>
    <w:basedOn w:val="DefaultParagraphFont"/>
    <w:rsid w:val="007217BA"/>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36379">
      <w:bodyDiv w:val="1"/>
      <w:marLeft w:val="0"/>
      <w:marRight w:val="0"/>
      <w:marTop w:val="0"/>
      <w:marBottom w:val="0"/>
      <w:divBdr>
        <w:top w:val="none" w:sz="0" w:space="0" w:color="auto"/>
        <w:left w:val="none" w:sz="0" w:space="0" w:color="auto"/>
        <w:bottom w:val="none" w:sz="0" w:space="0" w:color="auto"/>
        <w:right w:val="none" w:sz="0" w:space="0" w:color="auto"/>
      </w:divBdr>
    </w:div>
    <w:div w:id="1137989852">
      <w:bodyDiv w:val="1"/>
      <w:marLeft w:val="0"/>
      <w:marRight w:val="0"/>
      <w:marTop w:val="0"/>
      <w:marBottom w:val="0"/>
      <w:divBdr>
        <w:top w:val="none" w:sz="0" w:space="0" w:color="auto"/>
        <w:left w:val="none" w:sz="0" w:space="0" w:color="auto"/>
        <w:bottom w:val="none" w:sz="0" w:space="0" w:color="auto"/>
        <w:right w:val="none" w:sz="0" w:space="0" w:color="auto"/>
      </w:divBdr>
    </w:div>
    <w:div w:id="1192719345">
      <w:bodyDiv w:val="1"/>
      <w:marLeft w:val="0"/>
      <w:marRight w:val="0"/>
      <w:marTop w:val="0"/>
      <w:marBottom w:val="0"/>
      <w:divBdr>
        <w:top w:val="none" w:sz="0" w:space="0" w:color="auto"/>
        <w:left w:val="none" w:sz="0" w:space="0" w:color="auto"/>
        <w:bottom w:val="none" w:sz="0" w:space="0" w:color="auto"/>
        <w:right w:val="none" w:sz="0" w:space="0" w:color="auto"/>
      </w:divBdr>
    </w:div>
    <w:div w:id="1635213312">
      <w:bodyDiv w:val="1"/>
      <w:marLeft w:val="0"/>
      <w:marRight w:val="0"/>
      <w:marTop w:val="0"/>
      <w:marBottom w:val="0"/>
      <w:divBdr>
        <w:top w:val="none" w:sz="0" w:space="0" w:color="auto"/>
        <w:left w:val="none" w:sz="0" w:space="0" w:color="auto"/>
        <w:bottom w:val="none" w:sz="0" w:space="0" w:color="auto"/>
        <w:right w:val="none" w:sz="0" w:space="0" w:color="auto"/>
      </w:divBdr>
    </w:div>
    <w:div w:id="172845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47" Type="http://schemas.openxmlformats.org/officeDocument/2006/relationships/numbering" Target="numbering.xml"/><Relationship Id="rId46" Type="http://schemas.openxmlformats.org/officeDocument/2006/relationships/styles" Target="styles.xml"/><Relationship Id="rId45" Type="http://schemas.openxmlformats.org/officeDocument/2006/relationships/settings" Target="settings.xml"/><Relationship Id="rId44" Type="http://schemas.openxmlformats.org/officeDocument/2006/relationships/webSettings" Target="webSettings.xml"/><Relationship Id="rId43" Type="http://schemas.openxmlformats.org/officeDocument/2006/relationships/fontTable" Target="fontTable.xml"/><Relationship Id="rId42" Type="http://schemas.openxmlformats.org/officeDocument/2006/relationships/theme" Target="theme/theme1.xml"/><Relationship Id="rId41" Type="http://schemas.openxmlformats.org/officeDocument/2006/relationships/footnotes" Target="footnotes.xml"/><Relationship Id="rId40" Type="http://schemas.openxmlformats.org/officeDocument/2006/relationships/comments" Target="comments.xml"/><Relationship Id="rId39" Type="http://schemas.openxmlformats.org/officeDocument/2006/relationships/footer" Target="footer3.xml"/><Relationship Id="rId34" Type="http://schemas.openxmlformats.org/officeDocument/2006/relationships/header" Target="header1.xml"/><Relationship Id="rId11" Type="http://schemas.openxmlformats.org/officeDocument/2006/relationships/image" Target="media/image1.png"/><Relationship Id="rId37" Type="http://schemas.openxmlformats.org/officeDocument/2006/relationships/footer" Target="footer2.xml"/><Relationship Id="rId36" Type="http://schemas.openxmlformats.org/officeDocument/2006/relationships/footer" Target="footer1.xml"/><Relationship Id="rId35" Type="http://schemas.openxmlformats.org/officeDocument/2006/relationships/header" Target="header2.xml"/><Relationship Id="rId12" Type="http://schemas.openxmlformats.org/officeDocument/2006/relationships/image" Target="cid:image010.png@01D5FC40.78408B20" TargetMode="External"/><Relationship Id="rId38" Type="http://schemas.openxmlformats.org/officeDocument/2006/relationships/header" Target="header3.xml"/><Relationship Id="rId48" Type="http://schemas.openxmlformats.org/officeDocument/2006/relationships/image" Target="media/rId48.png"/><Relationship Id="rId96" Type="http://schemas.openxmlformats.org/officeDocument/2006/relationships/hyperlink" Target="http://library.cityu.edu/" TargetMode="External"/><Relationship Id="rId95" Type="http://schemas.openxmlformats.org/officeDocument/2006/relationships/hyperlink" Target="https://cityu-seattle.libanswers.com/" TargetMode="External"/><Relationship Id="rId58" Type="http://schemas.openxmlformats.org/officeDocument/2006/relationships/hyperlink" Target="https://cityu.alma.exlibrisgroup.com/leganto/login?auth=SAML" TargetMode="External"/><Relationship Id="rId71" Type="http://schemas.openxmlformats.org/officeDocument/2006/relationships/hyperlink" Target="https://library.cityu.edu/howto/apa-writing/avoid-plagiarism/" TargetMode="External"/><Relationship Id="rId93" Type="http://schemas.openxmlformats.org/officeDocument/2006/relationships/hyperlink" Target="https://my.cityu.edu/pages/disability-support-services" TargetMode="External"/><Relationship Id="rId98" Type="http://schemas.openxmlformats.org/officeDocument/2006/relationships/hyperlink" Target="https://my.cityu.edu/pages/tutoring-resources" TargetMode="External"/><Relationship Id="rId84" Type="http://schemas.openxmlformats.org/officeDocument/2006/relationships/hyperlink" Target="https://www.cityu.edu/about-cityu/student-right-to-know/" TargetMode="External"/><Relationship Id="rId65" Type="http://schemas.openxmlformats.org/officeDocument/2006/relationships/hyperlink" Target="https://www.cityu.edu/catalog/" TargetMode="External"/><Relationship Id="rId59" Type="http://schemas.openxmlformats.org/officeDocument/2006/relationships/hyperlink" Target="https://www.cityubookstore.ca/index.asp" TargetMode="External"/><Relationship Id="rId85" Type="http://schemas.openxmlformats.org/officeDocument/2006/relationships/hyperlink" Target="https://www.cityuniversity.ca/about/cityu-at-a-glance/" TargetMode="External"/><Relationship Id="rId70" Type="http://schemas.openxmlformats.org/officeDocument/2006/relationships/hyperlink" Target="https://www.iscap-edsig.org/" TargetMode="External"/><Relationship Id="rId92" Type="http://schemas.openxmlformats.org/officeDocument/2006/relationships/hyperlink" Target="mailto:accommodations@cityu.edu" TargetMode="External"/></Relationships>
</file>

<file path=word/_rels/footnotes.xml.rels><?xml version='1.0' encoding='UTF-8' standalone='yes'?>
<Relationships xmlns="http://schemas.openxmlformats.org/package/2006/relationships"><Relationship Id="rId96" Type="http://schemas.openxmlformats.org/officeDocument/2006/relationships/hyperlink" Target="http://library.cityu.edu/" TargetMode="External"/><Relationship Id="rId95" Type="http://schemas.openxmlformats.org/officeDocument/2006/relationships/hyperlink" Target="https://cityu-seattle.libanswers.com/" TargetMode="External"/><Relationship Id="rId58" Type="http://schemas.openxmlformats.org/officeDocument/2006/relationships/hyperlink" Target="https://cityu.alma.exlibrisgroup.com/leganto/login?auth=SAML" TargetMode="External"/><Relationship Id="rId71" Type="http://schemas.openxmlformats.org/officeDocument/2006/relationships/hyperlink" Target="https://library.cityu.edu/howto/apa-writing/avoid-plagiarism/" TargetMode="External"/><Relationship Id="rId93" Type="http://schemas.openxmlformats.org/officeDocument/2006/relationships/hyperlink" Target="https://my.cityu.edu/pages/disability-support-services" TargetMode="External"/><Relationship Id="rId98" Type="http://schemas.openxmlformats.org/officeDocument/2006/relationships/hyperlink" Target="https://my.cityu.edu/pages/tutoring-resources" TargetMode="External"/><Relationship Id="rId84" Type="http://schemas.openxmlformats.org/officeDocument/2006/relationships/hyperlink" Target="https://www.cityu.edu/about-cityu/student-right-to-know/" TargetMode="External"/><Relationship Id="rId65" Type="http://schemas.openxmlformats.org/officeDocument/2006/relationships/hyperlink" Target="https://www.cityu.edu/catalog/" TargetMode="External"/><Relationship Id="rId59" Type="http://schemas.openxmlformats.org/officeDocument/2006/relationships/hyperlink" Target="https://www.cityubookstore.ca/index.asp" TargetMode="External"/><Relationship Id="rId85" Type="http://schemas.openxmlformats.org/officeDocument/2006/relationships/hyperlink" Target="https://www.cityuniversity.ca/about/cityu-at-a-glance/" TargetMode="External"/><Relationship Id="rId70" Type="http://schemas.openxmlformats.org/officeDocument/2006/relationships/hyperlink" Target="https://www.iscap-edsig.org/" TargetMode="External"/><Relationship Id="rId92" Type="http://schemas.openxmlformats.org/officeDocument/2006/relationships/hyperlink" Target="mailto:accommodations@cit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506</TotalTime>
  <Pages>21</Pages>
  <Words>6536</Words>
  <Characters>37453</Characters>
  <Application>Microsoft Office Word</Application>
  <DocSecurity>0</DocSecurity>
  <Lines>1101</Lines>
  <Paragraphs>676</Paragraphs>
  <ScaleCrop>false</ScaleCrop>
  <Company/>
  <LinksUpToDate>false</LinksUpToDate>
  <CharactersWithSpaces>43313</CharactersWithSpaces>
  <SharedDoc>false</SharedDoc>
  <HLinks>
    <vt:vector size="138" baseType="variant">
      <vt:variant>
        <vt:i4>5374046</vt:i4>
      </vt:variant>
      <vt:variant>
        <vt:i4>66</vt:i4>
      </vt:variant>
      <vt:variant>
        <vt:i4>0</vt:i4>
      </vt:variant>
      <vt:variant>
        <vt:i4>5</vt:i4>
      </vt:variant>
      <vt:variant>
        <vt:lpwstr>https://my.cityu.edu/pages/tutoring-resources</vt:lpwstr>
      </vt:variant>
      <vt:variant>
        <vt:lpwstr/>
      </vt:variant>
      <vt:variant>
        <vt:i4>5177364</vt:i4>
      </vt:variant>
      <vt:variant>
        <vt:i4>63</vt:i4>
      </vt:variant>
      <vt:variant>
        <vt:i4>0</vt:i4>
      </vt:variant>
      <vt:variant>
        <vt:i4>5</vt:i4>
      </vt:variant>
      <vt:variant>
        <vt:lpwstr>http://library.cityu.edu/</vt:lpwstr>
      </vt:variant>
      <vt:variant>
        <vt:lpwstr/>
      </vt:variant>
      <vt:variant>
        <vt:i4>1835013</vt:i4>
      </vt:variant>
      <vt:variant>
        <vt:i4>60</vt:i4>
      </vt:variant>
      <vt:variant>
        <vt:i4>0</vt:i4>
      </vt:variant>
      <vt:variant>
        <vt:i4>5</vt:i4>
      </vt:variant>
      <vt:variant>
        <vt:lpwstr>https://cityu-seattle.libanswers.com/</vt:lpwstr>
      </vt:variant>
      <vt:variant>
        <vt:lpwstr/>
      </vt:variant>
      <vt:variant>
        <vt:i4>6750265</vt:i4>
      </vt:variant>
      <vt:variant>
        <vt:i4>57</vt:i4>
      </vt:variant>
      <vt:variant>
        <vt:i4>0</vt:i4>
      </vt:variant>
      <vt:variant>
        <vt:i4>5</vt:i4>
      </vt:variant>
      <vt:variant>
        <vt:lpwstr>https://my.cityu.edu/pages/disability-support-services</vt:lpwstr>
      </vt:variant>
      <vt:variant>
        <vt:lpwstr/>
      </vt:variant>
      <vt:variant>
        <vt:i4>1966112</vt:i4>
      </vt:variant>
      <vt:variant>
        <vt:i4>54</vt:i4>
      </vt:variant>
      <vt:variant>
        <vt:i4>0</vt:i4>
      </vt:variant>
      <vt:variant>
        <vt:i4>5</vt:i4>
      </vt:variant>
      <vt:variant>
        <vt:lpwstr>mailto:accommodations@cityu.edu</vt:lpwstr>
      </vt:variant>
      <vt:variant>
        <vt:lpwstr/>
      </vt:variant>
      <vt:variant>
        <vt:i4>4522058</vt:i4>
      </vt:variant>
      <vt:variant>
        <vt:i4>51</vt:i4>
      </vt:variant>
      <vt:variant>
        <vt:i4>0</vt:i4>
      </vt:variant>
      <vt:variant>
        <vt:i4>5</vt:i4>
      </vt:variant>
      <vt:variant>
        <vt:lpwstr>http://www.cityu.edu/catalog/</vt:lpwstr>
      </vt:variant>
      <vt:variant>
        <vt:lpwstr/>
      </vt:variant>
      <vt:variant>
        <vt:i4>4522058</vt:i4>
      </vt:variant>
      <vt:variant>
        <vt:i4>48</vt:i4>
      </vt:variant>
      <vt:variant>
        <vt:i4>0</vt:i4>
      </vt:variant>
      <vt:variant>
        <vt:i4>5</vt:i4>
      </vt:variant>
      <vt:variant>
        <vt:lpwstr>http://www.cityu.edu/catalog/</vt:lpwstr>
      </vt:variant>
      <vt:variant>
        <vt:lpwstr/>
      </vt:variant>
      <vt:variant>
        <vt:i4>3407992</vt:i4>
      </vt:variant>
      <vt:variant>
        <vt:i4>45</vt:i4>
      </vt:variant>
      <vt:variant>
        <vt:i4>0</vt:i4>
      </vt:variant>
      <vt:variant>
        <vt:i4>5</vt:i4>
      </vt:variant>
      <vt:variant>
        <vt:lpwstr>https://www.cityuniversity.ca/about/cityu-at-a-glance/</vt:lpwstr>
      </vt:variant>
      <vt:variant>
        <vt:lpwstr/>
      </vt:variant>
      <vt:variant>
        <vt:i4>196636</vt:i4>
      </vt:variant>
      <vt:variant>
        <vt:i4>42</vt:i4>
      </vt:variant>
      <vt:variant>
        <vt:i4>0</vt:i4>
      </vt:variant>
      <vt:variant>
        <vt:i4>5</vt:i4>
      </vt:variant>
      <vt:variant>
        <vt:lpwstr>https://www.cityu.edu/about-cityu/student-right-to-know/</vt:lpwstr>
      </vt:variant>
      <vt:variant>
        <vt:lpwstr/>
      </vt:variant>
      <vt:variant>
        <vt:i4>4522058</vt:i4>
      </vt:variant>
      <vt:variant>
        <vt:i4>39</vt:i4>
      </vt:variant>
      <vt:variant>
        <vt:i4>0</vt:i4>
      </vt:variant>
      <vt:variant>
        <vt:i4>5</vt:i4>
      </vt:variant>
      <vt:variant>
        <vt:lpwstr>http://www.cityu.edu/catalog/</vt:lpwstr>
      </vt:variant>
      <vt:variant>
        <vt:lpwstr/>
      </vt:variant>
      <vt:variant>
        <vt:i4>5308503</vt:i4>
      </vt:variant>
      <vt:variant>
        <vt:i4>36</vt:i4>
      </vt:variant>
      <vt:variant>
        <vt:i4>0</vt:i4>
      </vt:variant>
      <vt:variant>
        <vt:i4>5</vt:i4>
      </vt:variant>
      <vt:variant>
        <vt:lpwstr>https://library.cityu.edu/howto/apa-writing/avoid-plagiarism/</vt:lpwstr>
      </vt:variant>
      <vt:variant>
        <vt:lpwstr/>
      </vt:variant>
      <vt:variant>
        <vt:i4>589891</vt:i4>
      </vt:variant>
      <vt:variant>
        <vt:i4>33</vt:i4>
      </vt:variant>
      <vt:variant>
        <vt:i4>0</vt:i4>
      </vt:variant>
      <vt:variant>
        <vt:i4>5</vt:i4>
      </vt:variant>
      <vt:variant>
        <vt:lpwstr>https://www.iscap-edsig.org/</vt:lpwstr>
      </vt:variant>
      <vt:variant>
        <vt:lpwstr/>
      </vt:variant>
      <vt:variant>
        <vt:i4>5308503</vt:i4>
      </vt:variant>
      <vt:variant>
        <vt:i4>30</vt:i4>
      </vt:variant>
      <vt:variant>
        <vt:i4>0</vt:i4>
      </vt:variant>
      <vt:variant>
        <vt:i4>5</vt:i4>
      </vt:variant>
      <vt:variant>
        <vt:lpwstr>https://library.cityu.edu/howto/apa-writing/avoid-plagiarism/</vt:lpwstr>
      </vt:variant>
      <vt:variant>
        <vt:lpwstr/>
      </vt:variant>
      <vt:variant>
        <vt:i4>5636114</vt:i4>
      </vt:variant>
      <vt:variant>
        <vt:i4>27</vt:i4>
      </vt:variant>
      <vt:variant>
        <vt:i4>0</vt:i4>
      </vt:variant>
      <vt:variant>
        <vt:i4>5</vt:i4>
      </vt:variant>
      <vt:variant>
        <vt:lpwstr>https://iscap.us/org/</vt:lpwstr>
      </vt:variant>
      <vt:variant>
        <vt:lpwstr/>
      </vt:variant>
      <vt:variant>
        <vt:i4>131144</vt:i4>
      </vt:variant>
      <vt:variant>
        <vt:i4>24</vt:i4>
      </vt:variant>
      <vt:variant>
        <vt:i4>0</vt:i4>
      </vt:variant>
      <vt:variant>
        <vt:i4>5</vt:i4>
      </vt:variant>
      <vt:variant>
        <vt:lpwstr>https://view.officeapps.live.com/op/view.aspx?src=https%3A%2F%2Fiscap.us%2Fdocs%2Fsubmissions%2FISCAPProceedingsTemplate.docx&amp;wdOrigin=BROWSELINK</vt:lpwstr>
      </vt:variant>
      <vt:variant>
        <vt:lpwstr/>
      </vt:variant>
      <vt:variant>
        <vt:i4>8192046</vt:i4>
      </vt:variant>
      <vt:variant>
        <vt:i4>21</vt:i4>
      </vt:variant>
      <vt:variant>
        <vt:i4>0</vt:i4>
      </vt:variant>
      <vt:variant>
        <vt:i4>5</vt:i4>
      </vt:variant>
      <vt:variant>
        <vt:lpwstr>https://www.cityu.edu/catalog/</vt:lpwstr>
      </vt:variant>
      <vt:variant>
        <vt:lpwstr/>
      </vt:variant>
      <vt:variant>
        <vt:i4>3539067</vt:i4>
      </vt:variant>
      <vt:variant>
        <vt:i4>18</vt:i4>
      </vt:variant>
      <vt:variant>
        <vt:i4>0</vt:i4>
      </vt:variant>
      <vt:variant>
        <vt:i4>5</vt:i4>
      </vt:variant>
      <vt:variant>
        <vt:lpwstr>https://www.cityubookstore.ca/index.asp</vt:lpwstr>
      </vt:variant>
      <vt:variant>
        <vt:lpwstr/>
      </vt:variant>
      <vt:variant>
        <vt:i4>1835036</vt:i4>
      </vt:variant>
      <vt:variant>
        <vt:i4>15</vt:i4>
      </vt:variant>
      <vt:variant>
        <vt:i4>0</vt:i4>
      </vt:variant>
      <vt:variant>
        <vt:i4>5</vt:i4>
      </vt:variant>
      <vt:variant>
        <vt:lpwstr>https://cityu.alma.exlibrisgroup.com/leganto/login?auth=SAML</vt:lpwstr>
      </vt:variant>
      <vt:variant>
        <vt:lpwstr/>
      </vt:variant>
      <vt:variant>
        <vt:i4>1835013</vt:i4>
      </vt:variant>
      <vt:variant>
        <vt:i4>12</vt:i4>
      </vt:variant>
      <vt:variant>
        <vt:i4>0</vt:i4>
      </vt:variant>
      <vt:variant>
        <vt:i4>5</vt:i4>
      </vt:variant>
      <vt:variant>
        <vt:lpwstr>https://cityu-seattle.libanswers.com/</vt:lpwstr>
      </vt:variant>
      <vt:variant>
        <vt:lpwstr/>
      </vt:variant>
      <vt:variant>
        <vt:i4>6750265</vt:i4>
      </vt:variant>
      <vt:variant>
        <vt:i4>9</vt:i4>
      </vt:variant>
      <vt:variant>
        <vt:i4>0</vt:i4>
      </vt:variant>
      <vt:variant>
        <vt:i4>5</vt:i4>
      </vt:variant>
      <vt:variant>
        <vt:lpwstr>https://my.cityu.edu/pages/disability-support-services</vt:lpwstr>
      </vt:variant>
      <vt:variant>
        <vt:lpwstr/>
      </vt:variant>
      <vt:variant>
        <vt:i4>3407992</vt:i4>
      </vt:variant>
      <vt:variant>
        <vt:i4>6</vt:i4>
      </vt:variant>
      <vt:variant>
        <vt:i4>0</vt:i4>
      </vt:variant>
      <vt:variant>
        <vt:i4>5</vt:i4>
      </vt:variant>
      <vt:variant>
        <vt:lpwstr>https://www.cityuniversity.ca/about/cityu-at-a-glance/</vt:lpwstr>
      </vt:variant>
      <vt:variant>
        <vt:lpwstr/>
      </vt:variant>
      <vt:variant>
        <vt:i4>196636</vt:i4>
      </vt:variant>
      <vt:variant>
        <vt:i4>3</vt:i4>
      </vt:variant>
      <vt:variant>
        <vt:i4>0</vt:i4>
      </vt:variant>
      <vt:variant>
        <vt:i4>5</vt:i4>
      </vt:variant>
      <vt:variant>
        <vt:lpwstr>https://www.cityu.edu/about-cityu/student-right-to-know/</vt:lpwstr>
      </vt:variant>
      <vt:variant>
        <vt:lpwstr/>
      </vt:variant>
      <vt:variant>
        <vt:i4>8192046</vt:i4>
      </vt:variant>
      <vt:variant>
        <vt:i4>0</vt:i4>
      </vt:variant>
      <vt:variant>
        <vt:i4>0</vt:i4>
      </vt:variant>
      <vt:variant>
        <vt:i4>5</vt:i4>
      </vt:variant>
      <vt:variant>
        <vt:lpwstr>https://www.cityu.edu/catalog/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2026-10-16T20:04:29Z</dcterms:created>
  <dcterms:modified xsi:type="dcterms:W3CDTF">2026-10-16T20:04:29Z</dcterms:modified>
</cp:coreProperties>
</file>

<file path=docProps/custom.xml><?xml version="1.0" encoding="utf-8"?>
<Properties xmlns="http://schemas.openxmlformats.org/officeDocument/2006/custom-properties" xmlns:vt="http://schemas.openxmlformats.org/officeDocument/2006/docPropsVTypes"/>
</file>