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943600" cy="772332"/>
            <wp:effectExtent b="0" l="0" r="0" t="0"/>
            <wp:docPr descr="City University of Seattle" title="" id="49" name="Picture"/>
            <a:graphic>
              <a:graphicData uri="http://schemas.openxmlformats.org/drawingml/2006/picture">
                <pic:pic>
                  <pic:nvPicPr>
                    <pic:cNvPr descr="/Users/clark/stc-transformation/courses/new-syllabi/cityu-syllabus-banner.png" id="50" name="Picture"/>
                    <pic:cNvPicPr>
                      <a:picLocks noChangeArrowheads="1" noChangeAspect="1"/>
                    </pic:cNvPicPr>
                  </pic:nvPicPr>
                  <pic:blipFill>
                    <a:blip r:embed="rId48"/>
                    <a:stretch>
                      <a:fillRect/>
                    </a:stretch>
                  </pic:blipFill>
                  <pic:spPr bwMode="auto">
                    <a:xfrm>
                      <a:off x="0" y="0"/>
                      <a:ext cx="5943600" cy="772332"/>
                    </a:xfrm>
                    <a:prstGeom prst="rect">
                      <a:avLst/>
                    </a:prstGeom>
                    <a:noFill/>
                    <a:ln w="9525">
                      <a:noFill/>
                      <a:headEnd/>
                      <a:tailEnd/>
                    </a:ln>
                  </pic:spPr>
                </pic:pic>
              </a:graphicData>
            </a:graphic>
          </wp:inline>
        </w:drawing>
      </w:r>
    </w:p>
    <w:bookmarkStart w:id="51" w:name="Xc654d5d8742b4cac77035456d4476f63db4b11a"/>
    <w:p>
      <w:pPr>
        <w:pStyle w:val="Heading2"/>
      </w:pPr>
      <w:r>
        <w:t xml:space="preserve">This form mimics the new syllabus template.</w:t>
      </w:r>
    </w:p>
    <w:bookmarkEnd w:id="51"/>
    <w:bookmarkStart w:id="52" w:name="X9a8d5fe09e1407b155984564766b1b193f43edf"/>
    <w:p>
      <w:pPr>
        <w:pStyle w:val="Heading2"/>
      </w:pPr>
      <w:r>
        <w:t xml:space="preserve">In addition to the headings listed below, please complete this information used for PeopleSoft entry.</w:t>
      </w:r>
    </w:p>
    <w:p>
      <w:pPr>
        <w:numPr>
          <w:ilvl w:val="0"/>
          <w:numId w:val="1001"/>
        </w:numPr>
      </w:pPr>
      <w:r>
        <w:t xml:space="preserve">Course Manager/Administrator</w:t>
      </w:r>
      <w:r>
        <w:br/>
      </w:r>
      <w:r>
        <w:rPr>
          <w:b/>
          <w:bCs/>
        </w:rPr>
        <w:t xml:space="preserve">Brian Maeng, Program Director</w:t>
      </w:r>
    </w:p>
    <w:p>
      <w:pPr>
        <w:numPr>
          <w:ilvl w:val="0"/>
          <w:numId w:val="1001"/>
        </w:numPr>
      </w:pPr>
      <w:r>
        <w:t xml:space="preserve">Course Status (Revision, Teachout, Closed):</w:t>
      </w:r>
      <w:r>
        <w:br/>
      </w:r>
      <w:r>
        <w:rPr>
          <w:b/>
          <w:bCs/>
        </w:rPr>
        <w:t xml:space="preserve">New Course (adapted from IS 471 Cyber Ethics)</w:t>
      </w:r>
    </w:p>
    <w:p>
      <w:pPr>
        <w:numPr>
          <w:ilvl w:val="0"/>
          <w:numId w:val="1001"/>
        </w:numPr>
      </w:pPr>
      <w:r>
        <w:t xml:space="preserve">Can the course be repeated for credit?</w:t>
      </w:r>
      <w:r>
        <w:br/>
      </w:r>
      <w:r>
        <w:rPr>
          <w:b/>
          <w:bCs/>
        </w:rPr>
        <w:t xml:space="preserve">No, a failed course can be repeated</w:t>
      </w:r>
    </w:p>
    <w:p>
      <w:pPr>
        <w:numPr>
          <w:ilvl w:val="0"/>
          <w:numId w:val="1001"/>
        </w:numPr>
      </w:pPr>
      <w:r>
        <w:t xml:space="preserve">Does the course require consent from the program for registration?</w:t>
      </w:r>
      <w:r>
        <w:br/>
      </w:r>
      <w:r>
        <w:rPr>
          <w:b/>
          <w:bCs/>
        </w:rPr>
        <w:t xml:space="preserve">No</w:t>
      </w:r>
    </w:p>
    <w:p>
      <w:pPr>
        <w:numPr>
          <w:ilvl w:val="0"/>
          <w:numId w:val="1001"/>
        </w:numPr>
      </w:pPr>
      <w:r>
        <w:t xml:space="preserve">Are there pre-requisites?</w:t>
      </w:r>
      <w:r>
        <w:br/>
      </w:r>
      <w:r>
        <w:rPr>
          <w:b/>
          <w:bCs/>
        </w:rPr>
        <w:t xml:space="preserve">No</w:t>
      </w:r>
    </w:p>
    <w:p>
      <w:pPr>
        <w:numPr>
          <w:ilvl w:val="0"/>
          <w:numId w:val="1001"/>
        </w:numPr>
      </w:pPr>
      <w:r>
        <w:t xml:space="preserve">Are there co-requisites?</w:t>
      </w:r>
      <w:r>
        <w:br/>
      </w:r>
      <w:r>
        <w:rPr>
          <w:b/>
          <w:bCs/>
        </w:rPr>
        <w:t xml:space="preserve">No</w:t>
      </w:r>
    </w:p>
    <w:bookmarkEnd w:id="52"/>
    <w:bookmarkStart w:id="53" w:name="ai-371-cyber-and-ai-ethics-ss"/>
    <w:p>
      <w:pPr>
        <w:pStyle w:val="Heading1"/>
      </w:pPr>
      <w:r>
        <w:t xml:space="preserve">AI 371: Cyber and AI Ethics (SS)</w:t>
      </w:r>
    </w:p>
    <w:bookmarkEnd w:id="53"/>
    <w:bookmarkStart w:id="54" w:name="school-of-technology-computing"/>
    <w:p>
      <w:pPr>
        <w:pStyle w:val="Heading1"/>
      </w:pPr>
      <w:r>
        <w:t xml:space="preserve">School of Technology &amp; Computing</w:t>
      </w:r>
    </w:p>
    <w:p>
      <w:pPr>
        <w:pStyle w:val="FirstParagraph"/>
      </w:pPr>
      <w:r>
        <w:t xml:space="preserve">5 Credits</w:t>
      </w:r>
      <w:r>
        <w:br/>
      </w:r>
      <w:r>
        <w:t xml:space="preserve">Effective Date (TBD)</w:t>
      </w:r>
      <w:r>
        <w:br/>
      </w:r>
      <w:r>
        <w:t xml:space="preserve">Grading Type: (Decimal)</w:t>
      </w:r>
      <w:r>
        <w:br/>
      </w:r>
      <w:r>
        <w:t xml:space="preserve">List any Pre-requisite: None</w:t>
      </w:r>
      <w:r>
        <w:br/>
      </w:r>
      <w:r>
        <w:t xml:space="preserve">General Education: Social Sciences (SS)</w:t>
      </w:r>
    </w:p>
    <w:p>
      <w:pPr>
        <w:pStyle w:val="BodyText"/>
      </w:pPr>
      <w:r>
        <w:rPr>
          <w:i/>
          <w:iCs/>
        </w:rPr>
        <w:t xml:space="preserve">Access to the Internet is required.</w:t>
      </w:r>
      <w:r>
        <w:br/>
      </w:r>
      <w:r>
        <w:rPr>
          <w:i/>
          <w:iCs/>
        </w:rPr>
        <w:t xml:space="preserve">All written assignments must be in Microsoft-Word-compatible formats.</w:t>
      </w:r>
      <w:r>
        <w:br/>
      </w:r>
      <w:r>
        <w:rPr>
          <w:i/>
          <w:iCs/>
        </w:rPr>
        <w:t xml:space="preserve">See the library's APA Style Guide tutorial for a list of resources that can help you use APA style.</w:t>
      </w:r>
    </w:p>
    <w:bookmarkEnd w:id="54"/>
    <w:bookmarkStart w:id="55" w:name="faculty-information"/>
    <w:p>
      <w:pPr>
        <w:pStyle w:val="Heading1"/>
      </w:pPr>
      <w:r>
        <w:t xml:space="preserve">Faculty Information</w:t>
      </w:r>
    </w:p>
    <w:p>
      <w:pPr>
        <w:pStyle w:val="FirstParagraph"/>
      </w:pPr>
      <w:r>
        <w:t xml:space="preserve">Professional experience information for instructors is found under</w:t>
      </w:r>
      <w:r>
        <w:t xml:space="preserve"> </w:t>
      </w:r>
      <w:r>
        <w:rPr>
          <w:i/>
          <w:iCs/>
        </w:rPr>
        <w:t xml:space="preserve">Syllabus, Schedule, and Course Team → Meet Your Instructor</w:t>
      </w:r>
      <w:r>
        <w:t xml:space="preserve"> </w:t>
      </w:r>
      <w:r>
        <w:t xml:space="preserve">in the online course menu.</w:t>
      </w:r>
    </w:p>
    <w:bookmarkEnd w:id="55"/>
    <w:bookmarkStart w:id="56" w:name="contact-information"/>
    <w:p>
      <w:pPr>
        <w:pStyle w:val="Heading1"/>
      </w:pPr>
      <w:r>
        <w:t xml:space="preserve">Contact Information</w:t>
      </w:r>
    </w:p>
    <w:p>
      <w:pPr>
        <w:pStyle w:val="FirstParagraph"/>
      </w:pPr>
      <w:r>
        <w:t xml:space="preserve">Contact information for instructors is found under</w:t>
      </w:r>
      <w:r>
        <w:t xml:space="preserve"> </w:t>
      </w:r>
      <w:r>
        <w:rPr>
          <w:i/>
          <w:iCs/>
        </w:rPr>
        <w:t xml:space="preserve">Syllabus, Schedule, and Course Team</w:t>
      </w:r>
      <w:r>
        <w:t xml:space="preserve"> </w:t>
      </w:r>
      <w:r>
        <w:t xml:space="preserve">in the online course menu.</w:t>
      </w:r>
    </w:p>
    <w:bookmarkEnd w:id="56"/>
    <w:bookmarkStart w:id="57" w:name="course-description"/>
    <w:p>
      <w:pPr>
        <w:pStyle w:val="Heading1"/>
      </w:pPr>
      <w:r>
        <w:t xml:space="preserve">Course Description</w:t>
      </w:r>
    </w:p>
    <w:p>
      <w:pPr>
        <w:pStyle w:val="FirstParagraph"/>
      </w:pPr>
      <w:r>
        <w:t xml:space="preserve">Moves beyond traditional Cyber Ethics to address rapidly evolving AI challenges: algorithmic bias, automated decision-making, generative AI ethics, data equity, digital surveillance, the “alignment problem,” and AI governance.</w:t>
      </w:r>
    </w:p>
    <w:bookmarkEnd w:id="57"/>
    <w:bookmarkStart w:id="60" w:name="course-resources"/>
    <w:p>
      <w:pPr>
        <w:pStyle w:val="Heading1"/>
      </w:pPr>
      <w:r>
        <w:t xml:space="preserve">Course Resources</w:t>
      </w:r>
    </w:p>
    <w:p>
      <w:pPr>
        <w:pStyle w:val="FirstParagraph"/>
      </w:pPr>
      <w:r>
        <w:t xml:space="preserve">Required and recommended resources to complete coursework and assignments are found on the course</w:t>
      </w:r>
      <w:r>
        <w:t xml:space="preserve"> </w:t>
      </w:r>
      <w:hyperlink r:id="rId58">
        <w:r>
          <w:rPr>
            <w:rStyle w:val="Hyperlink"/>
          </w:rPr>
          <w:t xml:space="preserve">Reading List</w:t>
        </w:r>
      </w:hyperlink>
      <w:r>
        <w:t xml:space="preserve">. Access is provided through the</w:t>
      </w:r>
      <w:r>
        <w:t xml:space="preserve"> </w:t>
      </w:r>
      <w:r>
        <w:rPr>
          <w:i/>
          <w:iCs/>
        </w:rPr>
        <w:t xml:space="preserve">Reading List</w:t>
      </w:r>
      <w:r>
        <w:t xml:space="preserve"> </w:t>
      </w:r>
      <w:r>
        <w:t xml:space="preserve">link in your online course as well as from the library homepage (“Reading List” button).</w:t>
      </w:r>
    </w:p>
    <w:p>
      <w:pPr>
        <w:pStyle w:val="BodyText"/>
      </w:pPr>
      <w:r>
        <w:rPr>
          <w:b/>
          <w:bCs/>
        </w:rPr>
        <w:t xml:space="preserve">Note</w:t>
      </w:r>
      <w:r>
        <w:t xml:space="preserve">: Required resources that must be purchased by the student are tagged “Purchase from a vendor of your choosing.” Required resources with a direct link, “Available through CityU Library”, are available electronically at no cost to students.</w:t>
      </w:r>
    </w:p>
    <w:p>
      <w:pPr>
        <w:pStyle w:val="BodyText"/>
      </w:pPr>
      <w:r>
        <w:t xml:space="preserve">Students in Canada may purchase course resources from the</w:t>
      </w:r>
      <w:r>
        <w:t xml:space="preserve"> </w:t>
      </w:r>
      <w:hyperlink r:id="rId59">
        <w:r>
          <w:rPr>
            <w:rStyle w:val="Hyperlink"/>
          </w:rPr>
          <w:t xml:space="preserve">Canada Bookstore</w:t>
        </w:r>
      </w:hyperlink>
      <w:r>
        <w:t xml:space="preserve">, and students outside the U.S. and Canada should contact their advisor or textbook coordinator for additional information.</w:t>
      </w:r>
    </w:p>
    <w:p>
      <w:pPr>
        <w:pStyle w:val="BodyText"/>
      </w:pPr>
      <w:r>
        <w:rPr>
          <w:b/>
          <w:bCs/>
        </w:rPr>
        <w:t xml:space="preserve">Required:</w:t>
      </w:r>
      <w:r>
        <w:t xml:space="preserve"> </w:t>
      </w:r>
      <w:r>
        <w:t xml:space="preserve">Maurer, P. J., &amp; Skoudis, E. (2024).</w:t>
      </w:r>
      <w:r>
        <w:t xml:space="preserve"> </w:t>
      </w:r>
      <w:r>
        <w:rPr>
          <w:i/>
          <w:iCs/>
        </w:rPr>
        <w:t xml:space="preserve">The code of honor: Embracing ethics in cybersecurity</w:t>
      </w:r>
      <w:r>
        <w:t xml:space="preserve">. Wiley. ISBN 9781394275885.</w:t>
      </w:r>
    </w:p>
    <w:p>
      <w:pPr>
        <w:pStyle w:val="BodyText"/>
      </w:pPr>
      <w:r>
        <w:rPr>
          <w:b/>
          <w:bCs/>
        </w:rPr>
        <w:t xml:space="preserve">Supplementary (free; one per module, see the Course Schedule):</w:t>
      </w:r>
      <w:r>
        <w:t xml:space="preserve"> </w:t>
      </w:r>
      <w:r>
        <w:t xml:space="preserve">ACM Code of Ethics and Professional Conduct (2018); Barocas, Hardt, &amp; Narayanan,</w:t>
      </w:r>
      <w:r>
        <w:t xml:space="preserve"> </w:t>
      </w:r>
      <w:r>
        <w:rPr>
          <w:i/>
          <w:iCs/>
        </w:rPr>
        <w:t xml:space="preserve">Fairness and Machine Learning</w:t>
      </w:r>
      <w:r>
        <w:t xml:space="preserve"> </w:t>
      </w:r>
      <w:r>
        <w:t xml:space="preserve">(2023, free online); Buolamwini &amp; Gebru, “Gender Shades” (2018); Angwin et al., “Machine Bias,”</w:t>
      </w:r>
      <w:r>
        <w:t xml:space="preserve"> </w:t>
      </w:r>
      <w:r>
        <w:rPr>
          <w:i/>
          <w:iCs/>
        </w:rPr>
        <w:t xml:space="preserve">ProPublica</w:t>
      </w:r>
      <w:r>
        <w:t xml:space="preserve"> </w:t>
      </w:r>
      <w:r>
        <w:t xml:space="preserve">(2016); NIST AI Risk Management Framework 1.0 (2023) and Generative AI Profile (NIST AI 600-1, 2024); the EU AI Act (Regulation (EU) 2024/1689); U.S. Copyright Office,</w:t>
      </w:r>
      <w:r>
        <w:t xml:space="preserve"> </w:t>
      </w:r>
      <w:r>
        <w:rPr>
          <w:i/>
          <w:iCs/>
        </w:rPr>
        <w:t xml:space="preserve">Copyright and Artificial Intelligence, Part 2</w:t>
      </w:r>
      <w:r>
        <w:t xml:space="preserve"> </w:t>
      </w:r>
      <w:r>
        <w:t xml:space="preserve">(2025); the AI Incident Database.</w:t>
      </w:r>
    </w:p>
    <w:bookmarkEnd w:id="60"/>
    <w:bookmarkStart w:id="61" w:name="prerequisites"/>
    <w:p>
      <w:pPr>
        <w:pStyle w:val="Heading1"/>
      </w:pPr>
      <w:r>
        <w:t xml:space="preserve">Prerequisites</w:t>
      </w:r>
    </w:p>
    <w:p>
      <w:pPr>
        <w:pStyle w:val="FirstParagraph"/>
      </w:pPr>
      <w:r>
        <w:t xml:space="preserve">None.</w:t>
      </w:r>
    </w:p>
    <w:bookmarkEnd w:id="61"/>
    <w:bookmarkStart w:id="62" w:name="course-outcomes"/>
    <w:p>
      <w:pPr>
        <w:pStyle w:val="Heading1"/>
      </w:pPr>
      <w:r>
        <w:t xml:space="preserve">Course Outcomes</w:t>
      </w:r>
    </w:p>
    <w:p>
      <w:pPr>
        <w:pStyle w:val="FirstParagraph"/>
      </w:pPr>
      <w:r>
        <w:t xml:space="preserve">This course will prepare students to:</w:t>
      </w:r>
    </w:p>
    <w:p>
      <w:pPr>
        <w:pStyle w:val="BodyText"/>
      </w:pPr>
      <w:r>
        <w:t xml:space="preserve">O1 Explain fundamental ethical frameworks (Deontology, Utilitarianism, Virtue Ethics) and how they apply to both human cyber-behavior and AI logic.</w:t>
      </w:r>
    </w:p>
    <w:p>
      <w:pPr>
        <w:pStyle w:val="BodyText"/>
      </w:pPr>
      <w:r>
        <w:t xml:space="preserve">O2 Analyze sources of algorithmic bias, data discrimination in ML pipelines, and AI-driven misinformation impacting civil liberties.</w:t>
      </w:r>
    </w:p>
    <w:p>
      <w:pPr>
        <w:pStyle w:val="BodyText"/>
      </w:pPr>
      <w:r>
        <w:t xml:space="preserve">O3 Apply professional ethical codes to resolve conflicts related to privacy, security, and automated decision-making.</w:t>
      </w:r>
    </w:p>
    <w:p>
      <w:pPr>
        <w:pStyle w:val="BodyText"/>
      </w:pPr>
      <w:r>
        <w:t xml:space="preserve">O4 Evaluate ethical implications of autonomous systems regarding accountability when an AI agent causes harm.</w:t>
      </w:r>
    </w:p>
    <w:p>
      <w:pPr>
        <w:pStyle w:val="BodyText"/>
      </w:pPr>
      <w:r>
        <w:t xml:space="preserve">O5 Develop a comprehensive Ethical AI Framework incorporating data transparency, model explainability, and human-in-the-loop oversight.</w:t>
      </w:r>
    </w:p>
    <w:bookmarkEnd w:id="62"/>
    <w:bookmarkStart w:id="64" w:name="additional-information"/>
    <w:p>
      <w:pPr>
        <w:pStyle w:val="Heading1"/>
      </w:pPr>
      <w:r>
        <w:t xml:space="preserve">Additional Information</w:t>
      </w:r>
    </w:p>
    <w:bookmarkStart w:id="63" w:name="core-concepts-tools"/>
    <w:p>
      <w:pPr>
        <w:pStyle w:val="Heading3"/>
      </w:pPr>
      <w:r>
        <w:t xml:space="preserve">Core Concepts &amp; Tools</w:t>
      </w:r>
    </w:p>
    <w:p>
      <w:pPr>
        <w:numPr>
          <w:ilvl w:val="0"/>
          <w:numId w:val="1002"/>
        </w:numPr>
      </w:pPr>
      <w:r>
        <w:t xml:space="preserve">Ethical frameworks (Deontology, Utilitarianism, Virtue Ethics) applied to human cyber-behavior and to AI logic</w:t>
      </w:r>
    </w:p>
    <w:p>
      <w:pPr>
        <w:numPr>
          <w:ilvl w:val="0"/>
          <w:numId w:val="1002"/>
        </w:numPr>
      </w:pPr>
      <w:r>
        <w:t xml:space="preserve">Professional codes of conduct (ACM Code of Ethics, the Cybersecurity Code of Honor) and responsible disclosure, including AI incidents</w:t>
      </w:r>
    </w:p>
    <w:p>
      <w:pPr>
        <w:numPr>
          <w:ilvl w:val="0"/>
          <w:numId w:val="1002"/>
        </w:numPr>
      </w:pPr>
      <w:r>
        <w:t xml:space="preserve">Accountability when an AI agent causes harm: mapping data providers, developers, deployers, operators, and users</w:t>
      </w:r>
    </w:p>
    <w:p>
      <w:pPr>
        <w:numPr>
          <w:ilvl w:val="0"/>
          <w:numId w:val="1002"/>
        </w:numPr>
      </w:pPr>
      <w:r>
        <w:t xml:space="preserve">Algorithmic bias and data equity in ML pipelines; a no-code bias audit (selection rates, false-positive rates, the four-fifths rule)</w:t>
      </w:r>
    </w:p>
    <w:p>
      <w:pPr>
        <w:numPr>
          <w:ilvl w:val="0"/>
          <w:numId w:val="1002"/>
        </w:numPr>
      </w:pPr>
      <w:r>
        <w:t xml:space="preserve">Automated decision-making and human-in-the-loop oversight</w:t>
      </w:r>
    </w:p>
    <w:p>
      <w:pPr>
        <w:numPr>
          <w:ilvl w:val="0"/>
          <w:numId w:val="1002"/>
        </w:numPr>
      </w:pPr>
      <w:r>
        <w:t xml:space="preserve">Deepfakes and AI-driven misinformation; intellectual property and generative AI</w:t>
      </w:r>
    </w:p>
    <w:p>
      <w:pPr>
        <w:numPr>
          <w:ilvl w:val="0"/>
          <w:numId w:val="1002"/>
        </w:numPr>
      </w:pPr>
      <w:r>
        <w:t xml:space="preserve">Privacy, digital surveillance, and civil liberties</w:t>
      </w:r>
    </w:p>
    <w:p>
      <w:pPr>
        <w:numPr>
          <w:ilvl w:val="0"/>
          <w:numId w:val="1002"/>
        </w:numPr>
      </w:pPr>
      <w:r>
        <w:t xml:space="preserve">The alignment problem and AI governance (NIST AI RMF, EU AI Act)</w:t>
      </w:r>
    </w:p>
    <w:bookmarkEnd w:id="63"/>
    <w:bookmarkEnd w:id="64"/>
    <w:bookmarkStart w:id="66" w:name="grading-scale"/>
    <w:p>
      <w:pPr>
        <w:pStyle w:val="Heading1"/>
      </w:pPr>
      <w:r>
        <w:t xml:space="preserve">Grading Scale</w:t>
      </w:r>
    </w:p>
    <w:p>
      <w:pPr>
        <w:pStyle w:val="FirstParagraph"/>
      </w:pPr>
      <w:r>
        <w:t xml:space="preserve">The grades earned for the course will be calculated using City University of Seattle’s decimal grading system, found in the current</w:t>
      </w:r>
      <w:r>
        <w:t xml:space="preserve"> </w:t>
      </w:r>
      <w:hyperlink r:id="rId65">
        <w:r>
          <w:rPr>
            <w:rStyle w:val="Hyperlink"/>
          </w:rPr>
          <w:t xml:space="preserve">University Catalog</w:t>
        </w:r>
      </w:hyperlink>
      <w:r>
        <w:t xml:space="preserve">.</w:t>
      </w:r>
    </w:p>
    <w:tbl>
      <w:tblPr>
        <w:tblStyle w:val="TableGrid"/>
        <w:tblW w:type="auto" w:w="0"/>
        <w:tblLayout w:type="autofit"/>
        <w:tblLook w:firstRow="1" w:lastRow="0" w:firstColumn="0" w:lastColumn="0" w:noHBand="0" w:noVBand="0" w:val="0020"/>
      </w:tblPr>
      <w:tblGrid>
        <w:gridCol w:w="1584"/>
        <w:gridCol w:w="1584"/>
        <w:gridCol w:w="1584"/>
        <w:gridCol w:w="1584"/>
        <w:gridCol w:w="1584"/>
      </w:tblGrid>
      <w:tr>
        <w:trPr>
          <w:tblHeader w:val="on"/>
        </w:trPr>
        <w:tc>
          <w:tcPr>
            <w:shd w:val="clear" w:color="auto" w:fill="D9E2F3"/>
          </w:tcPr>
          <w:p>
            <w:pPr>
              <w:pStyle w:val="Compact"/>
            </w:pPr>
          </w:p>
        </w:tc>
        <w:tc>
          <w:tcPr>
            <w:shd w:val="clear" w:color="auto" w:fill="D9E2F3"/>
          </w:tcPr>
          <w:p>
            <w:pPr>
              <w:pStyle w:val="Compact"/>
            </w:pPr>
            <w:r>
              <w:rPr>
                <w:b/>
                <w:sz w:val="20"/>
              </w:rPr>
              <w:t xml:space="preserve">Exceeds Standard</w:t>
            </w:r>
          </w:p>
        </w:tc>
        <w:tc>
          <w:tcPr>
            <w:shd w:val="clear" w:color="auto" w:fill="D9E2F3"/>
          </w:tcPr>
          <w:p>
            <w:pPr>
              <w:pStyle w:val="Compact"/>
            </w:pPr>
            <w:r>
              <w:rPr>
                <w:b/>
                <w:sz w:val="20"/>
              </w:rPr>
              <w:t xml:space="preserve">At Standard</w:t>
            </w:r>
          </w:p>
        </w:tc>
        <w:tc>
          <w:tcPr>
            <w:shd w:val="clear" w:color="auto" w:fill="D9E2F3"/>
          </w:tcPr>
          <w:p>
            <w:pPr>
              <w:pStyle w:val="Compact"/>
            </w:pPr>
            <w:r>
              <w:rPr>
                <w:b/>
                <w:sz w:val="20"/>
              </w:rPr>
              <w:t xml:space="preserve">Approaching Standard</w:t>
            </w:r>
          </w:p>
        </w:tc>
        <w:tc>
          <w:tcPr>
            <w:shd w:val="clear" w:color="auto" w:fill="D9E2F3"/>
          </w:tcPr>
          <w:p>
            <w:pPr>
              <w:pStyle w:val="Compact"/>
            </w:pPr>
            <w:r>
              <w:rPr>
                <w:b/>
                <w:sz w:val="20"/>
              </w:rPr>
              <w:t xml:space="preserve">Below Standard</w:t>
            </w:r>
          </w:p>
        </w:tc>
      </w:tr>
      <w:tr>
        <w:tc>
          <w:tcPr/>
          <w:p>
            <w:pPr>
              <w:pStyle w:val="Compact"/>
            </w:pPr>
            <w:r>
              <w:rPr>
                <w:sz w:val="20"/>
              </w:rPr>
              <w:t xml:space="preserve">Overall Score Row Value</w:t>
            </w:r>
          </w:p>
        </w:tc>
        <w:tc>
          <w:tcPr/>
          <w:p>
            <w:pPr>
              <w:pStyle w:val="Compact"/>
            </w:pPr>
            <w:r>
              <w:rPr>
                <w:sz w:val="20"/>
              </w:rPr>
              <w:t xml:space="preserve">92</w:t>
            </w:r>
          </w:p>
        </w:tc>
        <w:tc>
          <w:tcPr/>
          <w:p>
            <w:pPr>
              <w:pStyle w:val="Compact"/>
            </w:pPr>
            <w:r>
              <w:rPr>
                <w:sz w:val="20"/>
              </w:rPr>
              <w:t xml:space="preserve">75</w:t>
            </w:r>
          </w:p>
        </w:tc>
        <w:tc>
          <w:tcPr/>
          <w:p>
            <w:pPr>
              <w:pStyle w:val="Compact"/>
            </w:pPr>
            <w:r>
              <w:rPr>
                <w:sz w:val="20"/>
              </w:rPr>
              <w:t xml:space="preserve">62</w:t>
            </w:r>
          </w:p>
        </w:tc>
        <w:tc>
          <w:tcPr/>
          <w:p>
            <w:pPr>
              <w:pStyle w:val="Compact"/>
            </w:pPr>
            <w:r>
              <w:rPr>
                <w:sz w:val="20"/>
              </w:rPr>
              <w:t xml:space="preserve">0</w:t>
            </w:r>
          </w:p>
        </w:tc>
      </w:tr>
      <w:tr>
        <w:tc>
          <w:tcPr/>
          <w:p>
            <w:pPr>
              <w:pStyle w:val="Compact"/>
            </w:pPr>
            <w:r>
              <w:rPr>
                <w:sz w:val="20"/>
              </w:rPr>
              <w:t xml:space="preserve">Value Range</w:t>
            </w:r>
          </w:p>
        </w:tc>
        <w:tc>
          <w:tcPr/>
          <w:p>
            <w:pPr>
              <w:pStyle w:val="Compact"/>
            </w:pPr>
            <w:r>
              <w:rPr>
                <w:sz w:val="20"/>
              </w:rPr>
              <w:t xml:space="preserve">100-92</w:t>
            </w:r>
          </w:p>
        </w:tc>
        <w:tc>
          <w:tcPr/>
          <w:p>
            <w:pPr>
              <w:pStyle w:val="Compact"/>
            </w:pPr>
            <w:r>
              <w:rPr>
                <w:sz w:val="20"/>
              </w:rPr>
              <w:t xml:space="preserve">91-75</w:t>
            </w:r>
          </w:p>
        </w:tc>
        <w:tc>
          <w:tcPr/>
          <w:p>
            <w:pPr>
              <w:pStyle w:val="Compact"/>
            </w:pPr>
            <w:r>
              <w:rPr>
                <w:sz w:val="20"/>
              </w:rPr>
              <w:t xml:space="preserve">74-62</w:t>
            </w:r>
          </w:p>
        </w:tc>
        <w:tc>
          <w:tcPr/>
          <w:p>
            <w:pPr>
              <w:pStyle w:val="Compact"/>
            </w:pPr>
            <w:r>
              <w:rPr>
                <w:sz w:val="20"/>
              </w:rPr>
              <w:t xml:space="preserve">61-0</w:t>
            </w:r>
          </w:p>
        </w:tc>
      </w:tr>
      <w:tr>
        <w:tc>
          <w:tcPr/>
          <w:p>
            <w:pPr>
              <w:pStyle w:val="Compact"/>
            </w:pPr>
            <w:r>
              <w:rPr>
                <w:sz w:val="20"/>
              </w:rPr>
              <w:t xml:space="preserve">Decimal Range</w:t>
            </w:r>
          </w:p>
        </w:tc>
        <w:tc>
          <w:tcPr/>
          <w:p>
            <w:pPr>
              <w:pStyle w:val="Compact"/>
            </w:pPr>
            <w:r>
              <w:rPr>
                <w:sz w:val="20"/>
              </w:rPr>
              <w:t xml:space="preserve">4.0-3.7</w:t>
            </w:r>
          </w:p>
        </w:tc>
        <w:tc>
          <w:tcPr/>
          <w:p>
            <w:pPr>
              <w:pStyle w:val="Compact"/>
            </w:pPr>
            <w:r>
              <w:rPr>
                <w:sz w:val="20"/>
              </w:rPr>
              <w:t xml:space="preserve">3.6-2.0</w:t>
            </w:r>
          </w:p>
        </w:tc>
        <w:tc>
          <w:tcPr/>
          <w:p>
            <w:pPr>
              <w:pStyle w:val="Compact"/>
            </w:pPr>
            <w:r>
              <w:rPr>
                <w:sz w:val="20"/>
              </w:rPr>
              <w:t xml:space="preserve">1.9-0.7</w:t>
            </w:r>
          </w:p>
        </w:tc>
        <w:tc>
          <w:tcPr/>
          <w:p>
            <w:pPr>
              <w:pStyle w:val="Compact"/>
            </w:pPr>
            <w:r>
              <w:rPr>
                <w:sz w:val="20"/>
              </w:rPr>
              <w:t xml:space="preserve">0.6-0.0</w:t>
            </w:r>
          </w:p>
        </w:tc>
      </w:tr>
    </w:tbl>
    <w:p>
      <w:pPr>
        <w:pStyle w:val="BodyText"/>
      </w:pPr>
      <w:r>
        <w:t xml:space="preserve">Grading rubrics with details on how each assignment will be graded are located under</w:t>
      </w:r>
      <w:r>
        <w:t xml:space="preserve"> </w:t>
      </w:r>
      <w:r>
        <w:rPr>
          <w:i/>
          <w:iCs/>
        </w:rPr>
        <w:t xml:space="preserve">Assignments</w:t>
      </w:r>
      <w:r>
        <w:t xml:space="preserve"> </w:t>
      </w:r>
      <w:r>
        <w:t xml:space="preserve">and/or in</w:t>
      </w:r>
      <w:r>
        <w:t xml:space="preserve"> </w:t>
      </w:r>
      <w:r>
        <w:rPr>
          <w:i/>
          <w:iCs/>
        </w:rPr>
        <w:t xml:space="preserve">My Grades</w:t>
      </w:r>
      <w:r>
        <w:t xml:space="preserve"> </w:t>
      </w:r>
      <w:r>
        <w:t xml:space="preserve">in the online course menu. Students should review the rubric for each assignment prior to completing their work in order to understand how it will be assessed.</w:t>
      </w:r>
    </w:p>
    <w:bookmarkEnd w:id="66"/>
    <w:bookmarkStart w:id="80" w:name="course-assignments-and-grading"/>
    <w:p>
      <w:pPr>
        <w:pStyle w:val="Heading1"/>
      </w:pPr>
      <w:r>
        <w:t xml:space="preserve">Course Assignments and Grading</w:t>
      </w:r>
    </w:p>
    <w:tbl>
      <w:tblPr>
        <w:tblStyle w:val="TableGrid"/>
        <w:tblW w:type="pct" w:w="5000"/>
        <w:tblLayout w:type="autofit"/>
        <w:tblLook w:firstRow="1" w:lastRow="0" w:firstColumn="0" w:lastColumn="0" w:noHBand="0" w:noVBand="0" w:val="0020"/>
      </w:tblPr>
      <w:tblGrid>
        <w:gridCol w:w="2640"/>
        <w:gridCol w:w="2640"/>
        <w:gridCol w:w="2640"/>
      </w:tblGrid>
      <w:tr>
        <w:trPr>
          <w:tblHeader w:val="on"/>
        </w:trPr>
        <w:tc>
          <w:tcPr>
            <w:shd w:val="clear" w:color="auto" w:fill="D9E2F3"/>
          </w:tcPr>
          <w:p>
            <w:pPr>
              <w:pStyle w:val="Compact"/>
            </w:pPr>
            <w:r>
              <w:rPr>
                <w:b/>
                <w:sz w:val="20"/>
              </w:rPr>
              <w:t xml:space="preserve">Overview of Required Assignments</w:t>
            </w:r>
          </w:p>
        </w:tc>
        <w:tc>
          <w:tcPr>
            <w:shd w:val="clear" w:color="auto" w:fill="D9E2F3"/>
          </w:tcPr>
          <w:p>
            <w:pPr>
              <w:pStyle w:val="Compact"/>
            </w:pPr>
            <w:r>
              <w:rPr>
                <w:b/>
                <w:sz w:val="20"/>
              </w:rPr>
              <w:t xml:space="preserve">% of Final Grade</w:t>
            </w:r>
          </w:p>
        </w:tc>
        <w:tc>
          <w:tcPr>
            <w:shd w:val="clear" w:color="auto" w:fill="D9E2F3"/>
          </w:tcPr>
          <w:p>
            <w:pPr>
              <w:pStyle w:val="Compact"/>
            </w:pPr>
            <w:r>
              <w:rPr>
                <w:b/>
                <w:sz w:val="20"/>
              </w:rPr>
              <w:t xml:space="preserve">Points</w:t>
            </w:r>
          </w:p>
        </w:tc>
      </w:tr>
      <w:tr>
        <w:tc>
          <w:tcPr/>
          <w:p>
            <w:pPr>
              <w:pStyle w:val="Compact"/>
            </w:pPr>
            <w:r>
              <w:rPr>
                <w:i/>
                <w:iCs/>
                <w:sz w:val="20"/>
              </w:rPr>
              <w:t xml:space="preserve">Major Assessments</w:t>
            </w:r>
          </w:p>
        </w:tc>
        <w:tc>
          <w:tcPr/>
          <w:p>
            <w:pPr>
              <w:pStyle w:val="Compact"/>
            </w:pPr>
            <w:r>
              <w:rPr>
                <w:sz w:val="20"/>
              </w:rPr>
              <w:t xml:space="preserve">70%</w:t>
            </w:r>
          </w:p>
        </w:tc>
        <w:tc>
          <w:tcPr/>
          <w:p>
            <w:pPr>
              <w:pStyle w:val="Compact"/>
            </w:pPr>
          </w:p>
        </w:tc>
      </w:tr>
      <w:tr>
        <w:tc>
          <w:tcPr/>
          <w:p>
            <w:pPr>
              <w:pStyle w:val="Compact"/>
            </w:pPr>
            <w:r>
              <w:rPr>
                <w:sz w:val="20"/>
              </w:rPr>
              <w:t xml:space="preserve">Virtual Lab (VL)</w:t>
            </w:r>
          </w:p>
        </w:tc>
        <w:tc>
          <w:tcPr/>
          <w:p>
            <w:pPr>
              <w:pStyle w:val="Compact"/>
            </w:pPr>
            <w:r>
              <w:rPr>
                <w:sz w:val="20"/>
              </w:rPr>
              <w:t xml:space="preserve">20%</w:t>
            </w:r>
          </w:p>
        </w:tc>
        <w:tc>
          <w:tcPr/>
          <w:p>
            <w:pPr>
              <w:pStyle w:val="Compact"/>
            </w:pPr>
            <w:r>
              <w:rPr>
                <w:sz w:val="20"/>
              </w:rPr>
              <w:t xml:space="preserve">200 = 40 points * 5 modules</w:t>
            </w:r>
          </w:p>
        </w:tc>
      </w:tr>
      <w:tr>
        <w:tc>
          <w:tcPr/>
          <w:p>
            <w:pPr>
              <w:pStyle w:val="Compact"/>
            </w:pPr>
            <w:r>
              <w:rPr>
                <w:sz w:val="20"/>
              </w:rPr>
              <w:t xml:space="preserve">Research Paper (RP)</w:t>
            </w:r>
          </w:p>
        </w:tc>
        <w:tc>
          <w:tcPr/>
          <w:p>
            <w:pPr>
              <w:pStyle w:val="Compact"/>
            </w:pPr>
            <w:r>
              <w:rPr>
                <w:sz w:val="20"/>
              </w:rPr>
              <w:t xml:space="preserve">30%</w:t>
            </w:r>
          </w:p>
        </w:tc>
        <w:tc>
          <w:tcPr/>
          <w:p>
            <w:pPr>
              <w:pStyle w:val="Compact"/>
            </w:pPr>
            <w:r>
              <w:rPr>
                <w:sz w:val="20"/>
              </w:rPr>
              <w:t xml:space="preserve">300 points</w:t>
            </w:r>
          </w:p>
        </w:tc>
      </w:tr>
      <w:tr>
        <w:tc>
          <w:tcPr/>
          <w:p>
            <w:pPr>
              <w:pStyle w:val="Compact"/>
            </w:pPr>
            <w:r>
              <w:rPr>
                <w:sz w:val="20"/>
              </w:rPr>
              <w:t xml:space="preserve">Team Project (TP)</w:t>
            </w:r>
          </w:p>
        </w:tc>
        <w:tc>
          <w:tcPr/>
          <w:p>
            <w:pPr>
              <w:pStyle w:val="Compact"/>
            </w:pPr>
            <w:r>
              <w:rPr>
                <w:sz w:val="20"/>
              </w:rPr>
              <w:t xml:space="preserve">20%</w:t>
            </w:r>
          </w:p>
        </w:tc>
        <w:tc>
          <w:tcPr/>
          <w:p>
            <w:pPr>
              <w:pStyle w:val="BodyText"/>
            </w:pPr>
            <w:r>
              <w:rPr>
                <w:sz w:val="20"/>
              </w:rPr>
              <w:t xml:space="preserve">Proposal: 30 points</w:t>
            </w:r>
          </w:p>
          <w:p>
            <w:pPr>
              <w:pStyle w:val="BodyText"/>
            </w:pPr>
            <w:r>
              <w:rPr>
                <w:sz w:val="20"/>
              </w:rPr>
              <w:t xml:space="preserve">Progress: 70 points</w:t>
            </w:r>
          </w:p>
          <w:p>
            <w:pPr>
              <w:pStyle w:val="BodyText"/>
            </w:pPr>
            <w:r>
              <w:rPr>
                <w:sz w:val="20"/>
              </w:rPr>
              <w:t xml:space="preserve">Final Report: 70 points</w:t>
            </w:r>
          </w:p>
          <w:p>
            <w:pPr>
              <w:pStyle w:val="BodyText"/>
            </w:pPr>
            <w:r>
              <w:rPr>
                <w:sz w:val="20"/>
              </w:rPr>
              <w:t xml:space="preserve">Final PPT: 30 points</w:t>
            </w:r>
          </w:p>
          <w:p>
            <w:pPr>
              <w:pStyle w:val="BodyText"/>
            </w:pPr>
            <w:r>
              <w:rPr>
                <w:sz w:val="20"/>
              </w:rPr>
              <w:t xml:space="preserve">Subtotal: 200 points</w:t>
            </w:r>
          </w:p>
        </w:tc>
      </w:tr>
      <w:tr>
        <w:tc>
          <w:tcPr/>
          <w:p>
            <w:pPr>
              <w:pStyle w:val="Compact"/>
            </w:pPr>
            <w:r>
              <w:rPr>
                <w:i/>
                <w:iCs/>
                <w:sz w:val="20"/>
              </w:rPr>
              <w:t xml:space="preserve">Instructor Determined Assignments</w:t>
            </w:r>
          </w:p>
        </w:tc>
        <w:tc>
          <w:tcPr/>
          <w:p>
            <w:pPr>
              <w:pStyle w:val="Compact"/>
            </w:pPr>
            <w:r>
              <w:rPr>
                <w:sz w:val="20"/>
              </w:rPr>
              <w:t xml:space="preserve">30%</w:t>
            </w:r>
          </w:p>
        </w:tc>
        <w:tc>
          <w:tcPr/>
          <w:p>
            <w:pPr>
              <w:pStyle w:val="Compact"/>
            </w:pPr>
          </w:p>
        </w:tc>
      </w:tr>
      <w:tr>
        <w:tc>
          <w:tcPr/>
          <w:p>
            <w:pPr>
              <w:pStyle w:val="Compact"/>
            </w:pPr>
            <w:r>
              <w:rPr>
                <w:sz w:val="20"/>
              </w:rPr>
              <w:t xml:space="preserve">Muddiest Point (MP)</w:t>
            </w:r>
          </w:p>
        </w:tc>
        <w:tc>
          <w:tcPr/>
          <w:p>
            <w:pPr>
              <w:pStyle w:val="Compact"/>
            </w:pPr>
            <w:r>
              <w:rPr>
                <w:sz w:val="20"/>
              </w:rPr>
              <w:t xml:space="preserve">10%</w:t>
            </w:r>
          </w:p>
        </w:tc>
        <w:tc>
          <w:tcPr/>
          <w:p>
            <w:pPr>
              <w:pStyle w:val="Compact"/>
            </w:pPr>
            <w:r>
              <w:rPr>
                <w:sz w:val="20"/>
              </w:rPr>
              <w:t xml:space="preserve">100 = 10 points * 10 modules</w:t>
            </w:r>
          </w:p>
        </w:tc>
      </w:tr>
      <w:tr>
        <w:tc>
          <w:tcPr/>
          <w:p>
            <w:pPr>
              <w:pStyle w:val="Compact"/>
            </w:pPr>
            <w:r>
              <w:rPr>
                <w:sz w:val="20"/>
              </w:rPr>
              <w:t xml:space="preserve">Concept Debates (CD)</w:t>
            </w:r>
          </w:p>
        </w:tc>
        <w:tc>
          <w:tcPr/>
          <w:p>
            <w:pPr>
              <w:pStyle w:val="Compact"/>
            </w:pPr>
            <w:r>
              <w:rPr>
                <w:sz w:val="20"/>
              </w:rPr>
              <w:t xml:space="preserve">10%</w:t>
            </w:r>
          </w:p>
        </w:tc>
        <w:tc>
          <w:tcPr/>
          <w:p>
            <w:pPr>
              <w:pStyle w:val="Compact"/>
            </w:pPr>
            <w:r>
              <w:rPr>
                <w:sz w:val="20"/>
              </w:rPr>
              <w:t xml:space="preserve">100 = 10 points * 10 modules</w:t>
            </w:r>
          </w:p>
        </w:tc>
      </w:tr>
      <w:tr>
        <w:tc>
          <w:tcPr/>
          <w:p>
            <w:pPr>
              <w:pStyle w:val="Compact"/>
            </w:pPr>
            <w:r>
              <w:rPr>
                <w:sz w:val="20"/>
              </w:rPr>
              <w:t xml:space="preserve">Knowledge Check (KC)</w:t>
            </w:r>
          </w:p>
        </w:tc>
        <w:tc>
          <w:tcPr/>
          <w:p>
            <w:pPr>
              <w:pStyle w:val="Compact"/>
            </w:pPr>
            <w:r>
              <w:rPr>
                <w:sz w:val="20"/>
              </w:rPr>
              <w:t xml:space="preserve">10%</w:t>
            </w:r>
          </w:p>
        </w:tc>
        <w:tc>
          <w:tcPr/>
          <w:p>
            <w:pPr>
              <w:pStyle w:val="Compact"/>
            </w:pPr>
            <w:r>
              <w:rPr>
                <w:sz w:val="20"/>
              </w:rPr>
              <w:t xml:space="preserve">100 = 10 points * 10 modules</w:t>
            </w:r>
          </w:p>
        </w:tc>
      </w:tr>
      <w:tr>
        <w:tc>
          <w:tcPr/>
          <w:p>
            <w:pPr>
              <w:pStyle w:val="Compact"/>
            </w:pPr>
            <w:r>
              <w:rPr>
                <w:sz w:val="20"/>
              </w:rPr>
              <w:t xml:space="preserve">TOTAL</w:t>
            </w:r>
          </w:p>
        </w:tc>
        <w:tc>
          <w:tcPr/>
          <w:p>
            <w:pPr>
              <w:pStyle w:val="Compact"/>
            </w:pPr>
            <w:r>
              <w:rPr>
                <w:sz w:val="20"/>
              </w:rPr>
              <w:t xml:space="preserve">100%</w:t>
            </w:r>
          </w:p>
        </w:tc>
        <w:tc>
          <w:tcPr/>
          <w:p>
            <w:pPr>
              <w:pStyle w:val="Compact"/>
            </w:pPr>
            <w:r>
              <w:rPr>
                <w:sz w:val="20"/>
              </w:rPr>
              <w:t xml:space="preserve">1,000 points</w:t>
            </w:r>
          </w:p>
        </w:tc>
      </w:tr>
    </w:tbl>
    <w:p>
      <w:pPr>
        <w:pStyle w:val="BodyText"/>
      </w:pPr>
      <w:r>
        <w:t xml:space="preserve">All four-level rubrics use the undergraduate percentage scale: Exceeds Standard 100%–92%, At Standard 91.99%–75%, Approaching Standard 74.99%–62%, Below Standard 61.99%–0%.</w:t>
      </w:r>
    </w:p>
    <w:bookmarkStart w:id="67" w:name="major-assessment-70-of-final-grade"/>
    <w:p>
      <w:pPr>
        <w:pStyle w:val="Heading3"/>
      </w:pPr>
      <w:r>
        <w:t xml:space="preserve">Major Assessment (70% of Final Grade)</w:t>
      </w:r>
    </w:p>
    <w:tbl>
      <w:tblPr>
        <w:tblStyle w:val="TableGrid"/>
        <w:tblW w:type="auto" w:w="0"/>
        <w:tblLayout w:type="autofit"/>
        <w:tblLook w:firstRow="1" w:lastRow="0" w:firstColumn="0" w:lastColumn="0" w:noHBand="0" w:noVBand="0" w:val="0020"/>
      </w:tblPr>
      <w:tblGrid>
        <w:gridCol w:w="2640"/>
        <w:gridCol w:w="2640"/>
        <w:gridCol w:w="2640"/>
      </w:tblGrid>
      <w:tr>
        <w:trPr>
          <w:tblHeader w:val="on"/>
        </w:trPr>
        <w:tc>
          <w:tcPr>
            <w:shd w:val="clear" w:color="auto" w:fill="D9E2F3"/>
          </w:tcPr>
          <w:p>
            <w:pPr>
              <w:pStyle w:val="Compact"/>
            </w:pPr>
            <w:r>
              <w:rPr>
                <w:b/>
                <w:sz w:val="20"/>
              </w:rPr>
              <w:t xml:space="preserve">Category</w:t>
            </w:r>
          </w:p>
        </w:tc>
        <w:tc>
          <w:tcPr>
            <w:shd w:val="clear" w:color="auto" w:fill="D9E2F3"/>
          </w:tcPr>
          <w:p>
            <w:pPr>
              <w:pStyle w:val="Compact"/>
            </w:pPr>
            <w:r>
              <w:rPr>
                <w:b/>
                <w:sz w:val="20"/>
              </w:rPr>
              <w:t xml:space="preserve">Weight</w:t>
            </w:r>
          </w:p>
        </w:tc>
        <w:tc>
          <w:tcPr>
            <w:shd w:val="clear" w:color="auto" w:fill="D9E2F3"/>
          </w:tcPr>
          <w:p>
            <w:pPr>
              <w:pStyle w:val="Compact"/>
            </w:pPr>
            <w:r>
              <w:rPr>
                <w:b/>
                <w:sz w:val="20"/>
              </w:rPr>
              <w:t xml:space="preserve">What It Covers</w:t>
            </w:r>
          </w:p>
        </w:tc>
      </w:tr>
      <w:tr>
        <w:tc>
          <w:tcPr/>
          <w:p>
            <w:pPr>
              <w:pStyle w:val="Compact"/>
            </w:pPr>
            <w:r>
              <w:rPr>
                <w:sz w:val="20"/>
              </w:rPr>
              <w:t xml:space="preserve">Virtual Lab (VL)</w:t>
            </w:r>
          </w:p>
        </w:tc>
        <w:tc>
          <w:tcPr/>
          <w:p>
            <w:pPr>
              <w:pStyle w:val="Compact"/>
            </w:pPr>
            <w:r>
              <w:rPr>
                <w:b/>
                <w:bCs/>
                <w:sz w:val="20"/>
              </w:rPr>
              <w:t xml:space="preserve">20%</w:t>
            </w:r>
          </w:p>
        </w:tc>
        <w:tc>
          <w:tcPr/>
          <w:p>
            <w:pPr>
              <w:pStyle w:val="Compact"/>
            </w:pPr>
            <w:r>
              <w:rPr>
                <w:sz w:val="20"/>
              </w:rPr>
              <w:t xml:space="preserve">Modules 2–6. Paired or individual case activities on cyber and AI ethics, one per module (VL1–VL5).</w:t>
            </w:r>
          </w:p>
        </w:tc>
      </w:tr>
      <w:tr>
        <w:tc>
          <w:tcPr/>
          <w:p>
            <w:pPr>
              <w:pStyle w:val="Compact"/>
            </w:pPr>
            <w:r>
              <w:rPr>
                <w:sz w:val="20"/>
              </w:rPr>
              <w:t xml:space="preserve">Research Paper (RP)</w:t>
            </w:r>
          </w:p>
        </w:tc>
        <w:tc>
          <w:tcPr/>
          <w:p>
            <w:pPr>
              <w:pStyle w:val="Compact"/>
            </w:pPr>
            <w:r>
              <w:rPr>
                <w:b/>
                <w:bCs/>
                <w:sz w:val="20"/>
              </w:rPr>
              <w:t xml:space="preserve">30%</w:t>
            </w:r>
          </w:p>
        </w:tc>
        <w:tc>
          <w:tcPr/>
          <w:p>
            <w:pPr>
              <w:pStyle w:val="Compact"/>
            </w:pPr>
            <w:r>
              <w:rPr>
                <w:sz w:val="20"/>
              </w:rPr>
              <w:t xml:space="preserve">Due Week 9. A 4–6 page APA paper on an instructor-approved case involving an AI or automated decision system, synthesizing the virtual labs.</w:t>
            </w:r>
          </w:p>
        </w:tc>
      </w:tr>
      <w:tr>
        <w:tc>
          <w:tcPr/>
          <w:p>
            <w:pPr>
              <w:pStyle w:val="Compact"/>
            </w:pPr>
            <w:r>
              <w:rPr>
                <w:sz w:val="20"/>
              </w:rPr>
              <w:t xml:space="preserve">Team Project (TP)</w:t>
            </w:r>
          </w:p>
        </w:tc>
        <w:tc>
          <w:tcPr/>
          <w:p>
            <w:pPr>
              <w:pStyle w:val="Compact"/>
            </w:pPr>
            <w:r>
              <w:rPr>
                <w:b/>
                <w:bCs/>
                <w:sz w:val="20"/>
              </w:rPr>
              <w:t xml:space="preserve">20%</w:t>
            </w:r>
          </w:p>
        </w:tc>
        <w:tc>
          <w:tcPr/>
          <w:p>
            <w:pPr>
              <w:pStyle w:val="Compact"/>
            </w:pPr>
            <w:r>
              <w:rPr>
                <w:sz w:val="20"/>
              </w:rPr>
              <w:t xml:space="preserve">Weeks 1–10 in four submissions (proposal Week 3, progress Week 7, final report and presentation Week 10): analyze a case and develop an Ethical AI Framework for the organization.</w:t>
            </w:r>
          </w:p>
        </w:tc>
      </w:tr>
    </w:tbl>
    <w:bookmarkEnd w:id="67"/>
    <w:bookmarkStart w:id="68" w:name="virtual-lab-vl---grading-criteria"/>
    <w:p>
      <w:pPr>
        <w:pStyle w:val="Heading3"/>
      </w:pPr>
      <w:r>
        <w:t xml:space="preserve">Virtual Lab (VL) - Grading Criteria</w:t>
      </w:r>
    </w:p>
    <w:p>
      <w:pPr>
        <w:pStyle w:val="FirstParagraph"/>
      </w:pPr>
      <w:r>
        <w:t xml:space="preserve">The selected exercise can be assigned to a pair of students in class or individually online. Students pair up and complete activities or case study review related to cyber and AI ethics topics.</w:t>
      </w:r>
    </w:p>
    <w:tbl>
      <w:tblPr>
        <w:tblStyle w:val="TableGrid"/>
        <w:tblW w:type="auto" w:w="0"/>
        <w:tblLayout w:type="autofit"/>
        <w:tblLook w:firstRow="1" w:lastRow="0" w:firstColumn="0" w:lastColumn="0" w:noHBand="0" w:noVBand="0" w:val="0020"/>
      </w:tblPr>
      <w:tblGrid>
        <w:gridCol w:w="1980"/>
        <w:gridCol w:w="1980"/>
        <w:gridCol w:w="1980"/>
        <w:gridCol w:w="1980"/>
      </w:tblGrid>
      <w:tr>
        <w:trPr>
          <w:tblHeader w:val="on"/>
        </w:trPr>
        <w:tc>
          <w:tcPr>
            <w:shd w:val="clear" w:color="auto" w:fill="D9E2F3"/>
          </w:tcPr>
          <w:p>
            <w:pPr>
              <w:pStyle w:val="Compact"/>
            </w:pPr>
            <w:r>
              <w:rPr>
                <w:b/>
                <w:sz w:val="20"/>
              </w:rPr>
              <w:t xml:space="preserve">Lab</w:t>
            </w:r>
          </w:p>
        </w:tc>
        <w:tc>
          <w:tcPr>
            <w:shd w:val="clear" w:color="auto" w:fill="D9E2F3"/>
          </w:tcPr>
          <w:p>
            <w:pPr>
              <w:pStyle w:val="Compact"/>
            </w:pPr>
            <w:r>
              <w:rPr>
                <w:b/>
                <w:sz w:val="20"/>
              </w:rPr>
              <w:t xml:space="preserve">Module</w:t>
            </w:r>
          </w:p>
        </w:tc>
        <w:tc>
          <w:tcPr>
            <w:shd w:val="clear" w:color="auto" w:fill="D9E2F3"/>
          </w:tcPr>
          <w:p>
            <w:pPr>
              <w:pStyle w:val="Compact"/>
            </w:pPr>
            <w:r>
              <w:rPr>
                <w:b/>
                <w:sz w:val="20"/>
              </w:rPr>
              <w:t xml:space="preserve">Activity</w:t>
            </w:r>
          </w:p>
        </w:tc>
        <w:tc>
          <w:tcPr>
            <w:shd w:val="clear" w:color="auto" w:fill="D9E2F3"/>
          </w:tcPr>
          <w:p>
            <w:pPr>
              <w:pStyle w:val="Compact"/>
            </w:pPr>
            <w:r>
              <w:rPr>
                <w:b/>
                <w:sz w:val="20"/>
              </w:rPr>
              <w:t xml:space="preserve">Outcome</w:t>
            </w:r>
          </w:p>
        </w:tc>
      </w:tr>
      <w:tr>
        <w:tc>
          <w:tcPr/>
          <w:p>
            <w:pPr>
              <w:pStyle w:val="Compact"/>
            </w:pPr>
            <w:r>
              <w:rPr>
                <w:sz w:val="20"/>
              </w:rPr>
              <w:t xml:space="preserve">VL1</w:t>
            </w:r>
          </w:p>
        </w:tc>
        <w:tc>
          <w:tcPr/>
          <w:p>
            <w:pPr>
              <w:pStyle w:val="Compact"/>
            </w:pPr>
            <w:r>
              <w:rPr>
                <w:sz w:val="20"/>
              </w:rPr>
              <w:t xml:space="preserve">2</w:t>
            </w:r>
          </w:p>
        </w:tc>
        <w:tc>
          <w:tcPr/>
          <w:p>
            <w:pPr>
              <w:pStyle w:val="Compact"/>
            </w:pPr>
            <w:r>
              <w:rPr>
                <w:b/>
                <w:bCs/>
                <w:sz w:val="20"/>
              </w:rPr>
              <w:t xml:space="preserve">Three lenses on one AI decision.</w:t>
            </w:r>
            <w:r>
              <w:rPr>
                <w:sz w:val="20"/>
              </w:rPr>
              <w:t xml:space="preserve"> </w:t>
            </w:r>
            <w:r>
              <w:rPr>
                <w:sz w:val="20"/>
              </w:rPr>
              <w:t xml:space="preserve">Analyze an instructor-assigned AI case (e.g., a content-moderation or self-driving-car decision) through Deontology, Utilitarianism, and Virtue Ethics, then compare how a human professional and the AI system each “reasoned” about it.</w:t>
            </w:r>
          </w:p>
        </w:tc>
        <w:tc>
          <w:tcPr/>
          <w:p>
            <w:pPr>
              <w:pStyle w:val="Compact"/>
            </w:pPr>
            <w:r>
              <w:rPr>
                <w:sz w:val="20"/>
              </w:rPr>
              <w:t xml:space="preserve">O1</w:t>
            </w:r>
          </w:p>
        </w:tc>
      </w:tr>
      <w:tr>
        <w:tc>
          <w:tcPr/>
          <w:p>
            <w:pPr>
              <w:pStyle w:val="Compact"/>
            </w:pPr>
            <w:r>
              <w:rPr>
                <w:sz w:val="20"/>
              </w:rPr>
              <w:t xml:space="preserve">VL2</w:t>
            </w:r>
          </w:p>
        </w:tc>
        <w:tc>
          <w:tcPr/>
          <w:p>
            <w:pPr>
              <w:pStyle w:val="Compact"/>
            </w:pPr>
            <w:r>
              <w:rPr>
                <w:sz w:val="20"/>
              </w:rPr>
              <w:t xml:space="preserve">3</w:t>
            </w:r>
          </w:p>
        </w:tc>
        <w:tc>
          <w:tcPr/>
          <w:p>
            <w:pPr>
              <w:pStyle w:val="Compact"/>
            </w:pPr>
            <w:r>
              <w:rPr>
                <w:b/>
                <w:bCs/>
                <w:sz w:val="20"/>
              </w:rPr>
              <w:t xml:space="preserve">Responsible disclosure for an AI incident.</w:t>
            </w:r>
            <w:r>
              <w:rPr>
                <w:sz w:val="20"/>
              </w:rPr>
              <w:t xml:space="preserve"> </w:t>
            </w:r>
            <w:r>
              <w:rPr>
                <w:sz w:val="20"/>
              </w:rPr>
              <w:t xml:space="preserve">Pick an entry from the AI Incident Database and draft the disclosure a responsible professional should have written, citing specific clauses of the ACM Code of Ethics.</w:t>
            </w:r>
          </w:p>
        </w:tc>
        <w:tc>
          <w:tcPr/>
          <w:p>
            <w:pPr>
              <w:pStyle w:val="Compact"/>
            </w:pPr>
            <w:r>
              <w:rPr>
                <w:sz w:val="20"/>
              </w:rPr>
              <w:t xml:space="preserve">O3</w:t>
            </w:r>
          </w:p>
        </w:tc>
      </w:tr>
      <w:tr>
        <w:tc>
          <w:tcPr/>
          <w:p>
            <w:pPr>
              <w:pStyle w:val="Compact"/>
            </w:pPr>
            <w:r>
              <w:rPr>
                <w:sz w:val="20"/>
              </w:rPr>
              <w:t xml:space="preserve">VL3</w:t>
            </w:r>
          </w:p>
        </w:tc>
        <w:tc>
          <w:tcPr/>
          <w:p>
            <w:pPr>
              <w:pStyle w:val="Compact"/>
            </w:pPr>
            <w:r>
              <w:rPr>
                <w:sz w:val="20"/>
              </w:rPr>
              <w:t xml:space="preserve">4</w:t>
            </w:r>
          </w:p>
        </w:tc>
        <w:tc>
          <w:tcPr/>
          <w:p>
            <w:pPr>
              <w:pStyle w:val="Compact"/>
            </w:pPr>
            <w:r>
              <w:rPr>
                <w:b/>
                <w:bCs/>
                <w:sz w:val="20"/>
              </w:rPr>
              <w:t xml:space="preserve">Accountability map.</w:t>
            </w:r>
            <w:r>
              <w:rPr>
                <w:sz w:val="20"/>
              </w:rPr>
              <w:t xml:space="preserve"> </w:t>
            </w:r>
            <w:r>
              <w:rPr>
                <w:sz w:val="20"/>
              </w:rPr>
              <w:t xml:space="preserve">For a case in which an AI agent caused harm, map every party in the chain (data provider, model developer, deployer, operator, user) and argue who should be held accountable for what.</w:t>
            </w:r>
          </w:p>
        </w:tc>
        <w:tc>
          <w:tcPr/>
          <w:p>
            <w:pPr>
              <w:pStyle w:val="Compact"/>
            </w:pPr>
            <w:r>
              <w:rPr>
                <w:sz w:val="20"/>
              </w:rPr>
              <w:t xml:space="preserve">O4</w:t>
            </w:r>
          </w:p>
        </w:tc>
      </w:tr>
      <w:tr>
        <w:tc>
          <w:tcPr/>
          <w:p>
            <w:pPr>
              <w:pStyle w:val="Compact"/>
            </w:pPr>
            <w:r>
              <w:rPr>
                <w:sz w:val="20"/>
              </w:rPr>
              <w:t xml:space="preserve">VL4</w:t>
            </w:r>
          </w:p>
        </w:tc>
        <w:tc>
          <w:tcPr/>
          <w:p>
            <w:pPr>
              <w:pStyle w:val="Compact"/>
            </w:pPr>
            <w:r>
              <w:rPr>
                <w:sz w:val="20"/>
              </w:rPr>
              <w:t xml:space="preserve">5</w:t>
            </w:r>
          </w:p>
        </w:tc>
        <w:tc>
          <w:tcPr/>
          <w:p>
            <w:pPr>
              <w:pStyle w:val="Compact"/>
            </w:pPr>
            <w:r>
              <w:rPr>
                <w:b/>
                <w:bCs/>
                <w:sz w:val="20"/>
              </w:rPr>
              <w:t xml:space="preserve">Bias audit (spreadsheet, no coding).</w:t>
            </w:r>
            <w:r>
              <w:rPr>
                <w:sz w:val="20"/>
              </w:rPr>
              <w:t xml:space="preserve"> </w:t>
            </w:r>
            <w:r>
              <w:rPr>
                <w:sz w:val="20"/>
              </w:rPr>
              <w:t xml:space="preserve">Using a provided table of model decisions by demographic group, compute selection rates and false-positive rates, apply the four-fifths rule, and explain where in the ML pipeline the disparity most likely entered.</w:t>
            </w:r>
          </w:p>
        </w:tc>
        <w:tc>
          <w:tcPr/>
          <w:p>
            <w:pPr>
              <w:pStyle w:val="Compact"/>
            </w:pPr>
            <w:r>
              <w:rPr>
                <w:sz w:val="20"/>
              </w:rPr>
              <w:t xml:space="preserve">O2</w:t>
            </w:r>
          </w:p>
        </w:tc>
      </w:tr>
      <w:tr>
        <w:tc>
          <w:tcPr/>
          <w:p>
            <w:pPr>
              <w:pStyle w:val="Compact"/>
            </w:pPr>
            <w:r>
              <w:rPr>
                <w:sz w:val="20"/>
              </w:rPr>
              <w:t xml:space="preserve">VL5</w:t>
            </w:r>
          </w:p>
        </w:tc>
        <w:tc>
          <w:tcPr/>
          <w:p>
            <w:pPr>
              <w:pStyle w:val="Compact"/>
            </w:pPr>
            <w:r>
              <w:rPr>
                <w:sz w:val="20"/>
              </w:rPr>
              <w:t xml:space="preserve">6</w:t>
            </w:r>
          </w:p>
        </w:tc>
        <w:tc>
          <w:tcPr/>
          <w:p>
            <w:pPr>
              <w:pStyle w:val="Compact"/>
            </w:pPr>
            <w:r>
              <w:rPr>
                <w:b/>
                <w:bCs/>
                <w:sz w:val="20"/>
              </w:rPr>
              <w:t xml:space="preserve">Human-in-the-loop redesign.</w:t>
            </w:r>
            <w:r>
              <w:rPr>
                <w:sz w:val="20"/>
              </w:rPr>
              <w:t xml:space="preserve"> </w:t>
            </w:r>
            <w:r>
              <w:rPr>
                <w:sz w:val="20"/>
              </w:rPr>
              <w:t xml:space="preserve">Take a fully automated decision process (e.g., benefits eligibility or résumé screening) and redesign it with review checkpoints, an explanation to the affected person, and an appeal path.</w:t>
            </w:r>
          </w:p>
        </w:tc>
        <w:tc>
          <w:tcPr/>
          <w:p>
            <w:pPr>
              <w:pStyle w:val="Compact"/>
            </w:pPr>
            <w:r>
              <w:rPr>
                <w:sz w:val="20"/>
              </w:rPr>
              <w:t xml:space="preserve">O3, O5</w:t>
            </w:r>
          </w:p>
        </w:tc>
      </w:tr>
    </w:tbl>
    <w:tbl>
      <w:tblPr>
        <w:tblStyle w:val="TableGrid"/>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shd w:val="clear" w:color="auto" w:fill="D9E2F3"/>
          </w:tcPr>
          <w:p>
            <w:pPr>
              <w:pStyle w:val="Compact"/>
            </w:pPr>
            <w:r>
              <w:rPr>
                <w:b/>
                <w:sz w:val="20"/>
              </w:rPr>
              <w:t xml:space="preserve">Criteria</w:t>
            </w:r>
          </w:p>
        </w:tc>
        <w:tc>
          <w:tcPr>
            <w:shd w:val="clear" w:color="auto" w:fill="D9E2F3"/>
          </w:tcPr>
          <w:p>
            <w:pPr>
              <w:pStyle w:val="Compact"/>
            </w:pPr>
            <w:r>
              <w:rPr>
                <w:b/>
                <w:sz w:val="20"/>
              </w:rPr>
              <w:t xml:space="preserve">Exceeds Standard</w:t>
            </w:r>
          </w:p>
        </w:tc>
        <w:tc>
          <w:tcPr>
            <w:shd w:val="clear" w:color="auto" w:fill="D9E2F3"/>
          </w:tcPr>
          <w:p>
            <w:pPr>
              <w:pStyle w:val="Compact"/>
            </w:pPr>
            <w:r>
              <w:rPr>
                <w:b/>
                <w:sz w:val="20"/>
              </w:rPr>
              <w:t xml:space="preserve">At Standard</w:t>
            </w:r>
          </w:p>
        </w:tc>
        <w:tc>
          <w:tcPr>
            <w:shd w:val="clear" w:color="auto" w:fill="D9E2F3"/>
          </w:tcPr>
          <w:p>
            <w:pPr>
              <w:pStyle w:val="Compact"/>
            </w:pPr>
            <w:r>
              <w:rPr>
                <w:b/>
                <w:sz w:val="20"/>
              </w:rPr>
              <w:t xml:space="preserve">Approaching Standard</w:t>
            </w:r>
          </w:p>
        </w:tc>
        <w:tc>
          <w:tcPr>
            <w:shd w:val="clear" w:color="auto" w:fill="D9E2F3"/>
          </w:tcPr>
          <w:p>
            <w:pPr>
              <w:pStyle w:val="Compact"/>
            </w:pPr>
            <w:r>
              <w:rPr>
                <w:b/>
                <w:sz w:val="20"/>
              </w:rPr>
              <w:t xml:space="preserve">Below Standard</w:t>
            </w:r>
          </w:p>
        </w:tc>
      </w:tr>
      <w:tr>
        <w:tc>
          <w:tcPr/>
          <w:p>
            <w:pPr>
              <w:pStyle w:val="Compact"/>
            </w:pPr>
            <w:r>
              <w:rPr>
                <w:b/>
                <w:bCs/>
                <w:sz w:val="20"/>
              </w:rPr>
              <w:t xml:space="preserve">Problem solving in Skill Exercise</w:t>
            </w:r>
            <w:r>
              <w:rPr>
                <w:sz w:val="20"/>
              </w:rPr>
              <w:br/>
            </w:r>
            <w:r>
              <w:rPr>
                <w:b/>
                <w:bCs/>
                <w:i/>
                <w:iCs/>
                <w:sz w:val="20"/>
              </w:rPr>
              <w:t xml:space="preserve">Weight 80%</w:t>
            </w:r>
          </w:p>
        </w:tc>
        <w:tc>
          <w:tcPr/>
          <w:p>
            <w:pPr>
              <w:pStyle w:val="Compact"/>
            </w:pPr>
            <w:r>
              <w:rPr>
                <w:sz w:val="20"/>
              </w:rPr>
              <w:t xml:space="preserve">Submission shows problem solving in Skill Exercise with full evidence.</w:t>
            </w:r>
          </w:p>
        </w:tc>
        <w:tc>
          <w:tcPr/>
          <w:p>
            <w:pPr>
              <w:pStyle w:val="Compact"/>
            </w:pPr>
            <w:r>
              <w:rPr>
                <w:sz w:val="20"/>
              </w:rPr>
              <w:t xml:space="preserve">Submission shows answers problem solving in Skill Exercise with some evidence.</w:t>
            </w:r>
          </w:p>
        </w:tc>
        <w:tc>
          <w:tcPr/>
          <w:p>
            <w:pPr>
              <w:pStyle w:val="Compact"/>
            </w:pPr>
            <w:r>
              <w:rPr>
                <w:sz w:val="20"/>
              </w:rPr>
              <w:t xml:space="preserve">Submission shows problem solving in Skill Exercise answers with minimal evidence.</w:t>
            </w:r>
          </w:p>
        </w:tc>
        <w:tc>
          <w:tcPr/>
          <w:p>
            <w:pPr>
              <w:pStyle w:val="Compact"/>
            </w:pPr>
            <w:r>
              <w:rPr>
                <w:sz w:val="20"/>
              </w:rPr>
              <w:t xml:space="preserve">Submission does not show problem solving in Skill Exercise or shows answers without evidence.</w:t>
            </w:r>
          </w:p>
        </w:tc>
      </w:tr>
      <w:tr>
        <w:tc>
          <w:tcPr/>
          <w:p>
            <w:pPr>
              <w:pStyle w:val="Compact"/>
            </w:pPr>
            <w:r>
              <w:rPr>
                <w:b/>
                <w:bCs/>
                <w:sz w:val="20"/>
              </w:rPr>
              <w:t xml:space="preserve">Correctness</w:t>
            </w:r>
            <w:r>
              <w:rPr>
                <w:sz w:val="20"/>
              </w:rPr>
              <w:br/>
            </w:r>
            <w:r>
              <w:rPr>
                <w:b/>
                <w:bCs/>
                <w:i/>
                <w:iCs/>
                <w:sz w:val="20"/>
              </w:rPr>
              <w:t xml:space="preserve">Weight 20%</w:t>
            </w:r>
          </w:p>
        </w:tc>
        <w:tc>
          <w:tcPr/>
          <w:p>
            <w:pPr>
              <w:pStyle w:val="Compact"/>
            </w:pPr>
            <w:r>
              <w:rPr>
                <w:sz w:val="20"/>
              </w:rPr>
              <w:t xml:space="preserve">The student answers at least 92% of the questions correctly.</w:t>
            </w:r>
          </w:p>
        </w:tc>
        <w:tc>
          <w:tcPr/>
          <w:p>
            <w:pPr>
              <w:pStyle w:val="Compact"/>
            </w:pPr>
            <w:r>
              <w:rPr>
                <w:sz w:val="20"/>
              </w:rPr>
              <w:t xml:space="preserve">The student answers at least 75% but less than 92% of the questions correctly.</w:t>
            </w:r>
          </w:p>
        </w:tc>
        <w:tc>
          <w:tcPr/>
          <w:p>
            <w:pPr>
              <w:pStyle w:val="Compact"/>
            </w:pPr>
            <w:r>
              <w:rPr>
                <w:sz w:val="20"/>
              </w:rPr>
              <w:t xml:space="preserve">The student answers at least 62% but less than 75% of the questions correctly.</w:t>
            </w:r>
          </w:p>
        </w:tc>
        <w:tc>
          <w:tcPr/>
          <w:p>
            <w:pPr>
              <w:pStyle w:val="Compact"/>
            </w:pPr>
            <w:r>
              <w:rPr>
                <w:sz w:val="20"/>
              </w:rPr>
              <w:t xml:space="preserve">The student answers less than 62% of the questions correctly.</w:t>
            </w:r>
          </w:p>
        </w:tc>
      </w:tr>
    </w:tbl>
    <w:bookmarkEnd w:id="68"/>
    <w:bookmarkStart w:id="69" w:name="research-paper-rp---grading-criteria"/>
    <w:p>
      <w:pPr>
        <w:pStyle w:val="Heading3"/>
      </w:pPr>
      <w:r>
        <w:t xml:space="preserve">Research Paper (RP) - Grading Criteria</w:t>
      </w:r>
    </w:p>
    <w:p>
      <w:pPr>
        <w:pStyle w:val="FirstParagraph"/>
      </w:pPr>
      <w:r>
        <w:t xml:space="preserve">In the research paper, each student will use an instructor-approved case study relevant to the course, in which an AI or automated decision-making system raises a question of bias, accountability, privacy, misinformation, or governance. The paper should be 4-6 pages, double-spaced, 12 font-size, excluding the title and reference pages, using APA format, with at least 5 recent, scholarly, peer-reviewed references. The paper will synthesize content from the virtual labs as applied to the case study assigned by the instructor.</w:t>
      </w:r>
    </w:p>
    <w:tbl>
      <w:tblPr>
        <w:tblStyle w:val="TableGrid"/>
        <w:tblW w:type="auto" w:w="0"/>
        <w:tblLayout w:type="autofit"/>
        <w:tblLook w:firstRow="1" w:lastRow="0" w:firstColumn="0" w:lastColumn="0" w:noHBand="0" w:noVBand="0" w:val="0020"/>
      </w:tblPr>
      <w:tblGrid>
        <w:gridCol w:w="1584"/>
        <w:gridCol w:w="1584"/>
        <w:gridCol w:w="1584"/>
        <w:gridCol w:w="1584"/>
        <w:gridCol w:w="1584"/>
      </w:tblGrid>
      <w:tr>
        <w:trPr>
          <w:tblHeader w:val="on"/>
        </w:trPr>
        <w:tc>
          <w:tcPr>
            <w:shd w:val="clear" w:color="auto" w:fill="D9E2F3"/>
          </w:tcPr>
          <w:p>
            <w:pPr>
              <w:pStyle w:val="Compact"/>
            </w:pPr>
            <w:r>
              <w:rPr>
                <w:b/>
                <w:sz w:val="20"/>
              </w:rPr>
              <w:t xml:space="preserve">Criteria</w:t>
            </w:r>
          </w:p>
        </w:tc>
        <w:tc>
          <w:tcPr>
            <w:shd w:val="clear" w:color="auto" w:fill="D9E2F3"/>
          </w:tcPr>
          <w:p>
            <w:pPr>
              <w:pStyle w:val="Compact"/>
            </w:pPr>
            <w:r>
              <w:rPr>
                <w:b/>
                <w:sz w:val="20"/>
              </w:rPr>
              <w:t xml:space="preserve">Exceeds Standard</w:t>
            </w:r>
          </w:p>
        </w:tc>
        <w:tc>
          <w:tcPr>
            <w:shd w:val="clear" w:color="auto" w:fill="D9E2F3"/>
          </w:tcPr>
          <w:p>
            <w:pPr>
              <w:pStyle w:val="Compact"/>
            </w:pPr>
            <w:r>
              <w:rPr>
                <w:b/>
                <w:sz w:val="20"/>
              </w:rPr>
              <w:t xml:space="preserve">At Standard</w:t>
            </w:r>
          </w:p>
        </w:tc>
        <w:tc>
          <w:tcPr>
            <w:shd w:val="clear" w:color="auto" w:fill="D9E2F3"/>
          </w:tcPr>
          <w:p>
            <w:pPr>
              <w:pStyle w:val="Compact"/>
            </w:pPr>
            <w:r>
              <w:rPr>
                <w:b/>
                <w:sz w:val="20"/>
              </w:rPr>
              <w:t xml:space="preserve">Approaching Standard</w:t>
            </w:r>
          </w:p>
        </w:tc>
        <w:tc>
          <w:tcPr>
            <w:shd w:val="clear" w:color="auto" w:fill="D9E2F3"/>
          </w:tcPr>
          <w:p>
            <w:pPr>
              <w:pStyle w:val="Compact"/>
            </w:pPr>
            <w:r>
              <w:rPr>
                <w:b/>
                <w:sz w:val="20"/>
              </w:rPr>
              <w:t xml:space="preserve">Below Standard</w:t>
            </w:r>
          </w:p>
        </w:tc>
      </w:tr>
      <w:tr>
        <w:tc>
          <w:tcPr/>
          <w:p>
            <w:pPr>
              <w:pStyle w:val="Compact"/>
            </w:pPr>
            <w:r>
              <w:rPr>
                <w:b/>
                <w:bCs/>
                <w:sz w:val="20"/>
              </w:rPr>
              <w:t xml:space="preserve">Structure</w:t>
            </w:r>
          </w:p>
        </w:tc>
        <w:tc>
          <w:tcPr/>
          <w:p>
            <w:pPr>
              <w:pStyle w:val="Compact"/>
            </w:pPr>
            <w:r>
              <w:rPr>
                <w:sz w:val="20"/>
              </w:rPr>
              <w:t xml:space="preserve">Displays mastery of template qualities, able to fit formulated ideas and diagrams into template.</w:t>
            </w:r>
          </w:p>
        </w:tc>
        <w:tc>
          <w:tcPr/>
          <w:p>
            <w:pPr>
              <w:pStyle w:val="Compact"/>
            </w:pPr>
            <w:r>
              <w:rPr>
                <w:sz w:val="20"/>
              </w:rPr>
              <w:t xml:space="preserve">Frequently adheres to template. Follows page count.</w:t>
            </w:r>
          </w:p>
        </w:tc>
        <w:tc>
          <w:tcPr/>
          <w:p>
            <w:pPr>
              <w:pStyle w:val="Compact"/>
            </w:pPr>
            <w:r>
              <w:rPr>
                <w:sz w:val="20"/>
              </w:rPr>
              <w:t xml:space="preserve">Sometimes adheres to template, falls short or exceeds page count.</w:t>
            </w:r>
          </w:p>
        </w:tc>
        <w:tc>
          <w:tcPr/>
          <w:p>
            <w:pPr>
              <w:pStyle w:val="Compact"/>
            </w:pPr>
            <w:r>
              <w:rPr>
                <w:sz w:val="20"/>
              </w:rPr>
              <w:t xml:space="preserve">Does not utilize template format.</w:t>
            </w:r>
          </w:p>
        </w:tc>
      </w:tr>
      <w:tr>
        <w:tc>
          <w:tcPr/>
          <w:p>
            <w:pPr>
              <w:pStyle w:val="Compact"/>
            </w:pPr>
            <w:r>
              <w:rPr>
                <w:b/>
                <w:bCs/>
                <w:sz w:val="20"/>
              </w:rPr>
              <w:t xml:space="preserve">Content</w:t>
            </w:r>
          </w:p>
        </w:tc>
        <w:tc>
          <w:tcPr/>
          <w:p>
            <w:pPr>
              <w:pStyle w:val="Compact"/>
            </w:pPr>
            <w:r>
              <w:rPr>
                <w:sz w:val="20"/>
              </w:rPr>
              <w:t xml:space="preserve">The student incorporates an appropriate variety of relevant scholarly resources and evidence to support every point. Full interpretation and explanation of how the evidence supports the topic is provided.</w:t>
            </w:r>
          </w:p>
        </w:tc>
        <w:tc>
          <w:tcPr/>
          <w:p>
            <w:pPr>
              <w:pStyle w:val="Compact"/>
            </w:pPr>
            <w:r>
              <w:rPr>
                <w:sz w:val="20"/>
              </w:rPr>
              <w:t xml:space="preserve">The student incorporates an appropriate variety of relevant scholarly resources and evidence to support almost every point. Some interpretation and explanation of how the evidence supports the topic are provided.</w:t>
            </w:r>
          </w:p>
        </w:tc>
        <w:tc>
          <w:tcPr/>
          <w:p>
            <w:pPr>
              <w:pStyle w:val="Compact"/>
            </w:pPr>
            <w:r>
              <w:rPr>
                <w:sz w:val="20"/>
              </w:rPr>
              <w:t xml:space="preserve">The student uses a limited range of resources and evidence to support a topic, some of which lack relevance and scholarship. Interpretation or application of how the evidence supports the topic is lacking or generalized.</w:t>
            </w:r>
          </w:p>
        </w:tc>
        <w:tc>
          <w:tcPr/>
          <w:p>
            <w:pPr>
              <w:pStyle w:val="Compact"/>
            </w:pPr>
            <w:r>
              <w:rPr>
                <w:sz w:val="20"/>
              </w:rPr>
              <w:t xml:space="preserve">The student does not use resources or evidence to support the topic, or those used are not relevant or scholarly. Information used is summarized or generalized rather than analyzed.</w:t>
            </w:r>
          </w:p>
        </w:tc>
      </w:tr>
      <w:tr>
        <w:tc>
          <w:tcPr/>
          <w:p>
            <w:pPr>
              <w:pStyle w:val="Compact"/>
            </w:pPr>
            <w:r>
              <w:rPr>
                <w:b/>
                <w:bCs/>
                <w:sz w:val="20"/>
              </w:rPr>
              <w:t xml:space="preserve">Writing</w:t>
            </w:r>
          </w:p>
        </w:tc>
        <w:tc>
          <w:tcPr/>
          <w:p>
            <w:pPr>
              <w:pStyle w:val="Compact"/>
            </w:pPr>
            <w:r>
              <w:rPr>
                <w:sz w:val="20"/>
              </w:rPr>
              <w:t xml:space="preserve">Writing is almost entirely free of spelling, punctuation, and/or grammatical errors. Sentences are varied, clearly structured, carefully focused, and fit the assignment's purpose and audience. Words chosen for their precise meaning and an appropriate level of specificity are used.</w:t>
            </w:r>
          </w:p>
        </w:tc>
        <w:tc>
          <w:tcPr/>
          <w:p>
            <w:pPr>
              <w:pStyle w:val="Compact"/>
            </w:pPr>
            <w:r>
              <w:rPr>
                <w:sz w:val="20"/>
              </w:rPr>
              <w:t xml:space="preserve">Writing contains minor spelling, punctuation, and/or grammatical errors, but these do not impede understanding. Sentences are generally clear, well structured, and focused, but some may be awkward or ineffective. Usually uses words accurately and effectively but sometimes may be too general.</w:t>
            </w:r>
          </w:p>
        </w:tc>
        <w:tc>
          <w:tcPr/>
          <w:p>
            <w:pPr>
              <w:pStyle w:val="Compact"/>
            </w:pPr>
            <w:r>
              <w:rPr>
                <w:sz w:val="20"/>
              </w:rPr>
              <w:t xml:space="preserve">Writing contains spelling, punctuation, and/or grammatical errors that may temporarily confuse the reader, but do not generally impede the overall understanding. Sentence structure is generally correct, but may be wordy, unfocused, repetitive, or confusing. There is some use of relatively vague, general, or inappropriate words.</w:t>
            </w:r>
          </w:p>
        </w:tc>
        <w:tc>
          <w:tcPr/>
          <w:p>
            <w:pPr>
              <w:pStyle w:val="Compact"/>
            </w:pPr>
            <w:r>
              <w:rPr>
                <w:sz w:val="20"/>
              </w:rPr>
              <w:t xml:space="preserve">Ideas are unclear, lack detail, and/or random. The paper/presentation has no or minimal organization. Ideas appear to be arranged in a random order. Few or inappropriate transitions between paragraphs/ideas, and ideas are not developed clearly. Does not appropriately respond to the assignment.</w:t>
            </w:r>
          </w:p>
        </w:tc>
      </w:tr>
      <w:tr>
        <w:tc>
          <w:tcPr/>
          <w:p>
            <w:pPr>
              <w:pStyle w:val="Compact"/>
            </w:pPr>
            <w:r>
              <w:rPr>
                <w:b/>
                <w:bCs/>
                <w:sz w:val="20"/>
              </w:rPr>
              <w:t xml:space="preserve">Reference</w:t>
            </w:r>
          </w:p>
        </w:tc>
        <w:tc>
          <w:tcPr/>
          <w:p>
            <w:pPr>
              <w:pStyle w:val="Compact"/>
            </w:pPr>
            <w:r>
              <w:rPr>
                <w:sz w:val="20"/>
              </w:rPr>
              <w:t xml:space="preserve">No errors in APA document formatting (including punctuation, capitalization, title page, numbers, use of abbreviations, biased language, pronoun errors, headers/footers, levels of heading).</w:t>
            </w:r>
          </w:p>
        </w:tc>
        <w:tc>
          <w:tcPr/>
          <w:p>
            <w:pPr>
              <w:pStyle w:val="Compact"/>
            </w:pPr>
            <w:r>
              <w:rPr>
                <w:sz w:val="20"/>
              </w:rPr>
              <w:t xml:space="preserve">Between 0 and 4 errors in APA document formatting (same elements).</w:t>
            </w:r>
          </w:p>
        </w:tc>
        <w:tc>
          <w:tcPr/>
          <w:p>
            <w:pPr>
              <w:pStyle w:val="Compact"/>
            </w:pPr>
            <w:r>
              <w:rPr>
                <w:sz w:val="20"/>
              </w:rPr>
              <w:t xml:space="preserve">Between 5 and 10 errors in APA document formatting (same elements).</w:t>
            </w:r>
          </w:p>
        </w:tc>
        <w:tc>
          <w:tcPr/>
          <w:p>
            <w:pPr>
              <w:pStyle w:val="Compact"/>
            </w:pPr>
            <w:r>
              <w:rPr>
                <w:sz w:val="20"/>
              </w:rPr>
              <w:t xml:space="preserve">More than 10 errors in APA document formatting (same elements).</w:t>
            </w:r>
          </w:p>
        </w:tc>
      </w:tr>
    </w:tbl>
    <w:bookmarkEnd w:id="69"/>
    <w:bookmarkStart w:id="75" w:name="team-project"/>
    <w:p>
      <w:pPr>
        <w:pStyle w:val="Heading3"/>
      </w:pPr>
      <w:r>
        <w:t xml:space="preserve">Team Project (TP) - Grading Criteria</w:t>
      </w:r>
    </w:p>
    <w:bookmarkStart w:id="70" w:name="X7f87eb4ac00f07e6231540a11bf4e3c2bde44bf"/>
    <w:p>
      <w:pPr>
        <w:pStyle w:val="Heading4"/>
      </w:pPr>
      <w:r>
        <w:t xml:space="preserve">Project Description: Cyber and AI Ethics – Ethical AI Framework Development</w:t>
      </w:r>
    </w:p>
    <w:p>
      <w:pPr>
        <w:pStyle w:val="FirstParagraph"/>
      </w:pPr>
      <w:r>
        <w:t xml:space="preserve">Each student team will conduct an in-depth case analysis for a selected case which describes unethical behaviors related to Information Security or an AI system (for example, a biased automated decision, an AI-driven misinformation campaign, unchecked surveillance, or an AI agent acting without adequate oversight). Each case will need to be approved by the instructor before being accepted. For each case, the team will provide an analysis which describes the breakdown of ethical behaviors.</w:t>
      </w:r>
    </w:p>
    <w:p>
      <w:pPr>
        <w:pStyle w:val="BodyText"/>
      </w:pPr>
      <w:r>
        <w:t xml:space="preserve">The team should differentiate between legal unethical behaviors and illegal behaviors and explain how the initial lapses led to more serious behavior. The student will describe how Information and Communications Technology (ICT) and AI impacted ethical behaviors and situations. The student will outline controls, education, and environmental factors which may have prevented ethical breaches or minimized consequences, or both.</w:t>
      </w:r>
    </w:p>
    <w:p>
      <w:pPr>
        <w:pStyle w:val="BodyText"/>
      </w:pPr>
      <w:r>
        <w:t xml:space="preserve">Building on that analysis, the team will develop an</w:t>
      </w:r>
      <w:r>
        <w:t xml:space="preserve"> </w:t>
      </w:r>
      <w:r>
        <w:rPr>
          <w:b/>
          <w:bCs/>
        </w:rPr>
        <w:t xml:space="preserve">Ethical AI Framework</w:t>
      </w:r>
      <w:r>
        <w:t xml:space="preserve"> </w:t>
      </w:r>
      <w:r>
        <w:t xml:space="preserve">for the organization in the case. The framework must address, at minimum: data transparency (what data is used and where it comes from), model explainability (how decisions can be explained to the people they affect), human-in-the-loop oversight (where a person reviews, overrides, or stops the system), accountability (who answers when the system causes harm), and alignment with a professional code and at least one governance standard (e.g., the NIST AI RMF or the EU AI Act).</w:t>
      </w:r>
    </w:p>
    <w:p>
      <w:pPr>
        <w:pStyle w:val="BodyText"/>
      </w:pPr>
      <w:r>
        <w:t xml:space="preserve">The analysis of the case should include proper documentation of the case, including news articles or articles providing supporting information. All documentation should use APA standards.</w:t>
      </w:r>
    </w:p>
    <w:bookmarkEnd w:id="70"/>
    <w:bookmarkStart w:id="71" w:name="team-project-assignments"/>
    <w:p>
      <w:pPr>
        <w:pStyle w:val="Heading4"/>
      </w:pPr>
      <w:r>
        <w:t xml:space="preserve">Team Project Assignments</w:t>
      </w:r>
    </w:p>
    <w:p>
      <w:pPr>
        <w:pStyle w:val="FirstParagraph"/>
      </w:pPr>
      <w:r>
        <w:rPr>
          <w:b/>
          <w:bCs/>
        </w:rPr>
        <w:t xml:space="preserve">Weeks 1-3: TP01 Team Project Proposal</w:t>
      </w:r>
      <w:r>
        <w:br/>
      </w:r>
      <w:r>
        <w:t xml:space="preserve">During the first week, the Team Project will be explained to the students. The first submission will be a project proposal and is due at the end of Week 3 using the provided template in Brightspace.</w:t>
      </w:r>
    </w:p>
    <w:p>
      <w:pPr>
        <w:pStyle w:val="BodyText"/>
      </w:pPr>
      <w:r>
        <w:rPr>
          <w:b/>
          <w:bCs/>
        </w:rPr>
        <w:t xml:space="preserve">Weeks 4-7: TP02 Team Project Progress</w:t>
      </w:r>
      <w:r>
        <w:br/>
      </w:r>
      <w:r>
        <w:t xml:space="preserve">The second submission will demonstrate progress on the team project and will be due at the end of Week 7. The students will be provided with the final report template in Brightspace, and this assignment will ask the students to complete several sections of the final report. This will be explained in week 4.</w:t>
      </w:r>
    </w:p>
    <w:p>
      <w:pPr>
        <w:pStyle w:val="BodyText"/>
      </w:pPr>
      <w:r>
        <w:rPr>
          <w:b/>
          <w:bCs/>
        </w:rPr>
        <w:t xml:space="preserve">Weeks 8-10: TP03 Team Project Final Report &amp; TP04 Team Project Presentation</w:t>
      </w:r>
      <w:r>
        <w:br/>
      </w:r>
      <w:r>
        <w:t xml:space="preserve">The final submission will include two documents: (1) The Team Project Final Report and (2) the Team Project Presentation. Both documents are due at the end of Week 10. It will be the instructor's judgment whether the final Team Presentation is performed live or voiced over PPT slides.</w:t>
      </w:r>
    </w:p>
    <w:p>
      <w:pPr>
        <w:pStyle w:val="BodyText"/>
      </w:pPr>
      <w:r>
        <w:rPr>
          <w:b/>
          <w:bCs/>
        </w:rPr>
        <w:t xml:space="preserve">Each group member,</w:t>
      </w:r>
      <w:r>
        <w:t xml:space="preserve"> </w:t>
      </w:r>
      <w:r>
        <w:t xml:space="preserve">as part of the assignment for TP03, will be asked to reflect individually on their team members' cooperation, quality of work produced, attending scheduled group meetings, and contributions.</w:t>
      </w:r>
    </w:p>
    <w:p>
      <w:pPr>
        <w:pStyle w:val="BodyText"/>
      </w:pPr>
      <w:r>
        <w:t xml:space="preserve">*All driving questions &amp; project topics will be approved by the instructor before beginning the project.</w:t>
      </w:r>
    </w:p>
    <w:bookmarkEnd w:id="71"/>
    <w:bookmarkStart w:id="72" w:name="tp01-and-tp02-report"/>
    <w:p>
      <w:pPr>
        <w:pStyle w:val="Heading4"/>
      </w:pPr>
      <w:r>
        <w:t xml:space="preserve">TP01 and TP02 Report</w:t>
      </w:r>
    </w:p>
    <w:tbl>
      <w:tblPr>
        <w:tblStyle w:val="TableGrid"/>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shd w:val="clear" w:color="auto" w:fill="D9E2F3"/>
          </w:tcPr>
          <w:p>
            <w:pPr>
              <w:pStyle w:val="Compact"/>
            </w:pPr>
            <w:r>
              <w:rPr>
                <w:b/>
                <w:sz w:val="20"/>
              </w:rPr>
              <w:t xml:space="preserve">Criteria</w:t>
            </w:r>
          </w:p>
        </w:tc>
        <w:tc>
          <w:tcPr>
            <w:shd w:val="clear" w:color="auto" w:fill="D9E2F3"/>
          </w:tcPr>
          <w:p>
            <w:pPr>
              <w:pStyle w:val="Compact"/>
            </w:pPr>
            <w:r>
              <w:rPr>
                <w:b/>
                <w:sz w:val="20"/>
              </w:rPr>
              <w:t xml:space="preserve">Exceeds Standard</w:t>
            </w:r>
          </w:p>
        </w:tc>
        <w:tc>
          <w:tcPr>
            <w:shd w:val="clear" w:color="auto" w:fill="D9E2F3"/>
          </w:tcPr>
          <w:p>
            <w:pPr>
              <w:pStyle w:val="Compact"/>
            </w:pPr>
            <w:r>
              <w:rPr>
                <w:b/>
                <w:sz w:val="20"/>
              </w:rPr>
              <w:t xml:space="preserve">At Standard</w:t>
            </w:r>
          </w:p>
        </w:tc>
        <w:tc>
          <w:tcPr>
            <w:shd w:val="clear" w:color="auto" w:fill="D9E2F3"/>
          </w:tcPr>
          <w:p>
            <w:pPr>
              <w:pStyle w:val="Compact"/>
            </w:pPr>
            <w:r>
              <w:rPr>
                <w:b/>
                <w:sz w:val="20"/>
              </w:rPr>
              <w:t xml:space="preserve">Approaching Standard</w:t>
            </w:r>
          </w:p>
        </w:tc>
        <w:tc>
          <w:tcPr>
            <w:shd w:val="clear" w:color="auto" w:fill="D9E2F3"/>
          </w:tcPr>
          <w:p>
            <w:pPr>
              <w:pStyle w:val="Compact"/>
            </w:pPr>
            <w:r>
              <w:rPr>
                <w:b/>
                <w:sz w:val="20"/>
              </w:rPr>
              <w:t xml:space="preserve">Below Standard</w:t>
            </w:r>
          </w:p>
        </w:tc>
      </w:tr>
      <w:tr>
        <w:tc>
          <w:tcPr/>
          <w:p>
            <w:pPr>
              <w:pStyle w:val="Compact"/>
            </w:pPr>
            <w:r>
              <w:rPr>
                <w:b/>
                <w:bCs/>
                <w:sz w:val="20"/>
              </w:rPr>
              <w:t xml:space="preserve">Structure</w:t>
            </w:r>
            <w:r>
              <w:rPr>
                <w:sz w:val="20"/>
              </w:rPr>
              <w:br/>
            </w:r>
            <w:r>
              <w:rPr>
                <w:b/>
                <w:bCs/>
                <w:i/>
                <w:iCs/>
                <w:sz w:val="20"/>
              </w:rPr>
              <w:t xml:space="preserve">Weight 20%</w:t>
            </w:r>
          </w:p>
        </w:tc>
        <w:tc>
          <w:tcPr/>
          <w:p>
            <w:pPr>
              <w:pStyle w:val="Compact"/>
            </w:pPr>
            <w:r>
              <w:rPr>
                <w:sz w:val="20"/>
              </w:rPr>
              <w:t xml:space="preserve">Displays mastery of template qualities, able to fit formulated ideas and diagrams into the template.</w:t>
            </w:r>
          </w:p>
        </w:tc>
        <w:tc>
          <w:tcPr/>
          <w:p>
            <w:pPr>
              <w:pStyle w:val="Compact"/>
            </w:pPr>
            <w:r>
              <w:rPr>
                <w:sz w:val="20"/>
              </w:rPr>
              <w:t xml:space="preserve">Frequently adheres to the template. Follows page count.</w:t>
            </w:r>
          </w:p>
        </w:tc>
        <w:tc>
          <w:tcPr/>
          <w:p>
            <w:pPr>
              <w:pStyle w:val="Compact"/>
            </w:pPr>
            <w:r>
              <w:rPr>
                <w:sz w:val="20"/>
              </w:rPr>
              <w:t xml:space="preserve">Sometimes adheres to the template, falls short, or exceeds the page count.</w:t>
            </w:r>
          </w:p>
        </w:tc>
        <w:tc>
          <w:tcPr/>
          <w:p>
            <w:pPr>
              <w:pStyle w:val="Compact"/>
            </w:pPr>
            <w:r>
              <w:rPr>
                <w:sz w:val="20"/>
              </w:rPr>
              <w:t xml:space="preserve">Does not utilize the template format.</w:t>
            </w:r>
          </w:p>
        </w:tc>
      </w:tr>
      <w:tr>
        <w:tc>
          <w:tcPr/>
          <w:p>
            <w:pPr>
              <w:pStyle w:val="Compact"/>
            </w:pPr>
            <w:r>
              <w:rPr>
                <w:b/>
                <w:bCs/>
                <w:sz w:val="20"/>
              </w:rPr>
              <w:t xml:space="preserve">Content</w:t>
            </w:r>
            <w:r>
              <w:rPr>
                <w:sz w:val="20"/>
              </w:rPr>
              <w:br/>
            </w:r>
            <w:r>
              <w:rPr>
                <w:b/>
                <w:bCs/>
                <w:i/>
                <w:iCs/>
                <w:sz w:val="20"/>
              </w:rPr>
              <w:t xml:space="preserve">Weight 30%</w:t>
            </w:r>
          </w:p>
        </w:tc>
        <w:tc>
          <w:tcPr/>
          <w:p>
            <w:pPr>
              <w:pStyle w:val="Compact"/>
            </w:pPr>
            <w:r>
              <w:rPr>
                <w:sz w:val="20"/>
              </w:rPr>
              <w:t xml:space="preserve">The team incorporates an appropriate variety of relevant scholarly resources and evidence to support every point. The team provides a full interpretation and explanation of how the evidence supports the topic.</w:t>
            </w:r>
          </w:p>
        </w:tc>
        <w:tc>
          <w:tcPr/>
          <w:p>
            <w:pPr>
              <w:pStyle w:val="Compact"/>
            </w:pPr>
            <w:r>
              <w:rPr>
                <w:sz w:val="20"/>
              </w:rPr>
              <w:t xml:space="preserve">The team incorporates an appropriate variety of relevant scholarly resources and evidence to support almost every point. The team provides some interpretation and explanation of how the evidence supports the topic.</w:t>
            </w:r>
          </w:p>
        </w:tc>
        <w:tc>
          <w:tcPr/>
          <w:p>
            <w:pPr>
              <w:pStyle w:val="Compact"/>
            </w:pPr>
            <w:r>
              <w:rPr>
                <w:sz w:val="20"/>
              </w:rPr>
              <w:t xml:space="preserve">The team uses a limited range of resources and evidence to support the topic, some of which lack relevance and scholarship. Interpretation or application of how the evidence supports the topic is lacking or generalized.</w:t>
            </w:r>
          </w:p>
        </w:tc>
        <w:tc>
          <w:tcPr/>
          <w:p>
            <w:pPr>
              <w:pStyle w:val="Compact"/>
            </w:pPr>
            <w:r>
              <w:rPr>
                <w:sz w:val="20"/>
              </w:rPr>
              <w:t xml:space="preserve">The team does not use resources or evidence to support the topic, or those used are not relevant or scholarly. The information used is summarized or generalized rather than analyzed.</w:t>
            </w:r>
          </w:p>
        </w:tc>
      </w:tr>
      <w:tr>
        <w:tc>
          <w:tcPr/>
          <w:p>
            <w:pPr>
              <w:pStyle w:val="Compact"/>
            </w:pPr>
            <w:r>
              <w:rPr>
                <w:b/>
                <w:bCs/>
                <w:sz w:val="20"/>
              </w:rPr>
              <w:t xml:space="preserve">Writing</w:t>
            </w:r>
            <w:r>
              <w:rPr>
                <w:sz w:val="20"/>
              </w:rPr>
              <w:br/>
            </w:r>
            <w:r>
              <w:rPr>
                <w:b/>
                <w:bCs/>
                <w:i/>
                <w:iCs/>
                <w:sz w:val="20"/>
              </w:rPr>
              <w:t xml:space="preserve">Weight 30%</w:t>
            </w:r>
          </w:p>
        </w:tc>
        <w:tc>
          <w:tcPr/>
          <w:p>
            <w:pPr>
              <w:pStyle w:val="Compact"/>
            </w:pPr>
            <w:r>
              <w:rPr>
                <w:sz w:val="20"/>
              </w:rPr>
              <w:t xml:space="preserve">Writing is almost entirely free of spelling, punctuation, and/or grammatical errors. Sentences are varied, clearly structured, carefully focused, and fit the assignment's purpose and audience. Words chosen for their precise meaning and an appropriate level of specificity are used.</w:t>
            </w:r>
          </w:p>
        </w:tc>
        <w:tc>
          <w:tcPr/>
          <w:p>
            <w:pPr>
              <w:pStyle w:val="Compact"/>
            </w:pPr>
            <w:r>
              <w:rPr>
                <w:sz w:val="20"/>
              </w:rPr>
              <w:t xml:space="preserve">Writing contains minor spelling, punctuation, and/or grammatical errors, but these do not impede understanding. Sentences are generally clear, well structured, and focused, but some may be awkward or ineffective. Usually uses words accurately and effectively but sometimes may be too general.</w:t>
            </w:r>
          </w:p>
        </w:tc>
        <w:tc>
          <w:tcPr/>
          <w:p>
            <w:pPr>
              <w:pStyle w:val="Compact"/>
            </w:pPr>
            <w:r>
              <w:rPr>
                <w:sz w:val="20"/>
              </w:rPr>
              <w:t xml:space="preserve">Writing contains spelling, punctuation, and/or grammatical errors that may temporarily confuse the reader, but do not generally impede the overall understanding. Sentence structure is generally correct, but may be wordy, unfocused, repetitive, or confusing. There is some use of relatively vague, general, or inappropriate words.</w:t>
            </w:r>
          </w:p>
        </w:tc>
        <w:tc>
          <w:tcPr/>
          <w:p>
            <w:pPr>
              <w:pStyle w:val="Compact"/>
            </w:pPr>
            <w:r>
              <w:rPr>
                <w:sz w:val="20"/>
              </w:rPr>
              <w:t xml:space="preserve">Ideas are unclear, lack detail, and/or random. The paper/presentation has no or minimal organization. Ideas appear to be arranged in a random order. Few or inappropriate transitions between paragraphs/ideas, and ideas are not developed clearly. Does not appropriately respond to the assignment.</w:t>
            </w:r>
          </w:p>
        </w:tc>
      </w:tr>
      <w:tr>
        <w:tc>
          <w:tcPr/>
          <w:p>
            <w:pPr>
              <w:pStyle w:val="Compact"/>
            </w:pPr>
            <w:r>
              <w:rPr>
                <w:b/>
                <w:bCs/>
                <w:sz w:val="20"/>
              </w:rPr>
              <w:t xml:space="preserve">Reference Mechanics</w:t>
            </w:r>
            <w:r>
              <w:rPr>
                <w:sz w:val="20"/>
              </w:rPr>
              <w:br/>
            </w:r>
            <w:r>
              <w:rPr>
                <w:b/>
                <w:bCs/>
                <w:i/>
                <w:iCs/>
                <w:sz w:val="20"/>
              </w:rPr>
              <w:t xml:space="preserve">Weight 10%</w:t>
            </w:r>
          </w:p>
        </w:tc>
        <w:tc>
          <w:tcPr/>
          <w:p>
            <w:pPr>
              <w:pStyle w:val="Compact"/>
            </w:pPr>
            <w:r>
              <w:rPr>
                <w:sz w:val="20"/>
              </w:rPr>
              <w:t xml:space="preserve">No errors in APA document formatting (including punctuation, capitalization, title page, numbers, use of abbreviations, biased language, pronoun errors, headers/footers, levels of heading).</w:t>
            </w:r>
          </w:p>
        </w:tc>
        <w:tc>
          <w:tcPr/>
          <w:p>
            <w:pPr>
              <w:pStyle w:val="Compact"/>
            </w:pPr>
            <w:r>
              <w:rPr>
                <w:sz w:val="20"/>
              </w:rPr>
              <w:t xml:space="preserve">Between 0 and 4 errors in APA document formatting (same elements).</w:t>
            </w:r>
          </w:p>
        </w:tc>
        <w:tc>
          <w:tcPr/>
          <w:p>
            <w:pPr>
              <w:pStyle w:val="Compact"/>
            </w:pPr>
            <w:r>
              <w:rPr>
                <w:sz w:val="20"/>
              </w:rPr>
              <w:t xml:space="preserve">Between 5 and 10 errors in APA document formatting (same elements).</w:t>
            </w:r>
          </w:p>
        </w:tc>
        <w:tc>
          <w:tcPr/>
          <w:p>
            <w:pPr>
              <w:pStyle w:val="Compact"/>
            </w:pPr>
            <w:r>
              <w:rPr>
                <w:sz w:val="20"/>
              </w:rPr>
              <w:t xml:space="preserve">More than 10 errors in APA document formatting (same elements).</w:t>
            </w:r>
          </w:p>
        </w:tc>
      </w:tr>
    </w:tbl>
    <w:bookmarkEnd w:id="72"/>
    <w:bookmarkStart w:id="73" w:name="tp03-final-report"/>
    <w:p>
      <w:pPr>
        <w:pStyle w:val="Heading4"/>
      </w:pPr>
      <w:r>
        <w:t xml:space="preserve">TP03 Final Report</w:t>
      </w:r>
    </w:p>
    <w:tbl>
      <w:tblPr>
        <w:tblStyle w:val="TableGrid"/>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shd w:val="clear" w:color="auto" w:fill="D9E2F3"/>
          </w:tcPr>
          <w:p>
            <w:pPr>
              <w:pStyle w:val="Compact"/>
            </w:pPr>
            <w:r>
              <w:rPr>
                <w:b/>
                <w:sz w:val="20"/>
              </w:rPr>
              <w:t xml:space="preserve">Criteria</w:t>
            </w:r>
          </w:p>
        </w:tc>
        <w:tc>
          <w:tcPr>
            <w:shd w:val="clear" w:color="auto" w:fill="D9E2F3"/>
          </w:tcPr>
          <w:p>
            <w:pPr>
              <w:pStyle w:val="Compact"/>
            </w:pPr>
            <w:r>
              <w:rPr>
                <w:b/>
                <w:sz w:val="20"/>
              </w:rPr>
              <w:t xml:space="preserve">Exceeds Standard</w:t>
            </w:r>
          </w:p>
        </w:tc>
        <w:tc>
          <w:tcPr>
            <w:shd w:val="clear" w:color="auto" w:fill="D9E2F3"/>
          </w:tcPr>
          <w:p>
            <w:pPr>
              <w:pStyle w:val="Compact"/>
            </w:pPr>
            <w:r>
              <w:rPr>
                <w:b/>
                <w:sz w:val="20"/>
              </w:rPr>
              <w:t xml:space="preserve">At Standard</w:t>
            </w:r>
          </w:p>
        </w:tc>
        <w:tc>
          <w:tcPr>
            <w:shd w:val="clear" w:color="auto" w:fill="D9E2F3"/>
          </w:tcPr>
          <w:p>
            <w:pPr>
              <w:pStyle w:val="Compact"/>
            </w:pPr>
            <w:r>
              <w:rPr>
                <w:b/>
                <w:sz w:val="20"/>
              </w:rPr>
              <w:t xml:space="preserve">Approaching Standard</w:t>
            </w:r>
          </w:p>
        </w:tc>
        <w:tc>
          <w:tcPr>
            <w:shd w:val="clear" w:color="auto" w:fill="D9E2F3"/>
          </w:tcPr>
          <w:p>
            <w:pPr>
              <w:pStyle w:val="Compact"/>
            </w:pPr>
            <w:r>
              <w:rPr>
                <w:b/>
                <w:sz w:val="20"/>
              </w:rPr>
              <w:t xml:space="preserve">Below Standard</w:t>
            </w:r>
          </w:p>
        </w:tc>
      </w:tr>
      <w:tr>
        <w:tc>
          <w:tcPr/>
          <w:p>
            <w:pPr>
              <w:pStyle w:val="Compact"/>
            </w:pPr>
            <w:r>
              <w:rPr>
                <w:b/>
                <w:bCs/>
                <w:sz w:val="20"/>
              </w:rPr>
              <w:t xml:space="preserve">Structure</w:t>
            </w:r>
            <w:r>
              <w:rPr>
                <w:sz w:val="20"/>
              </w:rPr>
              <w:br/>
            </w:r>
            <w:r>
              <w:rPr>
                <w:b/>
                <w:bCs/>
                <w:i/>
                <w:iCs/>
                <w:sz w:val="20"/>
              </w:rPr>
              <w:t xml:space="preserve">Weight 20%</w:t>
            </w:r>
          </w:p>
        </w:tc>
        <w:tc>
          <w:tcPr/>
          <w:p>
            <w:pPr>
              <w:pStyle w:val="Compact"/>
            </w:pPr>
            <w:r>
              <w:rPr>
                <w:sz w:val="20"/>
              </w:rPr>
              <w:t xml:space="preserve">Displays mastery of template qualities, able to fit formulated ideas and diagrams into the template.</w:t>
            </w:r>
          </w:p>
        </w:tc>
        <w:tc>
          <w:tcPr/>
          <w:p>
            <w:pPr>
              <w:pStyle w:val="Compact"/>
            </w:pPr>
            <w:r>
              <w:rPr>
                <w:sz w:val="20"/>
              </w:rPr>
              <w:t xml:space="preserve">Frequently adheres to the template. Follows page count.</w:t>
            </w:r>
          </w:p>
        </w:tc>
        <w:tc>
          <w:tcPr/>
          <w:p>
            <w:pPr>
              <w:pStyle w:val="Compact"/>
            </w:pPr>
            <w:r>
              <w:rPr>
                <w:sz w:val="20"/>
              </w:rPr>
              <w:t xml:space="preserve">Sometimes adheres to the template, falls short, or exceeds the page count.</w:t>
            </w:r>
          </w:p>
        </w:tc>
        <w:tc>
          <w:tcPr/>
          <w:p>
            <w:pPr>
              <w:pStyle w:val="Compact"/>
            </w:pPr>
            <w:r>
              <w:rPr>
                <w:sz w:val="20"/>
              </w:rPr>
              <w:t xml:space="preserve">Does not utilize the template format.</w:t>
            </w:r>
          </w:p>
        </w:tc>
      </w:tr>
      <w:tr>
        <w:tc>
          <w:tcPr/>
          <w:p>
            <w:pPr>
              <w:pStyle w:val="Compact"/>
            </w:pPr>
            <w:r>
              <w:rPr>
                <w:b/>
                <w:bCs/>
                <w:sz w:val="20"/>
              </w:rPr>
              <w:t xml:space="preserve">Cyber and AI Ethics</w:t>
            </w:r>
            <w:r>
              <w:rPr>
                <w:sz w:val="20"/>
              </w:rPr>
              <w:br/>
            </w:r>
            <w:r>
              <w:rPr>
                <w:b/>
                <w:bCs/>
                <w:i/>
                <w:iCs/>
                <w:sz w:val="20"/>
              </w:rPr>
              <w:t xml:space="preserve">Weight 30%</w:t>
            </w:r>
          </w:p>
        </w:tc>
        <w:tc>
          <w:tcPr/>
          <w:p>
            <w:pPr>
              <w:pStyle w:val="Compact"/>
            </w:pPr>
            <w:r>
              <w:rPr>
                <w:sz w:val="20"/>
              </w:rPr>
              <w:t xml:space="preserve">Evaluates concepts, integration, and management of key components of cyber and AI ethics, including a complete Ethical AI Framework.</w:t>
            </w:r>
          </w:p>
        </w:tc>
        <w:tc>
          <w:tcPr/>
          <w:p>
            <w:pPr>
              <w:pStyle w:val="Compact"/>
            </w:pPr>
            <w:r>
              <w:rPr>
                <w:sz w:val="20"/>
              </w:rPr>
              <w:t xml:space="preserve">Applies concepts, integration, and management of key components of cyber and AI ethics.</w:t>
            </w:r>
          </w:p>
        </w:tc>
        <w:tc>
          <w:tcPr/>
          <w:p>
            <w:pPr>
              <w:pStyle w:val="Compact"/>
            </w:pPr>
            <w:r>
              <w:rPr>
                <w:sz w:val="20"/>
              </w:rPr>
              <w:t xml:space="preserve">Understands concepts, integration, and management of key components of cyber and AI ethics.</w:t>
            </w:r>
          </w:p>
        </w:tc>
        <w:tc>
          <w:tcPr/>
          <w:p>
            <w:pPr>
              <w:pStyle w:val="Compact"/>
            </w:pPr>
            <w:r>
              <w:rPr>
                <w:sz w:val="20"/>
              </w:rPr>
              <w:t xml:space="preserve">Recalls concepts, integration, and management of key components of cyber and AI ethics.</w:t>
            </w:r>
          </w:p>
        </w:tc>
      </w:tr>
      <w:tr>
        <w:tc>
          <w:tcPr/>
          <w:p>
            <w:pPr>
              <w:pStyle w:val="Compact"/>
            </w:pPr>
            <w:r>
              <w:rPr>
                <w:b/>
                <w:bCs/>
                <w:sz w:val="20"/>
              </w:rPr>
              <w:t xml:space="preserve">Writing</w:t>
            </w:r>
            <w:r>
              <w:rPr>
                <w:sz w:val="20"/>
              </w:rPr>
              <w:br/>
            </w:r>
            <w:r>
              <w:rPr>
                <w:b/>
                <w:bCs/>
                <w:i/>
                <w:iCs/>
                <w:sz w:val="20"/>
              </w:rPr>
              <w:t xml:space="preserve">Weight 30%</w:t>
            </w:r>
          </w:p>
        </w:tc>
        <w:tc>
          <w:tcPr/>
          <w:p>
            <w:pPr>
              <w:pStyle w:val="Compact"/>
            </w:pPr>
            <w:r>
              <w:rPr>
                <w:sz w:val="20"/>
              </w:rPr>
              <w:t xml:space="preserve">Writing is almost entirely free of spelling, punctuation, and/or grammatical errors. Sentences are varied, clearly structured, carefully focused, and fit the assignment's purpose and audience. Words chosen for their precise meaning and an appropriate level of specificity are used.</w:t>
            </w:r>
          </w:p>
        </w:tc>
        <w:tc>
          <w:tcPr/>
          <w:p>
            <w:pPr>
              <w:pStyle w:val="Compact"/>
            </w:pPr>
            <w:r>
              <w:rPr>
                <w:sz w:val="20"/>
              </w:rPr>
              <w:t xml:space="preserve">Writing contains minor spelling, punctuation, and/or grammatical errors, but these do not impede understanding. Sentences are generally clear, well structured, and focused, but some may be awkward or ineffective. Usually uses words accurately and effectively but sometimes may be too general.</w:t>
            </w:r>
          </w:p>
        </w:tc>
        <w:tc>
          <w:tcPr/>
          <w:p>
            <w:pPr>
              <w:pStyle w:val="Compact"/>
            </w:pPr>
            <w:r>
              <w:rPr>
                <w:sz w:val="20"/>
              </w:rPr>
              <w:t xml:space="preserve">Writing contains spelling, punctuation, and/or grammatical errors that may temporarily confuse the reader, but do not generally impede the overall understanding. Sentence structure is generally correct, but may be wordy, unfocused, repetitive, or confusing. There is some use of relatively vague, general, or inappropriate words.</w:t>
            </w:r>
          </w:p>
        </w:tc>
        <w:tc>
          <w:tcPr/>
          <w:p>
            <w:pPr>
              <w:pStyle w:val="Compact"/>
            </w:pPr>
            <w:r>
              <w:rPr>
                <w:sz w:val="20"/>
              </w:rPr>
              <w:t xml:space="preserve">Ideas are unclear, lack detail, and/or random. The paper/presentation has no or minimal organization. Ideas appear to be arranged in a random order. Few or inappropriate transitions between paragraphs/ideas, and ideas are not developed clearly. Does not appropriately respond to the assignment.</w:t>
            </w:r>
          </w:p>
        </w:tc>
      </w:tr>
      <w:tr>
        <w:tc>
          <w:tcPr/>
          <w:p>
            <w:pPr>
              <w:pStyle w:val="Compact"/>
            </w:pPr>
            <w:r>
              <w:rPr>
                <w:b/>
                <w:bCs/>
                <w:sz w:val="20"/>
              </w:rPr>
              <w:t xml:space="preserve">Reference Mechanics</w:t>
            </w:r>
            <w:r>
              <w:rPr>
                <w:sz w:val="20"/>
              </w:rPr>
              <w:br/>
            </w:r>
            <w:r>
              <w:rPr>
                <w:b/>
                <w:bCs/>
                <w:i/>
                <w:iCs/>
                <w:sz w:val="20"/>
              </w:rPr>
              <w:t xml:space="preserve">Weight 10%</w:t>
            </w:r>
          </w:p>
        </w:tc>
        <w:tc>
          <w:tcPr/>
          <w:p>
            <w:pPr>
              <w:pStyle w:val="Compact"/>
            </w:pPr>
            <w:r>
              <w:rPr>
                <w:sz w:val="20"/>
              </w:rPr>
              <w:t xml:space="preserve">No errors in APA document formatting (including punctuation, capitalization, title page, numbers, use of abbreviations, biased language, pronoun errors, headers/footers, levels of heading).</w:t>
            </w:r>
          </w:p>
        </w:tc>
        <w:tc>
          <w:tcPr/>
          <w:p>
            <w:pPr>
              <w:pStyle w:val="Compact"/>
            </w:pPr>
            <w:r>
              <w:rPr>
                <w:sz w:val="20"/>
              </w:rPr>
              <w:t xml:space="preserve">Between 0 and 4 errors in APA document formatting (same elements).</w:t>
            </w:r>
          </w:p>
        </w:tc>
        <w:tc>
          <w:tcPr/>
          <w:p>
            <w:pPr>
              <w:pStyle w:val="Compact"/>
            </w:pPr>
            <w:r>
              <w:rPr>
                <w:sz w:val="20"/>
              </w:rPr>
              <w:t xml:space="preserve">Between 5 and 10 errors in APA document formatting (same elements).</w:t>
            </w:r>
          </w:p>
        </w:tc>
        <w:tc>
          <w:tcPr/>
          <w:p>
            <w:pPr>
              <w:pStyle w:val="Compact"/>
            </w:pPr>
            <w:r>
              <w:rPr>
                <w:sz w:val="20"/>
              </w:rPr>
              <w:t xml:space="preserve">More than 10 errors in APA document formatting (same elements).</w:t>
            </w:r>
          </w:p>
        </w:tc>
      </w:tr>
      <w:tr>
        <w:tc>
          <w:tcPr/>
          <w:p>
            <w:pPr>
              <w:pStyle w:val="Compact"/>
            </w:pPr>
            <w:r>
              <w:rPr>
                <w:b/>
                <w:bCs/>
                <w:sz w:val="20"/>
              </w:rPr>
              <w:t xml:space="preserve">Collaboration</w:t>
            </w:r>
            <w:r>
              <w:rPr>
                <w:sz w:val="20"/>
              </w:rPr>
              <w:br/>
            </w:r>
            <w:r>
              <w:rPr>
                <w:b/>
                <w:bCs/>
                <w:i/>
                <w:iCs/>
                <w:sz w:val="20"/>
              </w:rPr>
              <w:t xml:space="preserve">Weight 10%</w:t>
            </w:r>
          </w:p>
        </w:tc>
        <w:tc>
          <w:tcPr/>
          <w:p>
            <w:pPr>
              <w:pStyle w:val="Compact"/>
            </w:pPr>
            <w:r>
              <w:rPr>
                <w:sz w:val="20"/>
              </w:rPr>
              <w:t xml:space="preserve">The student completes all material on or ahead of time; assists other team members, leads activities, and picks up unfinished tasks.</w:t>
            </w:r>
          </w:p>
        </w:tc>
        <w:tc>
          <w:tcPr/>
          <w:p>
            <w:pPr>
              <w:pStyle w:val="Compact"/>
            </w:pPr>
            <w:r>
              <w:rPr>
                <w:sz w:val="20"/>
              </w:rPr>
              <w:t xml:space="preserve">The student performs tasks as assigned, on time.</w:t>
            </w:r>
          </w:p>
        </w:tc>
        <w:tc>
          <w:tcPr/>
          <w:p>
            <w:pPr>
              <w:pStyle w:val="Compact"/>
            </w:pPr>
            <w:r>
              <w:rPr>
                <w:sz w:val="20"/>
              </w:rPr>
              <w:t xml:space="preserve">The student contributes minimally to the team effort when asked.</w:t>
            </w:r>
          </w:p>
        </w:tc>
        <w:tc>
          <w:tcPr/>
          <w:p>
            <w:pPr>
              <w:pStyle w:val="Compact"/>
            </w:pPr>
            <w:r>
              <w:rPr>
                <w:sz w:val="20"/>
              </w:rPr>
              <w:t xml:space="preserve">The student is disengaged, misses deadlines, relies on others to complete an assignment, and fails to support the team's effort.</w:t>
            </w:r>
          </w:p>
        </w:tc>
      </w:tr>
    </w:tbl>
    <w:bookmarkEnd w:id="73"/>
    <w:bookmarkStart w:id="74" w:name="tp04-presentation"/>
    <w:p>
      <w:pPr>
        <w:pStyle w:val="Heading4"/>
      </w:pPr>
      <w:r>
        <w:t xml:space="preserve">TP04 Presentation</w:t>
      </w:r>
    </w:p>
    <w:tbl>
      <w:tblPr>
        <w:tblStyle w:val="TableGrid"/>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shd w:val="clear" w:color="auto" w:fill="D9E2F3"/>
          </w:tcPr>
          <w:p>
            <w:pPr>
              <w:pStyle w:val="Compact"/>
            </w:pPr>
            <w:r>
              <w:rPr>
                <w:b/>
                <w:sz w:val="20"/>
              </w:rPr>
              <w:t xml:space="preserve">Criteria</w:t>
            </w:r>
          </w:p>
        </w:tc>
        <w:tc>
          <w:tcPr>
            <w:shd w:val="clear" w:color="auto" w:fill="D9E2F3"/>
          </w:tcPr>
          <w:p>
            <w:pPr>
              <w:pStyle w:val="Compact"/>
            </w:pPr>
            <w:r>
              <w:rPr>
                <w:b/>
                <w:sz w:val="20"/>
              </w:rPr>
              <w:t xml:space="preserve">Exceeds Standard</w:t>
            </w:r>
          </w:p>
        </w:tc>
        <w:tc>
          <w:tcPr>
            <w:shd w:val="clear" w:color="auto" w:fill="D9E2F3"/>
          </w:tcPr>
          <w:p>
            <w:pPr>
              <w:pStyle w:val="Compact"/>
            </w:pPr>
            <w:r>
              <w:rPr>
                <w:b/>
                <w:sz w:val="20"/>
              </w:rPr>
              <w:t xml:space="preserve">At Standard</w:t>
            </w:r>
          </w:p>
        </w:tc>
        <w:tc>
          <w:tcPr>
            <w:shd w:val="clear" w:color="auto" w:fill="D9E2F3"/>
          </w:tcPr>
          <w:p>
            <w:pPr>
              <w:pStyle w:val="Compact"/>
            </w:pPr>
            <w:r>
              <w:rPr>
                <w:b/>
                <w:sz w:val="20"/>
              </w:rPr>
              <w:t xml:space="preserve">Approaching Standard</w:t>
            </w:r>
          </w:p>
        </w:tc>
        <w:tc>
          <w:tcPr>
            <w:shd w:val="clear" w:color="auto" w:fill="D9E2F3"/>
          </w:tcPr>
          <w:p>
            <w:pPr>
              <w:pStyle w:val="Compact"/>
            </w:pPr>
            <w:r>
              <w:rPr>
                <w:b/>
                <w:sz w:val="20"/>
              </w:rPr>
              <w:t xml:space="preserve">Below Standard</w:t>
            </w:r>
          </w:p>
        </w:tc>
      </w:tr>
      <w:tr>
        <w:tc>
          <w:tcPr/>
          <w:p>
            <w:pPr>
              <w:pStyle w:val="Compact"/>
            </w:pPr>
            <w:r>
              <w:rPr>
                <w:b/>
                <w:bCs/>
                <w:sz w:val="20"/>
              </w:rPr>
              <w:t xml:space="preserve">Structure</w:t>
            </w:r>
            <w:r>
              <w:rPr>
                <w:sz w:val="20"/>
              </w:rPr>
              <w:br/>
            </w:r>
            <w:r>
              <w:rPr>
                <w:b/>
                <w:bCs/>
                <w:i/>
                <w:iCs/>
                <w:sz w:val="20"/>
              </w:rPr>
              <w:t xml:space="preserve">Weight 20%</w:t>
            </w:r>
          </w:p>
        </w:tc>
        <w:tc>
          <w:tcPr/>
          <w:p>
            <w:pPr>
              <w:pStyle w:val="Compact"/>
            </w:pPr>
            <w:r>
              <w:rPr>
                <w:sz w:val="20"/>
              </w:rPr>
              <w:t xml:space="preserve">The team displays mastery of template qualities, able to fit formulated ideas and diagrams into the template.</w:t>
            </w:r>
          </w:p>
        </w:tc>
        <w:tc>
          <w:tcPr/>
          <w:p>
            <w:pPr>
              <w:pStyle w:val="Compact"/>
            </w:pPr>
            <w:r>
              <w:rPr>
                <w:sz w:val="20"/>
              </w:rPr>
              <w:t xml:space="preserve">The team frequently adheres to the template. Follows page count.</w:t>
            </w:r>
          </w:p>
        </w:tc>
        <w:tc>
          <w:tcPr/>
          <w:p>
            <w:pPr>
              <w:pStyle w:val="Compact"/>
            </w:pPr>
            <w:r>
              <w:rPr>
                <w:sz w:val="20"/>
              </w:rPr>
              <w:t xml:space="preserve">The team sometimes adheres to the template, falls short, or exceeds page count.</w:t>
            </w:r>
          </w:p>
        </w:tc>
        <w:tc>
          <w:tcPr/>
          <w:p>
            <w:pPr>
              <w:pStyle w:val="Compact"/>
            </w:pPr>
            <w:r>
              <w:rPr>
                <w:sz w:val="20"/>
              </w:rPr>
              <w:t xml:space="preserve">The team does not utilize a template format.</w:t>
            </w:r>
          </w:p>
        </w:tc>
      </w:tr>
      <w:tr>
        <w:tc>
          <w:tcPr/>
          <w:p>
            <w:pPr>
              <w:pStyle w:val="Compact"/>
            </w:pPr>
            <w:r>
              <w:rPr>
                <w:b/>
                <w:bCs/>
                <w:sz w:val="20"/>
              </w:rPr>
              <w:t xml:space="preserve">Visual Presentation</w:t>
            </w:r>
            <w:r>
              <w:rPr>
                <w:sz w:val="20"/>
              </w:rPr>
              <w:br/>
            </w:r>
            <w:r>
              <w:rPr>
                <w:b/>
                <w:bCs/>
                <w:i/>
                <w:iCs/>
                <w:sz w:val="20"/>
              </w:rPr>
              <w:t xml:space="preserve">Weight 30%</w:t>
            </w:r>
          </w:p>
        </w:tc>
        <w:tc>
          <w:tcPr/>
          <w:p>
            <w:pPr>
              <w:pStyle w:val="Compact"/>
            </w:pPr>
            <w:r>
              <w:rPr>
                <w:sz w:val="20"/>
              </w:rPr>
              <w:t xml:space="preserve">The slides are visually appealing, with minimal words all spelled correctly, innovative designs, animation.</w:t>
            </w:r>
          </w:p>
        </w:tc>
        <w:tc>
          <w:tcPr/>
          <w:p>
            <w:pPr>
              <w:pStyle w:val="Compact"/>
            </w:pPr>
            <w:r>
              <w:rPr>
                <w:sz w:val="20"/>
              </w:rPr>
              <w:t xml:space="preserve">The slides contain written info without errors, and some visual content, elaborated upon by the presenter.</w:t>
            </w:r>
          </w:p>
        </w:tc>
        <w:tc>
          <w:tcPr/>
          <w:p>
            <w:pPr>
              <w:pStyle w:val="Compact"/>
            </w:pPr>
            <w:r>
              <w:rPr>
                <w:sz w:val="20"/>
              </w:rPr>
              <w:t xml:space="preserve">The slides have little visual content, spelling errors, diagrams, pictures, engaging material.</w:t>
            </w:r>
          </w:p>
        </w:tc>
        <w:tc>
          <w:tcPr/>
          <w:p>
            <w:pPr>
              <w:pStyle w:val="Compact"/>
            </w:pPr>
            <w:r>
              <w:rPr>
                <w:sz w:val="20"/>
              </w:rPr>
              <w:t xml:space="preserve">The slides contain text with spelling errors and no visually appealing content.</w:t>
            </w:r>
          </w:p>
        </w:tc>
      </w:tr>
      <w:tr>
        <w:tc>
          <w:tcPr/>
          <w:p>
            <w:pPr>
              <w:pStyle w:val="Compact"/>
            </w:pPr>
            <w:r>
              <w:rPr>
                <w:b/>
                <w:bCs/>
                <w:sz w:val="20"/>
              </w:rPr>
              <w:t xml:space="preserve">Verbal Quality &amp; Engagement</w:t>
            </w:r>
            <w:r>
              <w:rPr>
                <w:sz w:val="20"/>
              </w:rPr>
              <w:br/>
            </w:r>
            <w:r>
              <w:rPr>
                <w:b/>
                <w:bCs/>
                <w:i/>
                <w:iCs/>
                <w:sz w:val="20"/>
              </w:rPr>
              <w:t xml:space="preserve">Weight 30%</w:t>
            </w:r>
          </w:p>
        </w:tc>
        <w:tc>
          <w:tcPr/>
          <w:p>
            <w:pPr>
              <w:pStyle w:val="Compact"/>
            </w:pPr>
            <w:r>
              <w:rPr>
                <w:sz w:val="20"/>
              </w:rPr>
              <w:t xml:space="preserve">The presenter(s) uses slides to give visual cues to the presentation. Well prepared, cohesive verbiage. Engaging presenters use eye contact and voice modulation.</w:t>
            </w:r>
          </w:p>
        </w:tc>
        <w:tc>
          <w:tcPr/>
          <w:p>
            <w:pPr>
              <w:pStyle w:val="Compact"/>
            </w:pPr>
            <w:r>
              <w:rPr>
                <w:sz w:val="20"/>
              </w:rPr>
              <w:t xml:space="preserve">The presenter(s) relies on slides and explains wording on slides to present. Good tonal modulation.</w:t>
            </w:r>
          </w:p>
        </w:tc>
        <w:tc>
          <w:tcPr/>
          <w:p>
            <w:pPr>
              <w:pStyle w:val="Compact"/>
            </w:pPr>
            <w:r>
              <w:rPr>
                <w:sz w:val="20"/>
              </w:rPr>
              <w:t xml:space="preserve">The presenter(s) is wordy, mumbles, and relies on slides to prompt or read the presentation.</w:t>
            </w:r>
          </w:p>
        </w:tc>
        <w:tc>
          <w:tcPr/>
          <w:p>
            <w:pPr>
              <w:pStyle w:val="Compact"/>
            </w:pPr>
            <w:r>
              <w:rPr>
                <w:sz w:val="20"/>
              </w:rPr>
              <w:t xml:space="preserve">The presenter(s) speak in a monotone, read from slides, and go significantly over or under presentation time.</w:t>
            </w:r>
          </w:p>
        </w:tc>
      </w:tr>
      <w:tr>
        <w:tc>
          <w:tcPr/>
          <w:p>
            <w:pPr>
              <w:pStyle w:val="Compact"/>
            </w:pPr>
            <w:r>
              <w:rPr>
                <w:b/>
                <w:bCs/>
                <w:sz w:val="20"/>
              </w:rPr>
              <w:t xml:space="preserve">Collaboration</w:t>
            </w:r>
            <w:r>
              <w:rPr>
                <w:sz w:val="20"/>
              </w:rPr>
              <w:br/>
            </w:r>
            <w:r>
              <w:rPr>
                <w:b/>
                <w:bCs/>
                <w:i/>
                <w:iCs/>
                <w:sz w:val="20"/>
              </w:rPr>
              <w:t xml:space="preserve">Weight 20%</w:t>
            </w:r>
          </w:p>
        </w:tc>
        <w:tc>
          <w:tcPr/>
          <w:p>
            <w:pPr>
              <w:pStyle w:val="Compact"/>
            </w:pPr>
            <w:r>
              <w:rPr>
                <w:sz w:val="20"/>
              </w:rPr>
              <w:t xml:space="preserve">The student completes all material on or ahead of time; assists other team members, leads activities, and picks up unfinished tasks.</w:t>
            </w:r>
          </w:p>
        </w:tc>
        <w:tc>
          <w:tcPr/>
          <w:p>
            <w:pPr>
              <w:pStyle w:val="Compact"/>
            </w:pPr>
            <w:r>
              <w:rPr>
                <w:sz w:val="20"/>
              </w:rPr>
              <w:t xml:space="preserve">The student performs tasks as assigned, on time.</w:t>
            </w:r>
          </w:p>
        </w:tc>
        <w:tc>
          <w:tcPr/>
          <w:p>
            <w:pPr>
              <w:pStyle w:val="Compact"/>
            </w:pPr>
            <w:r>
              <w:rPr>
                <w:sz w:val="20"/>
              </w:rPr>
              <w:t xml:space="preserve">The student contributes minimally to the team effort when asked.</w:t>
            </w:r>
          </w:p>
        </w:tc>
        <w:tc>
          <w:tcPr/>
          <w:p>
            <w:pPr>
              <w:pStyle w:val="Compact"/>
            </w:pPr>
            <w:r>
              <w:rPr>
                <w:sz w:val="20"/>
              </w:rPr>
              <w:t xml:space="preserve">The student is disengaged, misses deadlines, relies on others to complete an assignment, and fails to support the team's effort.</w:t>
            </w:r>
          </w:p>
        </w:tc>
      </w:tr>
    </w:tbl>
    <w:bookmarkEnd w:id="74"/>
    <w:bookmarkEnd w:id="75"/>
    <w:bookmarkStart w:id="76" w:name="Xafcbc4025c94905a30afb1bf7c89b1311996e06"/>
    <w:p>
      <w:pPr>
        <w:pStyle w:val="Heading3"/>
      </w:pPr>
      <w:r>
        <w:t xml:space="preserve">Instructor Determined Assignments (30% of Final Grade)</w:t>
      </w:r>
    </w:p>
    <w:tbl>
      <w:tblPr>
        <w:tblStyle w:val="TableGrid"/>
        <w:tblW w:type="auto" w:w="0"/>
        <w:tblLayout w:type="autofit"/>
        <w:tblLook w:firstRow="1" w:lastRow="0" w:firstColumn="0" w:lastColumn="0" w:noHBand="0" w:noVBand="0" w:val="0020"/>
      </w:tblPr>
      <w:tblGrid>
        <w:gridCol w:w="2640"/>
        <w:gridCol w:w="2640"/>
        <w:gridCol w:w="2640"/>
      </w:tblGrid>
      <w:tr>
        <w:trPr>
          <w:tblHeader w:val="on"/>
        </w:trPr>
        <w:tc>
          <w:tcPr>
            <w:shd w:val="clear" w:color="auto" w:fill="D9E2F3"/>
          </w:tcPr>
          <w:p>
            <w:pPr>
              <w:pStyle w:val="Compact"/>
            </w:pPr>
            <w:r>
              <w:rPr>
                <w:b/>
                <w:sz w:val="20"/>
              </w:rPr>
              <w:t xml:space="preserve">Category</w:t>
            </w:r>
          </w:p>
        </w:tc>
        <w:tc>
          <w:tcPr>
            <w:shd w:val="clear" w:color="auto" w:fill="D9E2F3"/>
          </w:tcPr>
          <w:p>
            <w:pPr>
              <w:pStyle w:val="Compact"/>
            </w:pPr>
            <w:r>
              <w:rPr>
                <w:b/>
                <w:sz w:val="20"/>
              </w:rPr>
              <w:t xml:space="preserve">Weight</w:t>
            </w:r>
          </w:p>
        </w:tc>
        <w:tc>
          <w:tcPr>
            <w:shd w:val="clear" w:color="auto" w:fill="D9E2F3"/>
          </w:tcPr>
          <w:p>
            <w:pPr>
              <w:pStyle w:val="Compact"/>
            </w:pPr>
            <w:r>
              <w:rPr>
                <w:b/>
                <w:sz w:val="20"/>
              </w:rPr>
              <w:t xml:space="preserve">What It Covers</w:t>
            </w:r>
          </w:p>
        </w:tc>
      </w:tr>
      <w:tr>
        <w:tc>
          <w:tcPr/>
          <w:p>
            <w:pPr>
              <w:pStyle w:val="Compact"/>
            </w:pPr>
            <w:r>
              <w:rPr>
                <w:sz w:val="20"/>
              </w:rPr>
              <w:t xml:space="preserve">Muddiest Point (MP)</w:t>
            </w:r>
          </w:p>
        </w:tc>
        <w:tc>
          <w:tcPr/>
          <w:p>
            <w:pPr>
              <w:pStyle w:val="Compact"/>
            </w:pPr>
            <w:r>
              <w:rPr>
                <w:b/>
                <w:bCs/>
                <w:sz w:val="20"/>
              </w:rPr>
              <w:t xml:space="preserve">10%</w:t>
            </w:r>
          </w:p>
        </w:tc>
        <w:tc>
          <w:tcPr/>
          <w:p>
            <w:pPr>
              <w:pStyle w:val="Compact"/>
            </w:pPr>
            <w:r>
              <w:rPr>
                <w:sz w:val="20"/>
              </w:rPr>
              <w:t xml:space="preserve">A 250-word reflection on the most confusing part of the upcoming module, posted before class with responses to classmates.</w:t>
            </w:r>
          </w:p>
        </w:tc>
      </w:tr>
      <w:tr>
        <w:tc>
          <w:tcPr/>
          <w:p>
            <w:pPr>
              <w:pStyle w:val="Compact"/>
            </w:pPr>
            <w:r>
              <w:rPr>
                <w:sz w:val="20"/>
              </w:rPr>
              <w:t xml:space="preserve">Concept Debates (CD)</w:t>
            </w:r>
          </w:p>
        </w:tc>
        <w:tc>
          <w:tcPr/>
          <w:p>
            <w:pPr>
              <w:pStyle w:val="Compact"/>
            </w:pPr>
            <w:r>
              <w:rPr>
                <w:b/>
                <w:bCs/>
                <w:sz w:val="20"/>
              </w:rPr>
              <w:t xml:space="preserve">10%</w:t>
            </w:r>
          </w:p>
        </w:tc>
        <w:tc>
          <w:tcPr/>
          <w:p>
            <w:pPr>
              <w:pStyle w:val="Compact"/>
            </w:pPr>
            <w:r>
              <w:rPr>
                <w:sz w:val="20"/>
              </w:rPr>
              <w:t xml:space="preserve">Answer a problem from the lecture with justification, discuss with classmates, then commit to and resubmit an answer.</w:t>
            </w:r>
          </w:p>
        </w:tc>
      </w:tr>
      <w:tr>
        <w:tc>
          <w:tcPr/>
          <w:p>
            <w:pPr>
              <w:pStyle w:val="Compact"/>
            </w:pPr>
            <w:r>
              <w:rPr>
                <w:sz w:val="20"/>
              </w:rPr>
              <w:t xml:space="preserve">Knowledge Check (KC)</w:t>
            </w:r>
          </w:p>
        </w:tc>
        <w:tc>
          <w:tcPr/>
          <w:p>
            <w:pPr>
              <w:pStyle w:val="Compact"/>
            </w:pPr>
            <w:r>
              <w:rPr>
                <w:b/>
                <w:bCs/>
                <w:sz w:val="20"/>
              </w:rPr>
              <w:t xml:space="preserve">10%</w:t>
            </w:r>
          </w:p>
        </w:tc>
        <w:tc>
          <w:tcPr/>
          <w:p>
            <w:pPr>
              <w:pStyle w:val="Compact"/>
            </w:pPr>
            <w:r>
              <w:rPr>
                <w:sz w:val="20"/>
              </w:rPr>
              <w:t xml:space="preserve">A weekly quiz, at most two attempts.</w:t>
            </w:r>
          </w:p>
        </w:tc>
      </w:tr>
    </w:tbl>
    <w:bookmarkEnd w:id="76"/>
    <w:bookmarkStart w:id="77" w:name="the-muddiest-point-mp---grading-criteria"/>
    <w:p>
      <w:pPr>
        <w:pStyle w:val="Heading3"/>
      </w:pPr>
      <w:r>
        <w:t xml:space="preserve">The Muddiest Point (MP) - Grading Criteria</w:t>
      </w:r>
    </w:p>
    <w:p>
      <w:pPr>
        <w:pStyle w:val="FirstParagraph"/>
      </w:pPr>
      <w:r>
        <w:t xml:space="preserve">Before class, students are required to submit the Muddiest Point (MP) activity. The MP consists of writing a brief reflective essay identifying the most confusing part (i.e., the MP) of the content covered in the upcoming module. If a student understands all concepts, the student needs to explain the most exciting aspect. The purpose of this activity is to stimulate student engagement. The instructor uses the MP to assess how students understood the required readings. The instructor also uses the MP to customize the lecture scope to implement Just-in-Time Teaching (JiTT).</w:t>
      </w:r>
    </w:p>
    <w:tbl>
      <w:tblPr>
        <w:tblStyle w:val="TableGrid"/>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shd w:val="clear" w:color="auto" w:fill="D9E2F3"/>
          </w:tcPr>
          <w:p>
            <w:pPr>
              <w:pStyle w:val="Compact"/>
            </w:pPr>
            <w:r>
              <w:rPr>
                <w:b/>
                <w:sz w:val="20"/>
              </w:rPr>
              <w:t xml:space="preserve">Criteria</w:t>
            </w:r>
          </w:p>
        </w:tc>
        <w:tc>
          <w:tcPr>
            <w:shd w:val="clear" w:color="auto" w:fill="D9E2F3"/>
          </w:tcPr>
          <w:p>
            <w:pPr>
              <w:pStyle w:val="Compact"/>
            </w:pPr>
            <w:r>
              <w:rPr>
                <w:b/>
                <w:sz w:val="20"/>
              </w:rPr>
              <w:t xml:space="preserve">Exceeds Standard</w:t>
            </w:r>
          </w:p>
        </w:tc>
        <w:tc>
          <w:tcPr>
            <w:shd w:val="clear" w:color="auto" w:fill="D9E2F3"/>
          </w:tcPr>
          <w:p>
            <w:pPr>
              <w:pStyle w:val="Compact"/>
            </w:pPr>
            <w:r>
              <w:rPr>
                <w:b/>
                <w:sz w:val="20"/>
              </w:rPr>
              <w:t xml:space="preserve">At Standard</w:t>
            </w:r>
          </w:p>
        </w:tc>
        <w:tc>
          <w:tcPr>
            <w:shd w:val="clear" w:color="auto" w:fill="D9E2F3"/>
          </w:tcPr>
          <w:p>
            <w:pPr>
              <w:pStyle w:val="Compact"/>
            </w:pPr>
            <w:r>
              <w:rPr>
                <w:b/>
                <w:sz w:val="20"/>
              </w:rPr>
              <w:t xml:space="preserve">Approaching Standard</w:t>
            </w:r>
          </w:p>
        </w:tc>
        <w:tc>
          <w:tcPr>
            <w:shd w:val="clear" w:color="auto" w:fill="D9E2F3"/>
          </w:tcPr>
          <w:p>
            <w:pPr>
              <w:pStyle w:val="Compact"/>
            </w:pPr>
            <w:r>
              <w:rPr>
                <w:b/>
                <w:sz w:val="20"/>
              </w:rPr>
              <w:t xml:space="preserve">Below Standard</w:t>
            </w:r>
          </w:p>
        </w:tc>
      </w:tr>
      <w:tr>
        <w:tc>
          <w:tcPr/>
          <w:p>
            <w:pPr>
              <w:pStyle w:val="Compact"/>
            </w:pPr>
            <w:r>
              <w:rPr>
                <w:b/>
                <w:bCs/>
                <w:sz w:val="20"/>
              </w:rPr>
              <w:t xml:space="preserve">Participation</w:t>
            </w:r>
            <w:r>
              <w:rPr>
                <w:sz w:val="20"/>
              </w:rPr>
              <w:br/>
            </w:r>
            <w:r>
              <w:rPr>
                <w:b/>
                <w:bCs/>
                <w:i/>
                <w:iCs/>
                <w:sz w:val="20"/>
              </w:rPr>
              <w:t xml:space="preserve">Weight 40%</w:t>
            </w:r>
          </w:p>
        </w:tc>
        <w:tc>
          <w:tcPr/>
          <w:p>
            <w:pPr>
              <w:pStyle w:val="Compact"/>
            </w:pPr>
            <w:r>
              <w:rPr>
                <w:sz w:val="20"/>
              </w:rPr>
              <w:t xml:space="preserve">The student posted a 250-word reflection with references as needed and posted responses to other student(s)' postings.</w:t>
            </w:r>
          </w:p>
        </w:tc>
        <w:tc>
          <w:tcPr/>
          <w:p>
            <w:pPr>
              <w:pStyle w:val="Compact"/>
            </w:pPr>
            <w:r>
              <w:rPr>
                <w:sz w:val="20"/>
              </w:rPr>
              <w:t xml:space="preserve">The student posted a 250-word reflection.</w:t>
            </w:r>
          </w:p>
        </w:tc>
        <w:tc>
          <w:tcPr/>
          <w:p>
            <w:pPr>
              <w:pStyle w:val="Compact"/>
            </w:pPr>
            <w:r>
              <w:rPr>
                <w:sz w:val="20"/>
              </w:rPr>
              <w:t xml:space="preserve">The student only posted a reflection of less than 250 words.</w:t>
            </w:r>
          </w:p>
        </w:tc>
        <w:tc>
          <w:tcPr/>
          <w:p>
            <w:pPr>
              <w:pStyle w:val="Compact"/>
            </w:pPr>
            <w:r>
              <w:rPr>
                <w:sz w:val="20"/>
              </w:rPr>
              <w:t xml:space="preserve">The student provided an incomplete reflection or did not post a reflection.</w:t>
            </w:r>
          </w:p>
        </w:tc>
      </w:tr>
      <w:tr>
        <w:tc>
          <w:tcPr/>
          <w:p>
            <w:pPr>
              <w:pStyle w:val="Compact"/>
            </w:pPr>
            <w:r>
              <w:rPr>
                <w:b/>
                <w:bCs/>
                <w:sz w:val="20"/>
              </w:rPr>
              <w:t xml:space="preserve">Writing</w:t>
            </w:r>
            <w:r>
              <w:rPr>
                <w:sz w:val="20"/>
              </w:rPr>
              <w:br/>
            </w:r>
            <w:r>
              <w:rPr>
                <w:b/>
                <w:bCs/>
                <w:i/>
                <w:iCs/>
                <w:sz w:val="20"/>
              </w:rPr>
              <w:t xml:space="preserve">Weight 60%</w:t>
            </w:r>
          </w:p>
        </w:tc>
        <w:tc>
          <w:tcPr/>
          <w:p>
            <w:pPr>
              <w:pStyle w:val="Compact"/>
            </w:pPr>
            <w:r>
              <w:rPr>
                <w:sz w:val="20"/>
              </w:rPr>
              <w:t xml:space="preserve">The student's submission is coherent and grammatically correct with no errors.</w:t>
            </w:r>
          </w:p>
        </w:tc>
        <w:tc>
          <w:tcPr/>
          <w:p>
            <w:pPr>
              <w:pStyle w:val="Compact"/>
            </w:pPr>
            <w:r>
              <w:rPr>
                <w:sz w:val="20"/>
              </w:rPr>
              <w:t xml:space="preserve">The student's submission is coherent with few spelling or grammatical errors.</w:t>
            </w:r>
          </w:p>
        </w:tc>
        <w:tc>
          <w:tcPr/>
          <w:p>
            <w:pPr>
              <w:pStyle w:val="Compact"/>
            </w:pPr>
            <w:r>
              <w:rPr>
                <w:sz w:val="20"/>
              </w:rPr>
              <w:t xml:space="preserve">The student's submission contains spelling, grammatical, or punctuation errors interfering with coherence.</w:t>
            </w:r>
          </w:p>
        </w:tc>
        <w:tc>
          <w:tcPr/>
          <w:p>
            <w:pPr>
              <w:pStyle w:val="Compact"/>
            </w:pPr>
            <w:r>
              <w:rPr>
                <w:sz w:val="20"/>
              </w:rPr>
              <w:t xml:space="preserve">No submission or contains obvious grammatical or stylistic errors, making understanding difficult.</w:t>
            </w:r>
          </w:p>
        </w:tc>
      </w:tr>
    </w:tbl>
    <w:bookmarkEnd w:id="77"/>
    <w:bookmarkStart w:id="78" w:name="concept-debate-cd---grading-criteria"/>
    <w:p>
      <w:pPr>
        <w:pStyle w:val="Heading3"/>
      </w:pPr>
      <w:r>
        <w:t xml:space="preserve">Concept Debate (CD) - Grading Criteria</w:t>
      </w:r>
    </w:p>
    <w:p>
      <w:pPr>
        <w:pStyle w:val="FirstParagraph"/>
      </w:pPr>
      <w:r>
        <w:t xml:space="preserve">The instructor poses a problem based on the key concepts of a lecture. After reflecting on the problem, students submit their first answer with justification identifying why the answer is correct. Then, students discuss their responses with their classmates. Students discuss their thought processes and solutions with peers. Students then commit to an answer and re-submit their responses. The instructor reviews responses and thought processes with the correct answer through Weekly Announcements.</w:t>
      </w:r>
    </w:p>
    <w:tbl>
      <w:tblPr>
        <w:tblStyle w:val="TableGrid"/>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shd w:val="clear" w:color="auto" w:fill="D9E2F3"/>
          </w:tcPr>
          <w:p>
            <w:pPr>
              <w:pStyle w:val="Compact"/>
            </w:pPr>
            <w:r>
              <w:rPr>
                <w:b/>
                <w:sz w:val="20"/>
              </w:rPr>
              <w:t xml:space="preserve">Criteria</w:t>
            </w:r>
          </w:p>
        </w:tc>
        <w:tc>
          <w:tcPr>
            <w:shd w:val="clear" w:color="auto" w:fill="D9E2F3"/>
          </w:tcPr>
          <w:p>
            <w:pPr>
              <w:pStyle w:val="Compact"/>
            </w:pPr>
            <w:r>
              <w:rPr>
                <w:b/>
                <w:sz w:val="20"/>
              </w:rPr>
              <w:t xml:space="preserve">Exceeds Standard</w:t>
            </w:r>
          </w:p>
        </w:tc>
        <w:tc>
          <w:tcPr>
            <w:shd w:val="clear" w:color="auto" w:fill="D9E2F3"/>
          </w:tcPr>
          <w:p>
            <w:pPr>
              <w:pStyle w:val="Compact"/>
            </w:pPr>
            <w:r>
              <w:rPr>
                <w:b/>
                <w:sz w:val="20"/>
              </w:rPr>
              <w:t xml:space="preserve">At Standard</w:t>
            </w:r>
          </w:p>
        </w:tc>
        <w:tc>
          <w:tcPr>
            <w:shd w:val="clear" w:color="auto" w:fill="D9E2F3"/>
          </w:tcPr>
          <w:p>
            <w:pPr>
              <w:pStyle w:val="Compact"/>
            </w:pPr>
            <w:r>
              <w:rPr>
                <w:b/>
                <w:sz w:val="20"/>
              </w:rPr>
              <w:t xml:space="preserve">Approaching Standard</w:t>
            </w:r>
          </w:p>
        </w:tc>
        <w:tc>
          <w:tcPr>
            <w:shd w:val="clear" w:color="auto" w:fill="D9E2F3"/>
          </w:tcPr>
          <w:p>
            <w:pPr>
              <w:pStyle w:val="Compact"/>
            </w:pPr>
            <w:r>
              <w:rPr>
                <w:b/>
                <w:sz w:val="20"/>
              </w:rPr>
              <w:t xml:space="preserve">Below Standard</w:t>
            </w:r>
          </w:p>
        </w:tc>
      </w:tr>
      <w:tr>
        <w:tc>
          <w:tcPr/>
          <w:p>
            <w:pPr>
              <w:pStyle w:val="Compact"/>
            </w:pPr>
            <w:r>
              <w:rPr>
                <w:b/>
                <w:bCs/>
                <w:sz w:val="20"/>
              </w:rPr>
              <w:t xml:space="preserve">Participation</w:t>
            </w:r>
            <w:r>
              <w:rPr>
                <w:sz w:val="20"/>
              </w:rPr>
              <w:br/>
            </w:r>
            <w:r>
              <w:rPr>
                <w:b/>
                <w:bCs/>
                <w:i/>
                <w:iCs/>
                <w:sz w:val="20"/>
              </w:rPr>
              <w:t xml:space="preserve">Weight 40%</w:t>
            </w:r>
          </w:p>
        </w:tc>
        <w:tc>
          <w:tcPr/>
          <w:p>
            <w:pPr>
              <w:pStyle w:val="Compact"/>
            </w:pPr>
            <w:r>
              <w:rPr>
                <w:sz w:val="20"/>
              </w:rPr>
              <w:t xml:space="preserve">The student answered the question with references and posted responses to more than two students.</w:t>
            </w:r>
          </w:p>
        </w:tc>
        <w:tc>
          <w:tcPr/>
          <w:p>
            <w:pPr>
              <w:pStyle w:val="Compact"/>
            </w:pPr>
            <w:r>
              <w:rPr>
                <w:sz w:val="20"/>
              </w:rPr>
              <w:t xml:space="preserve">The student answered the question and posted responses to two students.</w:t>
            </w:r>
          </w:p>
        </w:tc>
        <w:tc>
          <w:tcPr/>
          <w:p>
            <w:pPr>
              <w:pStyle w:val="Compact"/>
            </w:pPr>
            <w:r>
              <w:rPr>
                <w:sz w:val="20"/>
              </w:rPr>
              <w:t xml:space="preserve">The student answered and posted responses to only one student.</w:t>
            </w:r>
          </w:p>
        </w:tc>
        <w:tc>
          <w:tcPr/>
          <w:p>
            <w:pPr>
              <w:pStyle w:val="Compact"/>
            </w:pPr>
            <w:r>
              <w:rPr>
                <w:sz w:val="20"/>
              </w:rPr>
              <w:t xml:space="preserve">The student provided an incomplete answer, thereby demonstrating minimal engagement.</w:t>
            </w:r>
          </w:p>
        </w:tc>
      </w:tr>
      <w:tr>
        <w:tc>
          <w:tcPr/>
          <w:p>
            <w:pPr>
              <w:pStyle w:val="Compact"/>
            </w:pPr>
            <w:r>
              <w:rPr>
                <w:b/>
                <w:bCs/>
                <w:sz w:val="20"/>
              </w:rPr>
              <w:t xml:space="preserve">Writing</w:t>
            </w:r>
            <w:r>
              <w:rPr>
                <w:sz w:val="20"/>
              </w:rPr>
              <w:br/>
            </w:r>
            <w:r>
              <w:rPr>
                <w:b/>
                <w:bCs/>
                <w:i/>
                <w:iCs/>
                <w:sz w:val="20"/>
              </w:rPr>
              <w:t xml:space="preserve">Weight 40%</w:t>
            </w:r>
          </w:p>
        </w:tc>
        <w:tc>
          <w:tcPr/>
          <w:p>
            <w:pPr>
              <w:pStyle w:val="Compact"/>
            </w:pPr>
            <w:r>
              <w:rPr>
                <w:sz w:val="20"/>
              </w:rPr>
              <w:t xml:space="preserve">The student's submission is coherent and grammatically correct with no errors.</w:t>
            </w:r>
          </w:p>
        </w:tc>
        <w:tc>
          <w:tcPr/>
          <w:p>
            <w:pPr>
              <w:pStyle w:val="Compact"/>
            </w:pPr>
            <w:r>
              <w:rPr>
                <w:sz w:val="20"/>
              </w:rPr>
              <w:t xml:space="preserve">The student's submission is coherent with few spelling or grammatical errors.</w:t>
            </w:r>
          </w:p>
        </w:tc>
        <w:tc>
          <w:tcPr/>
          <w:p>
            <w:pPr>
              <w:pStyle w:val="Compact"/>
            </w:pPr>
            <w:r>
              <w:rPr>
                <w:sz w:val="20"/>
              </w:rPr>
              <w:t xml:space="preserve">The student's submission contains spelling, grammatical, or punctuation errors interfering with coherence.</w:t>
            </w:r>
          </w:p>
        </w:tc>
        <w:tc>
          <w:tcPr/>
          <w:p>
            <w:pPr>
              <w:pStyle w:val="Compact"/>
            </w:pPr>
            <w:r>
              <w:rPr>
                <w:sz w:val="20"/>
              </w:rPr>
              <w:t xml:space="preserve">No submission or contains obvious grammatical or stylistic errors, making understanding difficult.</w:t>
            </w:r>
          </w:p>
        </w:tc>
      </w:tr>
      <w:tr>
        <w:tc>
          <w:tcPr/>
          <w:p>
            <w:pPr>
              <w:pStyle w:val="Compact"/>
            </w:pPr>
            <w:r>
              <w:rPr>
                <w:b/>
                <w:bCs/>
                <w:sz w:val="20"/>
              </w:rPr>
              <w:t xml:space="preserve">Correctness</w:t>
            </w:r>
            <w:r>
              <w:rPr>
                <w:sz w:val="20"/>
              </w:rPr>
              <w:br/>
            </w:r>
            <w:r>
              <w:rPr>
                <w:b/>
                <w:bCs/>
                <w:i/>
                <w:iCs/>
                <w:sz w:val="20"/>
              </w:rPr>
              <w:t xml:space="preserve">Weight 20%</w:t>
            </w:r>
          </w:p>
        </w:tc>
        <w:tc>
          <w:tcPr/>
          <w:p>
            <w:pPr>
              <w:pStyle w:val="Compact"/>
            </w:pPr>
            <w:r>
              <w:rPr>
                <w:sz w:val="20"/>
              </w:rPr>
              <w:t xml:space="preserve">The student answers at least 92% of the questions correctly.</w:t>
            </w:r>
          </w:p>
        </w:tc>
        <w:tc>
          <w:tcPr/>
          <w:p>
            <w:pPr>
              <w:pStyle w:val="Compact"/>
            </w:pPr>
            <w:r>
              <w:rPr>
                <w:sz w:val="20"/>
              </w:rPr>
              <w:t xml:space="preserve">The student answers at least 75% but less than 92% of the questions correctly.</w:t>
            </w:r>
          </w:p>
        </w:tc>
        <w:tc>
          <w:tcPr/>
          <w:p>
            <w:pPr>
              <w:pStyle w:val="Compact"/>
            </w:pPr>
            <w:r>
              <w:rPr>
                <w:sz w:val="20"/>
              </w:rPr>
              <w:t xml:space="preserve">The student answers at least 62% but less than 75% of the questions correctly.</w:t>
            </w:r>
          </w:p>
        </w:tc>
        <w:tc>
          <w:tcPr/>
          <w:p>
            <w:pPr>
              <w:pStyle w:val="Compact"/>
            </w:pPr>
            <w:r>
              <w:rPr>
                <w:sz w:val="20"/>
              </w:rPr>
              <w:t xml:space="preserve">The student answers less than 62% of the questions correctly.</w:t>
            </w:r>
          </w:p>
        </w:tc>
      </w:tr>
    </w:tbl>
    <w:bookmarkEnd w:id="78"/>
    <w:bookmarkStart w:id="79" w:name="knowledge-check-kc---grading-criteria"/>
    <w:p>
      <w:pPr>
        <w:pStyle w:val="Heading3"/>
      </w:pPr>
      <w:r>
        <w:t xml:space="preserve">Knowledge Check (KC) - Grading Criteria</w:t>
      </w:r>
    </w:p>
    <w:p>
      <w:pPr>
        <w:pStyle w:val="FirstParagraph"/>
      </w:pPr>
      <w:r>
        <w:t xml:space="preserve">Weekly quizzes measure knowledge concepts acquired. Focus on the underlying principles and concepts rather than memorization to solve the quizzes. You can try to answer the KC at most twice.</w:t>
      </w:r>
    </w:p>
    <w:tbl>
      <w:tblPr>
        <w:tblStyle w:val="TableGrid"/>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shd w:val="clear" w:color="auto" w:fill="D9E2F3"/>
          </w:tcPr>
          <w:p>
            <w:pPr>
              <w:pStyle w:val="Compact"/>
            </w:pPr>
            <w:r>
              <w:rPr>
                <w:b/>
                <w:sz w:val="20"/>
              </w:rPr>
              <w:t xml:space="preserve">Criteria</w:t>
            </w:r>
          </w:p>
        </w:tc>
        <w:tc>
          <w:tcPr>
            <w:shd w:val="clear" w:color="auto" w:fill="D9E2F3"/>
          </w:tcPr>
          <w:p>
            <w:pPr>
              <w:pStyle w:val="Compact"/>
            </w:pPr>
            <w:r>
              <w:rPr>
                <w:b/>
                <w:sz w:val="20"/>
              </w:rPr>
              <w:t xml:space="preserve">Exceeds Standard</w:t>
            </w:r>
          </w:p>
        </w:tc>
        <w:tc>
          <w:tcPr>
            <w:shd w:val="clear" w:color="auto" w:fill="D9E2F3"/>
          </w:tcPr>
          <w:p>
            <w:pPr>
              <w:pStyle w:val="Compact"/>
            </w:pPr>
            <w:r>
              <w:rPr>
                <w:b/>
                <w:sz w:val="20"/>
              </w:rPr>
              <w:t xml:space="preserve">At Standard</w:t>
            </w:r>
          </w:p>
        </w:tc>
        <w:tc>
          <w:tcPr>
            <w:shd w:val="clear" w:color="auto" w:fill="D9E2F3"/>
          </w:tcPr>
          <w:p>
            <w:pPr>
              <w:pStyle w:val="Compact"/>
            </w:pPr>
            <w:r>
              <w:rPr>
                <w:b/>
                <w:sz w:val="20"/>
              </w:rPr>
              <w:t xml:space="preserve">Approaching Standard</w:t>
            </w:r>
          </w:p>
        </w:tc>
        <w:tc>
          <w:tcPr>
            <w:shd w:val="clear" w:color="auto" w:fill="D9E2F3"/>
          </w:tcPr>
          <w:p>
            <w:pPr>
              <w:pStyle w:val="Compact"/>
            </w:pPr>
            <w:r>
              <w:rPr>
                <w:b/>
                <w:sz w:val="20"/>
              </w:rPr>
              <w:t xml:space="preserve">Below Standard</w:t>
            </w:r>
          </w:p>
        </w:tc>
      </w:tr>
      <w:tr>
        <w:tc>
          <w:tcPr/>
          <w:p>
            <w:pPr>
              <w:pStyle w:val="Compact"/>
            </w:pPr>
            <w:r>
              <w:rPr>
                <w:b/>
                <w:bCs/>
                <w:sz w:val="20"/>
              </w:rPr>
              <w:t xml:space="preserve">Correctness</w:t>
            </w:r>
            <w:r>
              <w:rPr>
                <w:sz w:val="20"/>
              </w:rPr>
              <w:br/>
            </w:r>
            <w:r>
              <w:rPr>
                <w:b/>
                <w:bCs/>
                <w:i/>
                <w:iCs/>
                <w:sz w:val="20"/>
              </w:rPr>
              <w:t xml:space="preserve">Weight 100%</w:t>
            </w:r>
          </w:p>
        </w:tc>
        <w:tc>
          <w:tcPr/>
          <w:p>
            <w:pPr>
              <w:pStyle w:val="Compact"/>
            </w:pPr>
            <w:r>
              <w:rPr>
                <w:sz w:val="20"/>
              </w:rPr>
              <w:t xml:space="preserve">The student answers at least 92% of the questions correctly.</w:t>
            </w:r>
          </w:p>
        </w:tc>
        <w:tc>
          <w:tcPr/>
          <w:p>
            <w:pPr>
              <w:pStyle w:val="Compact"/>
            </w:pPr>
            <w:r>
              <w:rPr>
                <w:sz w:val="20"/>
              </w:rPr>
              <w:t xml:space="preserve">The student answers at least 75% but less than 92% of the questions correctly.</w:t>
            </w:r>
          </w:p>
        </w:tc>
        <w:tc>
          <w:tcPr/>
          <w:p>
            <w:pPr>
              <w:pStyle w:val="Compact"/>
            </w:pPr>
            <w:r>
              <w:rPr>
                <w:sz w:val="20"/>
              </w:rPr>
              <w:t xml:space="preserve">The student answers at least 62% but less than 75% of the questions correctly.</w:t>
            </w:r>
          </w:p>
        </w:tc>
        <w:tc>
          <w:tcPr/>
          <w:p>
            <w:pPr>
              <w:pStyle w:val="Compact"/>
            </w:pPr>
            <w:r>
              <w:rPr>
                <w:sz w:val="20"/>
              </w:rPr>
              <w:t xml:space="preserve">The student answers less than 62% of the questions correctly.</w:t>
            </w:r>
          </w:p>
        </w:tc>
      </w:tr>
    </w:tbl>
    <w:bookmarkEnd w:id="79"/>
    <w:bookmarkEnd w:id="80"/>
    <w:bookmarkStart w:id="81" w:name="course-policies"/>
    <w:p>
      <w:pPr>
        <w:pStyle w:val="Heading1"/>
      </w:pPr>
      <w:r>
        <w:t xml:space="preserve">Course Policies</w:t>
      </w:r>
    </w:p>
    <w:p>
      <w:pPr>
        <w:pStyle w:val="FirstParagraph"/>
      </w:pPr>
      <w:r>
        <w:t xml:space="preserve">Course policies on topics such as</w:t>
      </w:r>
      <w:r>
        <w:t xml:space="preserve"> </w:t>
      </w:r>
      <w:r>
        <w:rPr>
          <w:i/>
          <w:iCs/>
        </w:rPr>
        <w:t xml:space="preserve">Late Assignments, Participation,</w:t>
      </w:r>
      <w:r>
        <w:t xml:space="preserve"> </w:t>
      </w:r>
      <w:r>
        <w:t xml:space="preserve">and</w:t>
      </w:r>
      <w:r>
        <w:t xml:space="preserve"> </w:t>
      </w:r>
      <w:r>
        <w:rPr>
          <w:i/>
          <w:iCs/>
        </w:rPr>
        <w:t xml:space="preserve">Professional Writing</w:t>
      </w:r>
      <w:r>
        <w:t xml:space="preserve"> </w:t>
      </w:r>
      <w:r>
        <w:t xml:space="preserve">are found under</w:t>
      </w:r>
      <w:r>
        <w:t xml:space="preserve"> </w:t>
      </w:r>
      <w:r>
        <w:rPr>
          <w:i/>
          <w:iCs/>
        </w:rPr>
        <w:t xml:space="preserve">Course Information</w:t>
      </w:r>
      <w:r>
        <w:t xml:space="preserve"> </w:t>
      </w:r>
      <w:r>
        <w:t xml:space="preserve">in the online course menu. Students are responsible for reviewing and applying these policies while enrolled in this course.</w:t>
      </w:r>
    </w:p>
    <w:p>
      <w:pPr>
        <w:pStyle w:val="BodyText"/>
      </w:pPr>
      <w:r>
        <w:t xml:space="preserve">In the School of Technology and Computing, this policy underscores the importance of responsible use of large language models, like ChatGPT or Gemini, in academic pursuits. While these models can be valuable for grammar and proofreading, they must not replace the fundamental processes of learning, researching, critical thinking, and problem-solving. Students are encouraged to utilize these tools only for grammar and proofreading, with accurate references.</w:t>
      </w:r>
    </w:p>
    <w:bookmarkEnd w:id="81"/>
    <w:bookmarkStart w:id="90" w:name="university-policies"/>
    <w:p>
      <w:pPr>
        <w:pStyle w:val="Heading1"/>
      </w:pPr>
      <w:r>
        <w:t xml:space="preserve">University Policies</w:t>
      </w:r>
    </w:p>
    <w:p>
      <w:pPr>
        <w:pStyle w:val="FirstParagraph"/>
      </w:pPr>
      <w:r>
        <w:t xml:space="preserve">Students are responsible for understanding and adhering to all of City University of Seattle’s academic policies. The most current versions of these policies can be found in the</w:t>
      </w:r>
      <w:r>
        <w:t xml:space="preserve"> </w:t>
      </w:r>
      <w:hyperlink r:id="rId65">
        <w:r>
          <w:rPr>
            <w:rStyle w:val="Hyperlink"/>
          </w:rPr>
          <w:t xml:space="preserve">University Catalog</w:t>
        </w:r>
      </w:hyperlink>
      <w:r>
        <w:t xml:space="preserve"> </w:t>
      </w:r>
      <w:r>
        <w:t xml:space="preserve">that is linked from the CityU Web site.</w:t>
      </w:r>
    </w:p>
    <w:bookmarkStart w:id="82" w:name="antidiscrimination"/>
    <w:p>
      <w:pPr>
        <w:pStyle w:val="Heading3"/>
      </w:pPr>
      <w:r>
        <w:t xml:space="preserve">Antidiscrimination</w:t>
      </w:r>
    </w:p>
    <w:p>
      <w:pPr>
        <w:pStyle w:val="FirstParagraph"/>
      </w:pPr>
      <w:r>
        <w:t xml:space="preserve">City University of Seattle and its staff and faculty are committed to supporting our students. We value equity, diversity, and inclusion as a way of life as well as the educational opportunities it provides. City U will not tolerate any form of discrimination based on race, color, ethnicity, sexual orientation, gender identification, socioeconomic status, or religious values. If you have experienced any discrimination based on any of the above, we encourage you to report this to the University. Please report this to your instructor. If you do not feel safe reporting this to your instructor, please report to the Provost or to the Vice President of Student Affairs.</w:t>
      </w:r>
    </w:p>
    <w:bookmarkEnd w:id="82"/>
    <w:bookmarkStart w:id="85" w:name="X2ff45ddce780929933e3af26cae32f79067fee3"/>
    <w:p>
      <w:pPr>
        <w:pStyle w:val="Heading3"/>
      </w:pPr>
      <w:r>
        <w:t xml:space="preserve">Non-Discrimination &amp; Prohibition of Sexual Harassment</w:t>
      </w:r>
    </w:p>
    <w:p>
      <w:pPr>
        <w:pStyle w:val="FirstParagraph"/>
      </w:pPr>
      <w:r>
        <w:t xml:space="preserve">City University of Seattle adheres to all federal, state, and local civil rights laws prohibiting discrimination in employment and education. The University is committed to ensuring that the education environment is bounded by standards of mutual respect and safety and is free from discriminatory practices.</w:t>
      </w:r>
    </w:p>
    <w:p>
      <w:pPr>
        <w:pStyle w:val="BodyText"/>
      </w:pPr>
      <w:r>
        <w:t xml:space="preserve">In the U.S., the University is required by Title IX of the Education Amendments of 1972 to ensure that all of its education programs and activities do not discriminate on the basis of sex/gender. Sex include sex, sex stereotypes, gender identity, gender expression, sexual orientation, and pregnancy or parenting status. Sexual harassment, sexual assault, dating and domestic violence, and stalking are forms of sex discrimination, which are prohibited under Title IX and by City University of Seattle policy. City University of Seattle also prohibits retaliation against any person opposing discrimination or participating in any discrimination investigation or complaint process internal or external to the institution. Questions regarding Title IX, including its application and/or concerns about noncompliance, should be directed at Title IX Coordinator. For a complete copy of the policy or for more information, visit the</w:t>
      </w:r>
      <w:r>
        <w:t xml:space="preserve"> </w:t>
      </w:r>
      <w:hyperlink r:id="rId83">
        <w:r>
          <w:rPr>
            <w:rStyle w:val="Hyperlink"/>
          </w:rPr>
          <w:t xml:space="preserve">CityU website</w:t>
        </w:r>
      </w:hyperlink>
      <w:r>
        <w:t xml:space="preserve"> </w:t>
      </w:r>
      <w:r>
        <w:t xml:space="preserve">or contact the Title IX Coordinator.</w:t>
      </w:r>
    </w:p>
    <w:p>
      <w:pPr>
        <w:pStyle w:val="BodyText"/>
      </w:pPr>
      <w:r>
        <w:t xml:space="preserve">In Canada, in compliance with the British Columbia Human Rights Code, the Alberta Human Rights Act, WorksafeBC, and the Workers’ Compensation Board of Alberta, the University believes that its environment should at all times be supportive and respectful of the dignity and self-esteem of individuals. Discrimination, harassment and bullying conduct, whether through person-to-person behavior or via electronic communications such as email or social media is not acceptable and will not be tolerated. As an educational institution, it is our responsibility to cultivate an environment of excellence, equity, mutual respect and to recognize the value and potential of every individual. The University will take all necessary steps to meet or exceed the requirements of the law to prevent discrimination, harassment and bullying. The Respectful Workplace Policy for the prevention of discrimination, harassment and bullying policy and procedure can be found at</w:t>
      </w:r>
      <w:r>
        <w:t xml:space="preserve"> </w:t>
      </w:r>
      <w:hyperlink r:id="rId84">
        <w:r>
          <w:rPr>
            <w:rStyle w:val="Hyperlink"/>
          </w:rPr>
          <w:t xml:space="preserve">CityU in Canada</w:t>
        </w:r>
      </w:hyperlink>
      <w:r>
        <w:t xml:space="preserve"> </w:t>
      </w:r>
      <w:r>
        <w:t xml:space="preserve">website.</w:t>
      </w:r>
    </w:p>
    <w:bookmarkEnd w:id="85"/>
    <w:bookmarkStart w:id="86" w:name="religious-accommodations"/>
    <w:p>
      <w:pPr>
        <w:pStyle w:val="Heading3"/>
      </w:pPr>
      <w:r>
        <w:t xml:space="preserve">Religious Accommodations</w:t>
      </w:r>
    </w:p>
    <w:p>
      <w:pPr>
        <w:pStyle w:val="FirstParagraph"/>
      </w:pPr>
      <w:r>
        <w:t xml:space="preserve">City University of Seattle has a policy for accommodation of student absences or significant hardship due to reasons of faith or conscience, or for organized religious activities. The University’s policy, including more information about how to request accommodation, is available in the University Catalog and on the my.cityu.edu student portal. Accommodation must be requested by the 20% mark of this course (e.g. day 14 of a ten-week course, day 7 of a 5-week course) using the Religious Accommodations Request Form found on the student dashboard in the my.cityu.edu student portal.</w:t>
      </w:r>
    </w:p>
    <w:bookmarkEnd w:id="86"/>
    <w:bookmarkStart w:id="87" w:name="academic-integrity"/>
    <w:p>
      <w:pPr>
        <w:pStyle w:val="Heading3"/>
      </w:pPr>
      <w:r>
        <w:t xml:space="preserve">Academic Integrity</w:t>
      </w:r>
    </w:p>
    <w:p>
      <w:pPr>
        <w:pStyle w:val="FirstParagraph"/>
      </w:pPr>
      <w:r>
        <w:t xml:space="preserve">Academic integrity in students requires the pursuit of scholarly activity that is free from fraud, deception and unauthorized collaboration with other individuals. Students are responsible for understanding CityU’s policy on academic integrity and adhering to its standards in meeting all course requirements. A complete copy of this policy can be found in the</w:t>
      </w:r>
      <w:r>
        <w:t xml:space="preserve"> </w:t>
      </w:r>
      <w:hyperlink r:id="rId65">
        <w:r>
          <w:rPr>
            <w:rStyle w:val="Hyperlink"/>
          </w:rPr>
          <w:t xml:space="preserve">University Catalog</w:t>
        </w:r>
      </w:hyperlink>
      <w:r>
        <w:t xml:space="preserve"> </w:t>
      </w:r>
      <w:r>
        <w:t xml:space="preserve">under</w:t>
      </w:r>
      <w:r>
        <w:t xml:space="preserve"> </w:t>
      </w:r>
      <w:r>
        <w:rPr>
          <w:i/>
          <w:iCs/>
        </w:rPr>
        <w:t xml:space="preserve">Student Rights and Responsibilities</w:t>
      </w:r>
      <w:r>
        <w:t xml:space="preserve"> </w:t>
      </w:r>
      <w:r>
        <w:t xml:space="preserve">on the page titled</w:t>
      </w:r>
      <w:r>
        <w:t xml:space="preserve"> </w:t>
      </w:r>
      <w:r>
        <w:rPr>
          <w:i/>
          <w:iCs/>
        </w:rPr>
        <w:t xml:space="preserve">Academic Integrity Policy.</w:t>
      </w:r>
    </w:p>
    <w:bookmarkEnd w:id="87"/>
    <w:bookmarkStart w:id="88" w:name="attendance"/>
    <w:p>
      <w:pPr>
        <w:pStyle w:val="Heading3"/>
      </w:pPr>
      <w:r>
        <w:t xml:space="preserve">Attendance</w:t>
      </w:r>
    </w:p>
    <w:p>
      <w:pPr>
        <w:pStyle w:val="FirstParagraph"/>
      </w:pPr>
      <w:r>
        <w:t xml:space="preserve">Students taking courses in any format at the University are expected to be diligent in their studies and to attend class regularly.</w:t>
      </w:r>
    </w:p>
    <w:p>
      <w:pPr>
        <w:pStyle w:val="BodyText"/>
      </w:pPr>
      <w:r>
        <w:t xml:space="preserve">Regular class attendance is important in achieving learning outcomes in the course and may be a valid consideration in determining the final grade. For classes where a physical presence is required, a student has attended if they are present at any time during the class session. For online classes, a student has attended if they have posted or submitted an assignment. A complete copy of this policy can be in the</w:t>
      </w:r>
      <w:r>
        <w:t xml:space="preserve"> </w:t>
      </w:r>
      <w:hyperlink r:id="rId65">
        <w:r>
          <w:rPr>
            <w:rStyle w:val="Hyperlink"/>
          </w:rPr>
          <w:t xml:space="preserve">University Catalog</w:t>
        </w:r>
      </w:hyperlink>
      <w:r>
        <w:t xml:space="preserve"> </w:t>
      </w:r>
      <w:r>
        <w:t xml:space="preserve">under</w:t>
      </w:r>
      <w:r>
        <w:t xml:space="preserve"> </w:t>
      </w:r>
      <w:r>
        <w:rPr>
          <w:i/>
          <w:iCs/>
        </w:rPr>
        <w:t xml:space="preserve">Student Rights and Responsibilities</w:t>
      </w:r>
      <w:r>
        <w:t xml:space="preserve"> </w:t>
      </w:r>
      <w:r>
        <w:t xml:space="preserve">on the page titled</w:t>
      </w:r>
      <w:r>
        <w:t xml:space="preserve"> </w:t>
      </w:r>
      <w:r>
        <w:rPr>
          <w:i/>
          <w:iCs/>
        </w:rPr>
        <w:t xml:space="preserve">Attendance.</w:t>
      </w:r>
    </w:p>
    <w:bookmarkEnd w:id="88"/>
    <w:bookmarkStart w:id="89" w:name="final-assignment-due-date"/>
    <w:p>
      <w:pPr>
        <w:pStyle w:val="Heading3"/>
      </w:pPr>
      <w:r>
        <w:t xml:space="preserve">Final Assignment Due Date</w:t>
      </w:r>
    </w:p>
    <w:p>
      <w:pPr>
        <w:pStyle w:val="FirstParagraph"/>
      </w:pPr>
      <w:r>
        <w:t xml:space="preserve">Final assignments for each class at CityU must be due on or before the final date of the course as indicated in the university’s course information system. Due dates that extend beyond the final date of the course may negatively impact on tuition funding for students.</w:t>
      </w:r>
    </w:p>
    <w:bookmarkEnd w:id="89"/>
    <w:bookmarkEnd w:id="90"/>
    <w:bookmarkStart w:id="99" w:name="support-services"/>
    <w:p>
      <w:pPr>
        <w:pStyle w:val="Heading1"/>
      </w:pPr>
      <w:r>
        <w:t xml:space="preserve">Support Services</w:t>
      </w:r>
    </w:p>
    <w:bookmarkStart w:id="93" w:name="Xb1dc09c17d2b639f5600231a5d938c0f17bb2ae"/>
    <w:p>
      <w:pPr>
        <w:pStyle w:val="Heading3"/>
      </w:pPr>
      <w:r>
        <w:t xml:space="preserve">Disability Services Accommodations Statement</w:t>
      </w:r>
    </w:p>
    <w:p>
      <w:pPr>
        <w:pStyle w:val="FirstParagraph"/>
      </w:pPr>
      <w:r>
        <w:t xml:space="preserve">Students with a documented disability who wish to request academic accommodation are encouraged to contact Disability Support Services to discuss accommodation requests and eligibility requirements. Please contact Disability Support Services at</w:t>
      </w:r>
      <w:r>
        <w:t xml:space="preserve"> </w:t>
      </w:r>
      <w:hyperlink r:id="rId91">
        <w:r>
          <w:rPr>
            <w:rStyle w:val="Hyperlink"/>
          </w:rPr>
          <w:t xml:space="preserve">accommodations@cityu.edu</w:t>
        </w:r>
      </w:hyperlink>
      <w:r>
        <w:t xml:space="preserve"> </w:t>
      </w:r>
      <w:r>
        <w:t xml:space="preserve">or 206.239.4752. Visit the</w:t>
      </w:r>
      <w:r>
        <w:t xml:space="preserve"> </w:t>
      </w:r>
      <w:hyperlink r:id="rId92">
        <w:r>
          <w:rPr>
            <w:rStyle w:val="Hyperlink"/>
          </w:rPr>
          <w:t xml:space="preserve">Student Accommodations Office</w:t>
        </w:r>
      </w:hyperlink>
      <w:r>
        <w:t xml:space="preserve"> </w:t>
      </w:r>
      <w:r>
        <w:t xml:space="preserve">page on the my.cityu.edu portal or in the</w:t>
      </w:r>
      <w:r>
        <w:t xml:space="preserve"> </w:t>
      </w:r>
      <w:r>
        <w:rPr>
          <w:i/>
          <w:iCs/>
        </w:rPr>
        <w:t xml:space="preserve">Start Your Course Here</w:t>
      </w:r>
      <w:r>
        <w:t xml:space="preserve"> </w:t>
      </w:r>
      <w:r>
        <w:t xml:space="preserve">module in your course under</w:t>
      </w:r>
      <w:r>
        <w:t xml:space="preserve"> </w:t>
      </w:r>
      <w:r>
        <w:rPr>
          <w:i/>
          <w:iCs/>
        </w:rPr>
        <w:t xml:space="preserve">Support Services</w:t>
      </w:r>
      <w:r>
        <w:t xml:space="preserve">. Confidentiality will be observed in all inquiries. Once approved, information about academic accommodation will be shared with course instructors.</w:t>
      </w:r>
    </w:p>
    <w:bookmarkEnd w:id="93"/>
    <w:bookmarkStart w:id="96" w:name="library-services"/>
    <w:p>
      <w:pPr>
        <w:pStyle w:val="Heading3"/>
      </w:pPr>
      <w:r>
        <w:t xml:space="preserve">Library Services</w:t>
      </w:r>
    </w:p>
    <w:p>
      <w:pPr>
        <w:pStyle w:val="FirstParagraph"/>
      </w:pPr>
      <w:r>
        <w:t xml:space="preserve">CityU librarians are available to help students find the resources and information they need to succeed in this course. Contact a CityU librarian through the</w:t>
      </w:r>
      <w:r>
        <w:t xml:space="preserve"> </w:t>
      </w:r>
      <w:hyperlink r:id="rId94">
        <w:r>
          <w:rPr>
            <w:rStyle w:val="Hyperlink"/>
          </w:rPr>
          <w:t xml:space="preserve">Ask a Librarian</w:t>
        </w:r>
      </w:hyperlink>
      <w:r>
        <w:t xml:space="preserve"> </w:t>
      </w:r>
      <w:r>
        <w:t xml:space="preserve">service, or access</w:t>
      </w:r>
      <w:r>
        <w:t xml:space="preserve"> </w:t>
      </w:r>
      <w:hyperlink r:id="rId95">
        <w:r>
          <w:rPr>
            <w:rStyle w:val="Hyperlink"/>
          </w:rPr>
          <w:t xml:space="preserve">library resources and services online</w:t>
        </w:r>
      </w:hyperlink>
      <w:r>
        <w:t xml:space="preserve">, 24 hours a day, seven days a week.</w:t>
      </w:r>
    </w:p>
    <w:bookmarkEnd w:id="96"/>
    <w:bookmarkStart w:id="98" w:name="online-tutoring"/>
    <w:p>
      <w:pPr>
        <w:pStyle w:val="Heading3"/>
      </w:pPr>
      <w:r>
        <w:t xml:space="preserve">Online Tutoring</w:t>
      </w:r>
    </w:p>
    <w:p>
      <w:pPr>
        <w:pStyle w:val="FirstParagraph"/>
      </w:pPr>
      <w:r>
        <w:t xml:space="preserve">CityU students have access to free online tutoring offered through Brainfuse, including writing support, from certified tutors 24 hours a day, seven days a week. Visit the</w:t>
      </w:r>
      <w:r>
        <w:t xml:space="preserve"> </w:t>
      </w:r>
      <w:hyperlink r:id="rId97">
        <w:r>
          <w:rPr>
            <w:rStyle w:val="Hyperlink"/>
          </w:rPr>
          <w:t xml:space="preserve">Brainfuse</w:t>
        </w:r>
      </w:hyperlink>
      <w:r>
        <w:t xml:space="preserve"> </w:t>
      </w:r>
      <w:r>
        <w:t xml:space="preserve">page on the my.cityu.edu portal for more information.</w:t>
      </w:r>
    </w:p>
    <w:bookmarkEnd w:id="98"/>
    <w:bookmarkEnd w:id="99"/>
    <w:bookmarkStart w:id="100" w:name="course-schedule"/>
    <w:p>
      <w:pPr>
        <w:pStyle w:val="Heading1"/>
      </w:pPr>
      <w:r>
        <w:t xml:space="preserve">Course Schedule</w:t>
      </w:r>
    </w:p>
    <w:p>
      <w:pPr>
        <w:pStyle w:val="FirstParagraph"/>
      </w:pPr>
      <w:r>
        <w:t xml:space="preserve">Readings are from Maurer &amp; Skoudis (2024) unless marked “AI:” (free supplementary readings). MP = Muddiest Point, CD = Concept Debate, KC = Knowledge Check, VL = Virtual Lab, RP = Research Paper, TP = Team Project.</w:t>
      </w:r>
    </w:p>
    <w:tbl>
      <w:tblPr>
        <w:tblStyle w:val="TableGrid"/>
        <w:tblW w:type="auto" w:w="0"/>
        <w:tblLayout w:type="autofit"/>
        <w:tblLook w:firstRow="1" w:lastRow="0" w:firstColumn="0" w:lastColumn="0" w:noHBand="0" w:noVBand="0" w:val="0020"/>
      </w:tblPr>
      <w:tblGrid>
        <w:gridCol w:w="1584"/>
        <w:gridCol w:w="1584"/>
        <w:gridCol w:w="1584"/>
        <w:gridCol w:w="1584"/>
        <w:gridCol w:w="1584"/>
      </w:tblGrid>
      <w:tr>
        <w:trPr>
          <w:tblHeader w:val="on"/>
        </w:trPr>
        <w:tc>
          <w:tcPr>
            <w:shd w:val="clear" w:color="auto" w:fill="D9E2F3"/>
          </w:tcPr>
          <w:p>
            <w:pPr>
              <w:pStyle w:val="Compact"/>
            </w:pPr>
            <w:r>
              <w:rPr>
                <w:b/>
                <w:sz w:val="20"/>
              </w:rPr>
              <w:t xml:space="preserve">Week</w:t>
            </w:r>
          </w:p>
        </w:tc>
        <w:tc>
          <w:tcPr>
            <w:shd w:val="clear" w:color="auto" w:fill="D9E2F3"/>
          </w:tcPr>
          <w:p>
            <w:pPr>
              <w:pStyle w:val="Compact"/>
            </w:pPr>
            <w:r>
              <w:rPr>
                <w:b/>
                <w:sz w:val="20"/>
              </w:rPr>
              <w:t xml:space="preserve">Focus</w:t>
            </w:r>
          </w:p>
        </w:tc>
        <w:tc>
          <w:tcPr>
            <w:shd w:val="clear" w:color="auto" w:fill="D9E2F3"/>
          </w:tcPr>
          <w:p>
            <w:pPr>
              <w:pStyle w:val="Compact"/>
            </w:pPr>
            <w:r>
              <w:rPr>
                <w:b/>
                <w:sz w:val="20"/>
              </w:rPr>
              <w:t xml:space="preserve">Readings</w:t>
            </w:r>
          </w:p>
        </w:tc>
        <w:tc>
          <w:tcPr>
            <w:shd w:val="clear" w:color="auto" w:fill="D9E2F3"/>
          </w:tcPr>
          <w:p>
            <w:pPr>
              <w:pStyle w:val="Compact"/>
            </w:pPr>
            <w:r>
              <w:rPr>
                <w:b/>
                <w:sz w:val="20"/>
              </w:rPr>
              <w:t xml:space="preserve">Activities &amp; Due</w:t>
            </w:r>
          </w:p>
        </w:tc>
        <w:tc>
          <w:tcPr>
            <w:shd w:val="clear" w:color="auto" w:fill="D9E2F3"/>
          </w:tcPr>
          <w:p>
            <w:pPr>
              <w:pStyle w:val="Compact"/>
            </w:pPr>
            <w:r>
              <w:rPr>
                <w:b/>
                <w:sz w:val="20"/>
              </w:rPr>
              <w:t xml:space="preserve">Outcome</w:t>
            </w:r>
          </w:p>
        </w:tc>
      </w:tr>
      <w:tr>
        <w:tc>
          <w:tcPr/>
          <w:p>
            <w:pPr>
              <w:pStyle w:val="Compact"/>
            </w:pPr>
            <w:r>
              <w:rPr>
                <w:b/>
                <w:bCs/>
                <w:sz w:val="20"/>
              </w:rPr>
              <w:t xml:space="preserve">1</w:t>
            </w:r>
          </w:p>
        </w:tc>
        <w:tc>
          <w:tcPr/>
          <w:p>
            <w:pPr>
              <w:pStyle w:val="Compact"/>
            </w:pPr>
            <w:r>
              <w:rPr>
                <w:b/>
                <w:bCs/>
                <w:sz w:val="20"/>
              </w:rPr>
              <w:t xml:space="preserve">Foundations of Cybersecurity and AI Ethics and Codes of Conduct</w:t>
            </w:r>
          </w:p>
        </w:tc>
        <w:tc>
          <w:tcPr/>
          <w:p>
            <w:pPr>
              <w:pStyle w:val="Compact"/>
            </w:pPr>
            <w:r>
              <w:rPr>
                <w:sz w:val="20"/>
              </w:rPr>
              <w:t xml:space="preserve">Introduction: “Like Your Hair Is on Fire”; Ch. 1: “One Code to Rule Them All?” · AI: ACM Code of Ethics (2018)</w:t>
            </w:r>
          </w:p>
        </w:tc>
        <w:tc>
          <w:tcPr/>
          <w:p>
            <w:pPr>
              <w:pStyle w:val="Compact"/>
            </w:pPr>
            <w:r>
              <w:rPr>
                <w:sz w:val="20"/>
              </w:rPr>
              <w:t xml:space="preserve">Student Introductory Assignment · MP · CD · KC · RP and TP Proposal announced</w:t>
            </w:r>
          </w:p>
        </w:tc>
        <w:tc>
          <w:tcPr/>
          <w:p>
            <w:pPr>
              <w:pStyle w:val="Compact"/>
            </w:pPr>
            <w:r>
              <w:rPr>
                <w:sz w:val="20"/>
              </w:rPr>
              <w:t xml:space="preserve">O1</w:t>
            </w:r>
          </w:p>
        </w:tc>
      </w:tr>
      <w:tr>
        <w:tc>
          <w:tcPr/>
          <w:p>
            <w:pPr>
              <w:pStyle w:val="Compact"/>
            </w:pPr>
            <w:r>
              <w:rPr>
                <w:b/>
                <w:bCs/>
                <w:sz w:val="20"/>
              </w:rPr>
              <w:t xml:space="preserve">2</w:t>
            </w:r>
          </w:p>
        </w:tc>
        <w:tc>
          <w:tcPr/>
          <w:p>
            <w:pPr>
              <w:pStyle w:val="Compact"/>
            </w:pPr>
            <w:r>
              <w:rPr>
                <w:b/>
                <w:bCs/>
                <w:sz w:val="20"/>
              </w:rPr>
              <w:t xml:space="preserve">Human Values, Character, and Ethical Cyber Behavior, and How Values Get Encoded in AI Logic</w:t>
            </w:r>
          </w:p>
        </w:tc>
        <w:tc>
          <w:tcPr/>
          <w:p>
            <w:pPr>
              <w:pStyle w:val="Compact"/>
            </w:pPr>
            <w:r>
              <w:rPr>
                <w:sz w:val="20"/>
              </w:rPr>
              <w:t xml:space="preserve">Ch. 2: “This Is a Human Business” · AI:</w:t>
            </w:r>
            <w:r>
              <w:rPr>
                <w:sz w:val="20"/>
              </w:rPr>
              <w:t xml:space="preserve"> </w:t>
            </w:r>
            <w:r>
              <w:rPr>
                <w:i/>
                <w:iCs/>
                <w:sz w:val="20"/>
              </w:rPr>
              <w:t xml:space="preserve">Fairness and Machine Learning</w:t>
            </w:r>
            <w:r>
              <w:rPr>
                <w:sz w:val="20"/>
              </w:rPr>
              <w:t xml:space="preserve">, Ch. 1</w:t>
            </w:r>
          </w:p>
        </w:tc>
        <w:tc>
          <w:tcPr/>
          <w:p>
            <w:pPr>
              <w:pStyle w:val="Compact"/>
            </w:pPr>
            <w:r>
              <w:rPr>
                <w:sz w:val="20"/>
              </w:rPr>
              <w:t xml:space="preserve">MP · CD · KC · VL1</w:t>
            </w:r>
          </w:p>
        </w:tc>
        <w:tc>
          <w:tcPr/>
          <w:p>
            <w:pPr>
              <w:pStyle w:val="Compact"/>
            </w:pPr>
            <w:r>
              <w:rPr>
                <w:sz w:val="20"/>
              </w:rPr>
              <w:t xml:space="preserve">O1</w:t>
            </w:r>
          </w:p>
        </w:tc>
      </w:tr>
      <w:tr>
        <w:tc>
          <w:tcPr/>
          <w:p>
            <w:pPr>
              <w:pStyle w:val="Compact"/>
            </w:pPr>
            <w:r>
              <w:rPr>
                <w:b/>
                <w:bCs/>
                <w:sz w:val="20"/>
              </w:rPr>
              <w:t xml:space="preserve">3</w:t>
            </w:r>
          </w:p>
        </w:tc>
        <w:tc>
          <w:tcPr/>
          <w:p>
            <w:pPr>
              <w:pStyle w:val="Compact"/>
            </w:pPr>
            <w:r>
              <w:rPr>
                <w:b/>
                <w:bCs/>
                <w:sz w:val="20"/>
              </w:rPr>
              <w:t xml:space="preserve">Professional Duty, Service, Communication, and Responsible Disclosure of AI Incidents</w:t>
            </w:r>
          </w:p>
        </w:tc>
        <w:tc>
          <w:tcPr/>
          <w:p>
            <w:pPr>
              <w:pStyle w:val="Compact"/>
            </w:pPr>
            <w:r>
              <w:rPr>
                <w:sz w:val="20"/>
              </w:rPr>
              <w:t xml:space="preserve">Ch. 3: “To Serve and Protect” · AI: AI Incident Database (one assigned incident)</w:t>
            </w:r>
          </w:p>
        </w:tc>
        <w:tc>
          <w:tcPr/>
          <w:p>
            <w:pPr>
              <w:pStyle w:val="Compact"/>
            </w:pPr>
            <w:r>
              <w:rPr>
                <w:sz w:val="20"/>
              </w:rPr>
              <w:t xml:space="preserve">MP · CD · KC · VL2 ·</w:t>
            </w:r>
            <w:r>
              <w:rPr>
                <w:sz w:val="20"/>
              </w:rPr>
              <w:t xml:space="preserve"> </w:t>
            </w:r>
            <w:r>
              <w:rPr>
                <w:b/>
                <w:bCs/>
                <w:sz w:val="20"/>
              </w:rPr>
              <w:t xml:space="preserve">TP01 Proposal due</w:t>
            </w:r>
          </w:p>
        </w:tc>
        <w:tc>
          <w:tcPr/>
          <w:p>
            <w:pPr>
              <w:pStyle w:val="Compact"/>
            </w:pPr>
            <w:r>
              <w:rPr>
                <w:sz w:val="20"/>
              </w:rPr>
              <w:t xml:space="preserve">O3</w:t>
            </w:r>
          </w:p>
        </w:tc>
      </w:tr>
      <w:tr>
        <w:tc>
          <w:tcPr/>
          <w:p>
            <w:pPr>
              <w:pStyle w:val="Compact"/>
            </w:pPr>
            <w:r>
              <w:rPr>
                <w:b/>
                <w:bCs/>
                <w:sz w:val="20"/>
              </w:rPr>
              <w:t xml:space="preserve">4</w:t>
            </w:r>
          </w:p>
        </w:tc>
        <w:tc>
          <w:tcPr/>
          <w:p>
            <w:pPr>
              <w:pStyle w:val="Compact"/>
            </w:pPr>
            <w:r>
              <w:rPr>
                <w:b/>
                <w:bCs/>
                <w:sz w:val="20"/>
              </w:rPr>
              <w:t xml:space="preserve">Accountability, Ethical Decision-Making, and Learning from Failure: When an AI Agent Causes Harm</w:t>
            </w:r>
          </w:p>
        </w:tc>
        <w:tc>
          <w:tcPr/>
          <w:p>
            <w:pPr>
              <w:pStyle w:val="Compact"/>
            </w:pPr>
            <w:r>
              <w:rPr>
                <w:sz w:val="20"/>
              </w:rPr>
              <w:t xml:space="preserve">Ch. 4: “Zero-Day” Humanity and Accountability · AI: NIST AI RMF 1.0, Part 1</w:t>
            </w:r>
          </w:p>
        </w:tc>
        <w:tc>
          <w:tcPr/>
          <w:p>
            <w:pPr>
              <w:pStyle w:val="Compact"/>
            </w:pPr>
            <w:r>
              <w:rPr>
                <w:sz w:val="20"/>
              </w:rPr>
              <w:t xml:space="preserve">MP · CD · KC · VL3 · TP Progress announced</w:t>
            </w:r>
          </w:p>
        </w:tc>
        <w:tc>
          <w:tcPr/>
          <w:p>
            <w:pPr>
              <w:pStyle w:val="Compact"/>
            </w:pPr>
            <w:r>
              <w:rPr>
                <w:sz w:val="20"/>
              </w:rPr>
              <w:t xml:space="preserve">O4</w:t>
            </w:r>
          </w:p>
        </w:tc>
      </w:tr>
      <w:tr>
        <w:tc>
          <w:tcPr/>
          <w:p>
            <w:pPr>
              <w:pStyle w:val="Compact"/>
            </w:pPr>
            <w:r>
              <w:rPr>
                <w:b/>
                <w:bCs/>
                <w:sz w:val="20"/>
              </w:rPr>
              <w:t xml:space="preserve">5</w:t>
            </w:r>
          </w:p>
        </w:tc>
        <w:tc>
          <w:tcPr/>
          <w:p>
            <w:pPr>
              <w:pStyle w:val="Compact"/>
            </w:pPr>
            <w:r>
              <w:rPr>
                <w:b/>
                <w:bCs/>
                <w:sz w:val="20"/>
              </w:rPr>
              <w:t xml:space="preserve">Trust, Leadership, and Responsibility for Data: Algorithmic Bias and Data Equity in ML Pipelines</w:t>
            </w:r>
          </w:p>
        </w:tc>
        <w:tc>
          <w:tcPr/>
          <w:p>
            <w:pPr>
              <w:pStyle w:val="Compact"/>
            </w:pPr>
            <w:r>
              <w:rPr>
                <w:sz w:val="20"/>
              </w:rPr>
              <w:t xml:space="preserve">Ch. 5: “It Begins and Ends with Trust” · AI: “Gender Shades” (2018); “Machine Bias” (2016)</w:t>
            </w:r>
          </w:p>
        </w:tc>
        <w:tc>
          <w:tcPr/>
          <w:p>
            <w:pPr>
              <w:pStyle w:val="Compact"/>
            </w:pPr>
            <w:r>
              <w:rPr>
                <w:sz w:val="20"/>
              </w:rPr>
              <w:t xml:space="preserve">MP · CD · KC · VL4</w:t>
            </w:r>
          </w:p>
        </w:tc>
        <w:tc>
          <w:tcPr/>
          <w:p>
            <w:pPr>
              <w:pStyle w:val="Compact"/>
            </w:pPr>
            <w:r>
              <w:rPr>
                <w:sz w:val="20"/>
              </w:rPr>
              <w:t xml:space="preserve">O2</w:t>
            </w:r>
          </w:p>
        </w:tc>
      </w:tr>
      <w:tr>
        <w:tc>
          <w:tcPr/>
          <w:p>
            <w:pPr>
              <w:pStyle w:val="Compact"/>
            </w:pPr>
            <w:r>
              <w:rPr>
                <w:b/>
                <w:bCs/>
                <w:sz w:val="20"/>
              </w:rPr>
              <w:t xml:space="preserve">6</w:t>
            </w:r>
          </w:p>
        </w:tc>
        <w:tc>
          <w:tcPr/>
          <w:p>
            <w:pPr>
              <w:pStyle w:val="Compact"/>
            </w:pPr>
            <w:r>
              <w:rPr>
                <w:b/>
                <w:bCs/>
                <w:sz w:val="20"/>
              </w:rPr>
              <w:t xml:space="preserve">Collaborative Ethical Decision-Making and Organizational Responsibility: Automated Decision-Making and Human-in-the-Loop Oversight</w:t>
            </w:r>
          </w:p>
        </w:tc>
        <w:tc>
          <w:tcPr/>
          <w:p>
            <w:pPr>
              <w:pStyle w:val="Compact"/>
            </w:pPr>
            <w:r>
              <w:rPr>
                <w:sz w:val="20"/>
              </w:rPr>
              <w:t xml:space="preserve">Ch. 6: “There Is Strength in the Pack” · AI: EU AI Act, Article 14 (human oversight)</w:t>
            </w:r>
          </w:p>
        </w:tc>
        <w:tc>
          <w:tcPr/>
          <w:p>
            <w:pPr>
              <w:pStyle w:val="Compact"/>
            </w:pPr>
            <w:r>
              <w:rPr>
                <w:sz w:val="20"/>
              </w:rPr>
              <w:t xml:space="preserve">MP · CD · KC · VL5</w:t>
            </w:r>
          </w:p>
        </w:tc>
        <w:tc>
          <w:tcPr/>
          <w:p>
            <w:pPr>
              <w:pStyle w:val="Compact"/>
            </w:pPr>
            <w:r>
              <w:rPr>
                <w:sz w:val="20"/>
              </w:rPr>
              <w:t xml:space="preserve">O3, O5</w:t>
            </w:r>
          </w:p>
        </w:tc>
      </w:tr>
      <w:tr>
        <w:tc>
          <w:tcPr/>
          <w:p>
            <w:pPr>
              <w:pStyle w:val="Compact"/>
            </w:pPr>
            <w:r>
              <w:rPr>
                <w:b/>
                <w:bCs/>
                <w:sz w:val="20"/>
              </w:rPr>
              <w:t xml:space="preserve">7</w:t>
            </w:r>
          </w:p>
        </w:tc>
        <w:tc>
          <w:tcPr/>
          <w:p>
            <w:pPr>
              <w:pStyle w:val="Compact"/>
            </w:pPr>
            <w:r>
              <w:rPr>
                <w:b/>
                <w:bCs/>
                <w:sz w:val="20"/>
              </w:rPr>
              <w:t xml:space="preserve">Ethical Cybersecurity Response, Restraint, and Security Risk: Deepfakes and AI-Driven Misinformation</w:t>
            </w:r>
          </w:p>
        </w:tc>
        <w:tc>
          <w:tcPr/>
          <w:p>
            <w:pPr>
              <w:pStyle w:val="Compact"/>
            </w:pPr>
            <w:r>
              <w:rPr>
                <w:sz w:val="20"/>
              </w:rPr>
              <w:t xml:space="preserve">Ch. 7: “Practicing Cyber Kung Fu” · AI: NIST AI 600-1 (2024), information integrity</w:t>
            </w:r>
          </w:p>
        </w:tc>
        <w:tc>
          <w:tcPr/>
          <w:p>
            <w:pPr>
              <w:pStyle w:val="Compact"/>
            </w:pPr>
            <w:r>
              <w:rPr>
                <w:sz w:val="20"/>
              </w:rPr>
              <w:t xml:space="preserve">MP · CD · KC ·</w:t>
            </w:r>
            <w:r>
              <w:rPr>
                <w:sz w:val="20"/>
              </w:rPr>
              <w:t xml:space="preserve"> </w:t>
            </w:r>
            <w:r>
              <w:rPr>
                <w:b/>
                <w:bCs/>
                <w:sz w:val="20"/>
              </w:rPr>
              <w:t xml:space="preserve">TP02 Progress due</w:t>
            </w:r>
          </w:p>
        </w:tc>
        <w:tc>
          <w:tcPr/>
          <w:p>
            <w:pPr>
              <w:pStyle w:val="Compact"/>
            </w:pPr>
            <w:r>
              <w:rPr>
                <w:sz w:val="20"/>
              </w:rPr>
              <w:t xml:space="preserve">O2</w:t>
            </w:r>
          </w:p>
        </w:tc>
      </w:tr>
      <w:tr>
        <w:tc>
          <w:tcPr/>
          <w:p>
            <w:pPr>
              <w:pStyle w:val="Compact"/>
            </w:pPr>
            <w:r>
              <w:rPr>
                <w:b/>
                <w:bCs/>
                <w:sz w:val="20"/>
              </w:rPr>
              <w:t xml:space="preserve">8</w:t>
            </w:r>
          </w:p>
        </w:tc>
        <w:tc>
          <w:tcPr/>
          <w:p>
            <w:pPr>
              <w:pStyle w:val="Compact"/>
            </w:pPr>
            <w:r>
              <w:rPr>
                <w:b/>
                <w:bCs/>
                <w:sz w:val="20"/>
              </w:rPr>
              <w:t xml:space="preserve">Intellectual Property, Digital Ownership, and Ethical Use of Information: Generative AI and Training Data</w:t>
            </w:r>
          </w:p>
        </w:tc>
        <w:tc>
          <w:tcPr/>
          <w:p>
            <w:pPr>
              <w:pStyle w:val="Compact"/>
            </w:pPr>
            <w:r>
              <w:rPr>
                <w:sz w:val="20"/>
              </w:rPr>
              <w:t xml:space="preserve">Ch. 8: “No Sticky Fingers Allowed” · AI: U.S. Copyright Office (2025), Part 2 summary</w:t>
            </w:r>
          </w:p>
        </w:tc>
        <w:tc>
          <w:tcPr/>
          <w:p>
            <w:pPr>
              <w:pStyle w:val="Compact"/>
            </w:pPr>
            <w:r>
              <w:rPr>
                <w:sz w:val="20"/>
              </w:rPr>
              <w:t xml:space="preserve">MP · CD · KC · TP Final Report and Presentation announced</w:t>
            </w:r>
          </w:p>
        </w:tc>
        <w:tc>
          <w:tcPr/>
          <w:p>
            <w:pPr>
              <w:pStyle w:val="Compact"/>
            </w:pPr>
            <w:r>
              <w:rPr>
                <w:sz w:val="20"/>
              </w:rPr>
              <w:t xml:space="preserve">O3</w:t>
            </w:r>
          </w:p>
        </w:tc>
      </w:tr>
      <w:tr>
        <w:tc>
          <w:tcPr/>
          <w:p>
            <w:pPr>
              <w:pStyle w:val="Compact"/>
            </w:pPr>
            <w:r>
              <w:rPr>
                <w:b/>
                <w:bCs/>
                <w:sz w:val="20"/>
              </w:rPr>
              <w:t xml:space="preserve">9</w:t>
            </w:r>
          </w:p>
        </w:tc>
        <w:tc>
          <w:tcPr/>
          <w:p>
            <w:pPr>
              <w:pStyle w:val="Compact"/>
            </w:pPr>
            <w:r>
              <w:rPr>
                <w:b/>
                <w:bCs/>
                <w:sz w:val="20"/>
              </w:rPr>
              <w:t xml:space="preserve">Privacy, Boundaries, and Responsible Access to Information: Digital Surveillance and Civil Liberties</w:t>
            </w:r>
          </w:p>
        </w:tc>
        <w:tc>
          <w:tcPr/>
          <w:p>
            <w:pPr>
              <w:pStyle w:val="Compact"/>
            </w:pPr>
            <w:r>
              <w:rPr>
                <w:sz w:val="20"/>
              </w:rPr>
              <w:t xml:space="preserve">Ch. 9: “It's None of Your Business” · AI: EU AI Act, Article 5 (prohibited practices)</w:t>
            </w:r>
          </w:p>
        </w:tc>
        <w:tc>
          <w:tcPr/>
          <w:p>
            <w:pPr>
              <w:pStyle w:val="Compact"/>
            </w:pPr>
            <w:r>
              <w:rPr>
                <w:sz w:val="20"/>
              </w:rPr>
              <w:t xml:space="preserve">MP · CD · KC ·</w:t>
            </w:r>
            <w:r>
              <w:rPr>
                <w:sz w:val="20"/>
              </w:rPr>
              <w:t xml:space="preserve"> </w:t>
            </w:r>
            <w:r>
              <w:rPr>
                <w:b/>
                <w:bCs/>
                <w:sz w:val="20"/>
              </w:rPr>
              <w:t xml:space="preserve">Research Paper due</w:t>
            </w:r>
          </w:p>
        </w:tc>
        <w:tc>
          <w:tcPr/>
          <w:p>
            <w:pPr>
              <w:pStyle w:val="Compact"/>
            </w:pPr>
            <w:r>
              <w:rPr>
                <w:sz w:val="20"/>
              </w:rPr>
              <w:t xml:space="preserve">O2, O3</w:t>
            </w:r>
          </w:p>
        </w:tc>
      </w:tr>
      <w:tr>
        <w:tc>
          <w:tcPr/>
          <w:p>
            <w:pPr>
              <w:pStyle w:val="Compact"/>
            </w:pPr>
            <w:r>
              <w:rPr>
                <w:b/>
                <w:bCs/>
                <w:sz w:val="20"/>
              </w:rPr>
              <w:t xml:space="preserve">10</w:t>
            </w:r>
          </w:p>
        </w:tc>
        <w:tc>
          <w:tcPr/>
          <w:p>
            <w:pPr>
              <w:pStyle w:val="Compact"/>
            </w:pPr>
            <w:r>
              <w:rPr>
                <w:b/>
                <w:bCs/>
                <w:sz w:val="20"/>
              </w:rPr>
              <w:t xml:space="preserve">Professional Ethical Practice and Responsible AI Governance: The Alignment Problem</w:t>
            </w:r>
          </w:p>
        </w:tc>
        <w:tc>
          <w:tcPr/>
          <w:p>
            <w:pPr>
              <w:pStyle w:val="Compact"/>
            </w:pPr>
            <w:r>
              <w:rPr>
                <w:sz w:val="20"/>
              </w:rPr>
              <w:t xml:space="preserve">Appendix A: The Cybersecurity Code of Honor; Appendix B: “Where Do We Go from Here?” · AI: NIST AI RMF 1.0, Part 2</w:t>
            </w:r>
          </w:p>
        </w:tc>
        <w:tc>
          <w:tcPr/>
          <w:p>
            <w:pPr>
              <w:pStyle w:val="Compact"/>
            </w:pPr>
            <w:r>
              <w:rPr>
                <w:sz w:val="20"/>
              </w:rPr>
              <w:t xml:space="preserve">MP · CD · KC ·</w:t>
            </w:r>
            <w:r>
              <w:rPr>
                <w:sz w:val="20"/>
              </w:rPr>
              <w:t xml:space="preserve"> </w:t>
            </w:r>
            <w:r>
              <w:rPr>
                <w:b/>
                <w:bCs/>
                <w:sz w:val="20"/>
              </w:rPr>
              <w:t xml:space="preserve">TP03 Final Report and TP04 Presentation due</w:t>
            </w:r>
          </w:p>
        </w:tc>
        <w:tc>
          <w:tcPr/>
          <w:p>
            <w:pPr>
              <w:pStyle w:val="Compact"/>
            </w:pPr>
            <w:r>
              <w:rPr>
                <w:sz w:val="20"/>
              </w:rPr>
              <w:t xml:space="preserve">O4, O5</w:t>
            </w:r>
          </w:p>
        </w:tc>
      </w:tr>
    </w:tbl>
    <w:bookmarkEnd w:id="100"/>
    <w:sectPr w:rsidR="001506D5" w:rsidRPr="003043EB" w:rsidSect="007A79DC">
      <w:headerReference r:id="rId34" w:type="even"/>
      <w:headerReference r:id="rId35" w:type="default"/>
      <w:footerReference r:id="rId36" w:type="even"/>
      <w:footerReference r:id="rId37" w:type="default"/>
      <w:headerReference r:id="rId38" w:type="first"/>
      <w:footerReference r:id="rId39" w:type="first"/>
      <w:pgSz w:h="15840" w:w="12240"/>
      <w:pgMar w:bottom="1440"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8DDEA" w14:textId="77777777" w:rsidR="000A1C4E" w:rsidRDefault="000A1C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65880" w14:textId="57F03D88" w:rsidR="007A79DC" w:rsidRPr="003167E4" w:rsidRDefault="007A79DC" w:rsidP="007A79DC">
    <w:pPr>
      <w:pStyle w:val="Footer"/>
      <w:jc w:val="center"/>
      <w:rPr>
        <w:rFonts w:cs="Arial"/>
        <w:sz w:val="20"/>
        <w:szCs w:val="20"/>
      </w:rPr>
    </w:pPr>
    <w:r w:rsidRPr="003167E4">
      <w:rPr>
        <w:rStyle w:val="PageNumber"/>
        <w:rFonts w:cs="Arial"/>
        <w:sz w:val="20"/>
        <w:szCs w:val="20"/>
      </w:rPr>
      <w:t xml:space="preserve">Page </w:t>
    </w:r>
    <w:r w:rsidR="00DD0260" w:rsidRPr="003167E4">
      <w:rPr>
        <w:rStyle w:val="PageNumber"/>
        <w:rFonts w:cs="Arial"/>
        <w:sz w:val="20"/>
        <w:szCs w:val="20"/>
      </w:rPr>
      <w:fldChar w:fldCharType="begin"/>
    </w:r>
    <w:r w:rsidRPr="003167E4">
      <w:rPr>
        <w:rStyle w:val="PageNumber"/>
        <w:rFonts w:cs="Arial"/>
        <w:sz w:val="20"/>
        <w:szCs w:val="20"/>
      </w:rPr>
      <w:instrText xml:space="preserve"> PAGE </w:instrText>
    </w:r>
    <w:r w:rsidR="00DD0260" w:rsidRPr="003167E4">
      <w:rPr>
        <w:rStyle w:val="PageNumber"/>
        <w:rFonts w:cs="Arial"/>
        <w:sz w:val="20"/>
        <w:szCs w:val="20"/>
      </w:rPr>
      <w:fldChar w:fldCharType="separate"/>
    </w:r>
    <w:r w:rsidR="006715F5">
      <w:rPr>
        <w:rStyle w:val="PageNumber"/>
        <w:rFonts w:cs="Arial"/>
        <w:noProof/>
        <w:sz w:val="20"/>
        <w:szCs w:val="20"/>
      </w:rPr>
      <w:t>7</w:t>
    </w:r>
    <w:r w:rsidR="00DD0260" w:rsidRPr="003167E4">
      <w:rPr>
        <w:rStyle w:val="PageNumber"/>
        <w:rFonts w:cs="Arial"/>
        <w:sz w:val="20"/>
        <w:szCs w:val="20"/>
      </w:rPr>
      <w:fldChar w:fldCharType="end"/>
    </w:r>
    <w:r w:rsidRPr="003167E4">
      <w:rPr>
        <w:rStyle w:val="PageNumber"/>
        <w:rFonts w:cs="Arial"/>
        <w:sz w:val="20"/>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B4987" w14:textId="77777777" w:rsidR="000A1C4E" w:rsidRDefault="000A1C4E">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FE936" w14:textId="77777777" w:rsidR="000A1C4E" w:rsidRDefault="000A1C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9505B" w14:textId="77777777" w:rsidR="000A1C4E" w:rsidRDefault="000A1C4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505E8" w14:textId="77777777" w:rsidR="000A1C4E" w:rsidRDefault="000A1C4E">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9"/>
    <w:multiLevelType w:val="singleLevel"/>
    <w:tmpl w:val="B61E5590"/>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1">
    <w:nsid w:val="04305568"/>
    <w:multiLevelType w:val="multilevel"/>
    <w:tmpl w:val="5B4E149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
    <w:nsid w:val="096E6F1B"/>
    <w:multiLevelType w:val="hybridMultilevel"/>
    <w:tmpl w:val="7B1099C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
    <w:nsid w:val="098A1B5E"/>
    <w:multiLevelType w:val="hybridMultilevel"/>
    <w:tmpl w:val="181EADD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
    <w:nsid w:val="0DD43838"/>
    <w:multiLevelType w:val="hybridMultilevel"/>
    <w:tmpl w:val="1084F2A0"/>
    <w:lvl w:ilvl="0" w:tplc="04090011">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5">
    <w:nsid w:val="0E7968D3"/>
    <w:multiLevelType w:val="multilevel"/>
    <w:tmpl w:val="42C4DC4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
    <w:nsid w:val="0FA735F0"/>
    <w:multiLevelType w:val="multilevel"/>
    <w:tmpl w:val="DFAC5C9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7">
    <w:nsid w:val="112738CA"/>
    <w:multiLevelType w:val="multilevel"/>
    <w:tmpl w:val="C4CA163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8">
    <w:nsid w:val="1A027ABA"/>
    <w:multiLevelType w:val="hybridMultilevel"/>
    <w:tmpl w:val="03F8B08A"/>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20AA5036"/>
    <w:multiLevelType w:val="hybridMultilevel"/>
    <w:tmpl w:val="F6888BD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0">
    <w:nsid w:val="21166F97"/>
    <w:multiLevelType w:val="hybridMultilevel"/>
    <w:tmpl w:val="582E3072"/>
    <w:lvl w:ilvl="0" w:tplc="795E9A42">
      <w:start w:val="1"/>
      <w:numFmt w:val="upperLetter"/>
      <w:lvlText w:val="(%1)"/>
      <w:lvlJc w:val="left"/>
      <w:pPr>
        <w:ind w:hanging="360" w:left="720"/>
      </w:pPr>
      <w:rPr>
        <w:rFonts w:hint="default"/>
        <w:b w:val="0"/>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1">
    <w:nsid w:val="25834905"/>
    <w:multiLevelType w:val="multilevel"/>
    <w:tmpl w:val="0B1207A0"/>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25D217D3"/>
    <w:multiLevelType w:val="hybridMultilevel"/>
    <w:tmpl w:val="43A20E1E"/>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3">
    <w:nsid w:val="260420AC"/>
    <w:multiLevelType w:val="hybridMultilevel"/>
    <w:tmpl w:val="6130CB90"/>
    <w:lvl w:ilvl="0" w:tplc="097A10F0">
      <w:start w:val="1"/>
      <w:numFmt w:val="bullet"/>
      <w:lvlText w:val=""/>
      <w:lvlJc w:val="left"/>
      <w:pPr>
        <w:ind w:hanging="360" w:left="720"/>
      </w:pPr>
      <w:rPr>
        <w:rFonts w:ascii="Symbol" w:hAnsi="Symbol" w:hint="default"/>
      </w:rPr>
    </w:lvl>
    <w:lvl w:ilvl="1" w:tplc="05421022">
      <w:start w:val="1"/>
      <w:numFmt w:val="bullet"/>
      <w:lvlText w:val="o"/>
      <w:lvlJc w:val="left"/>
      <w:pPr>
        <w:ind w:hanging="360" w:left="1440"/>
      </w:pPr>
      <w:rPr>
        <w:rFonts w:ascii="Courier New" w:hAnsi="Courier New" w:hint="default"/>
      </w:rPr>
    </w:lvl>
    <w:lvl w:ilvl="2" w:tplc="59103F70">
      <w:start w:val="1"/>
      <w:numFmt w:val="bullet"/>
      <w:lvlText w:val=""/>
      <w:lvlJc w:val="left"/>
      <w:pPr>
        <w:ind w:hanging="360" w:left="2160"/>
      </w:pPr>
      <w:rPr>
        <w:rFonts w:ascii="Wingdings" w:hAnsi="Wingdings" w:hint="default"/>
      </w:rPr>
    </w:lvl>
    <w:lvl w:ilvl="3" w:tplc="1CD0AFF0">
      <w:start w:val="1"/>
      <w:numFmt w:val="bullet"/>
      <w:lvlText w:val=""/>
      <w:lvlJc w:val="left"/>
      <w:pPr>
        <w:ind w:hanging="360" w:left="2880"/>
      </w:pPr>
      <w:rPr>
        <w:rFonts w:ascii="Symbol" w:hAnsi="Symbol" w:hint="default"/>
      </w:rPr>
    </w:lvl>
    <w:lvl w:ilvl="4" w:tplc="0DC0D0F4">
      <w:start w:val="1"/>
      <w:numFmt w:val="bullet"/>
      <w:lvlText w:val="o"/>
      <w:lvlJc w:val="left"/>
      <w:pPr>
        <w:ind w:hanging="360" w:left="3600"/>
      </w:pPr>
      <w:rPr>
        <w:rFonts w:ascii="Courier New" w:hAnsi="Courier New" w:hint="default"/>
      </w:rPr>
    </w:lvl>
    <w:lvl w:ilvl="5" w:tplc="A7448680">
      <w:start w:val="1"/>
      <w:numFmt w:val="bullet"/>
      <w:lvlText w:val=""/>
      <w:lvlJc w:val="left"/>
      <w:pPr>
        <w:ind w:hanging="360" w:left="4320"/>
      </w:pPr>
      <w:rPr>
        <w:rFonts w:ascii="Wingdings" w:hAnsi="Wingdings" w:hint="default"/>
      </w:rPr>
    </w:lvl>
    <w:lvl w:ilvl="6" w:tplc="7E4EEF66">
      <w:start w:val="1"/>
      <w:numFmt w:val="bullet"/>
      <w:lvlText w:val=""/>
      <w:lvlJc w:val="left"/>
      <w:pPr>
        <w:ind w:hanging="360" w:left="5040"/>
      </w:pPr>
      <w:rPr>
        <w:rFonts w:ascii="Symbol" w:hAnsi="Symbol" w:hint="default"/>
      </w:rPr>
    </w:lvl>
    <w:lvl w:ilvl="7" w:tplc="C7EAE52E">
      <w:start w:val="1"/>
      <w:numFmt w:val="bullet"/>
      <w:lvlText w:val="o"/>
      <w:lvlJc w:val="left"/>
      <w:pPr>
        <w:ind w:hanging="360" w:left="5760"/>
      </w:pPr>
      <w:rPr>
        <w:rFonts w:ascii="Courier New" w:hAnsi="Courier New" w:hint="default"/>
      </w:rPr>
    </w:lvl>
    <w:lvl w:ilvl="8" w:tplc="C404822C">
      <w:start w:val="1"/>
      <w:numFmt w:val="bullet"/>
      <w:lvlText w:val=""/>
      <w:lvlJc w:val="left"/>
      <w:pPr>
        <w:ind w:hanging="360" w:left="6480"/>
      </w:pPr>
      <w:rPr>
        <w:rFonts w:ascii="Wingdings" w:hAnsi="Wingdings" w:hint="default"/>
      </w:rPr>
    </w:lvl>
  </w:abstractNum>
  <w:abstractNum w15:restartNumberingAfterBreak="0" w:abstractNumId="14">
    <w:nsid w:val="26E0284F"/>
    <w:multiLevelType w:val="hybridMultilevel"/>
    <w:tmpl w:val="5466213C"/>
    <w:lvl w:ilvl="0" w:tplc="795E9A42">
      <w:start w:val="1"/>
      <w:numFmt w:val="upperLetter"/>
      <w:lvlText w:val="(%1)"/>
      <w:lvlJc w:val="left"/>
      <w:pPr>
        <w:ind w:hanging="360" w:left="720"/>
      </w:pPr>
      <w:rPr>
        <w:rFonts w:hint="default"/>
        <w:b w:val="0"/>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5">
    <w:nsid w:val="2A983112"/>
    <w:multiLevelType w:val="hybridMultilevel"/>
    <w:tmpl w:val="73805B7E"/>
    <w:lvl w:ilvl="0" w:tplc="0409000F">
      <w:start w:val="1"/>
      <w:numFmt w:val="decimal"/>
      <w:lvlText w:val="%1."/>
      <w:lvlJc w:val="left"/>
      <w:pPr>
        <w:ind w:hanging="360" w:left="720"/>
      </w:pPr>
      <w:rPr>
        <w:rFont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
    <w:nsid w:val="2DC1020A"/>
    <w:multiLevelType w:val="hybridMultilevel"/>
    <w:tmpl w:val="6568E566"/>
    <w:lvl w:ilvl="0" w:tplc="FE5E0468">
      <w:start w:val="1"/>
      <w:numFmt w:val="decimal"/>
      <w:lvlText w:val="%1)"/>
      <w:lvlJc w:val="left"/>
      <w:pPr>
        <w:ind w:hanging="360" w:left="720"/>
      </w:pPr>
      <w:rPr>
        <w:rFonts w:hint="default"/>
        <w:b w:val="0"/>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7">
    <w:nsid w:val="301E82B6"/>
    <w:multiLevelType w:val="hybridMultilevel"/>
    <w:tmpl w:val="82F6A39A"/>
    <w:lvl w:ilvl="0" w:tplc="DC64680C">
      <w:start w:val="1"/>
      <w:numFmt w:val="decimal"/>
      <w:lvlText w:val="%1."/>
      <w:lvlJc w:val="left"/>
      <w:pPr>
        <w:ind w:hanging="360" w:left="720"/>
      </w:pPr>
    </w:lvl>
    <w:lvl w:ilvl="1" w:tplc="0394A318">
      <w:start w:val="1"/>
      <w:numFmt w:val="lowerLetter"/>
      <w:lvlText w:val="%2."/>
      <w:lvlJc w:val="left"/>
      <w:pPr>
        <w:ind w:hanging="360" w:left="1440"/>
      </w:pPr>
    </w:lvl>
    <w:lvl w:ilvl="2" w:tplc="3BFEE4E2">
      <w:start w:val="1"/>
      <w:numFmt w:val="lowerRoman"/>
      <w:lvlText w:val="%3."/>
      <w:lvlJc w:val="right"/>
      <w:pPr>
        <w:ind w:hanging="180" w:left="2160"/>
      </w:pPr>
    </w:lvl>
    <w:lvl w:ilvl="3" w:tplc="3B3E26A6">
      <w:start w:val="1"/>
      <w:numFmt w:val="decimal"/>
      <w:lvlText w:val="%4."/>
      <w:lvlJc w:val="left"/>
      <w:pPr>
        <w:ind w:hanging="360" w:left="2880"/>
      </w:pPr>
    </w:lvl>
    <w:lvl w:ilvl="4" w:tplc="3C4EFB58">
      <w:start w:val="1"/>
      <w:numFmt w:val="lowerLetter"/>
      <w:lvlText w:val="%5."/>
      <w:lvlJc w:val="left"/>
      <w:pPr>
        <w:ind w:hanging="360" w:left="3600"/>
      </w:pPr>
    </w:lvl>
    <w:lvl w:ilvl="5" w:tplc="28B4E1F2">
      <w:start w:val="1"/>
      <w:numFmt w:val="lowerRoman"/>
      <w:lvlText w:val="%6."/>
      <w:lvlJc w:val="right"/>
      <w:pPr>
        <w:ind w:hanging="180" w:left="4320"/>
      </w:pPr>
    </w:lvl>
    <w:lvl w:ilvl="6" w:tplc="A25C30F0">
      <w:start w:val="1"/>
      <w:numFmt w:val="decimal"/>
      <w:lvlText w:val="%7."/>
      <w:lvlJc w:val="left"/>
      <w:pPr>
        <w:ind w:hanging="360" w:left="5040"/>
      </w:pPr>
    </w:lvl>
    <w:lvl w:ilvl="7" w:tplc="F16410B2">
      <w:start w:val="1"/>
      <w:numFmt w:val="lowerLetter"/>
      <w:lvlText w:val="%8."/>
      <w:lvlJc w:val="left"/>
      <w:pPr>
        <w:ind w:hanging="360" w:left="5760"/>
      </w:pPr>
    </w:lvl>
    <w:lvl w:ilvl="8" w:tplc="DE805D26">
      <w:start w:val="1"/>
      <w:numFmt w:val="lowerRoman"/>
      <w:lvlText w:val="%9."/>
      <w:lvlJc w:val="right"/>
      <w:pPr>
        <w:ind w:hanging="180" w:left="6480"/>
      </w:pPr>
    </w:lvl>
  </w:abstractNum>
  <w:abstractNum w15:restartNumberingAfterBreak="0" w:abstractNumId="18">
    <w:nsid w:val="30945AE4"/>
    <w:multiLevelType w:val="hybridMultilevel"/>
    <w:tmpl w:val="301639B6"/>
    <w:lvl w:ilvl="0" w:tplc="04090001">
      <w:start w:val="1"/>
      <w:numFmt w:val="bullet"/>
      <w:lvlText w:val=""/>
      <w:lvlJc w:val="left"/>
      <w:pPr>
        <w:ind w:hanging="360" w:left="816"/>
      </w:pPr>
      <w:rPr>
        <w:rFonts w:ascii="Symbol" w:hAnsi="Symbol" w:hint="default"/>
      </w:rPr>
    </w:lvl>
    <w:lvl w:ilvl="1" w:tentative="1" w:tplc="04090003">
      <w:start w:val="1"/>
      <w:numFmt w:val="bullet"/>
      <w:lvlText w:val="o"/>
      <w:lvlJc w:val="left"/>
      <w:pPr>
        <w:ind w:hanging="360" w:left="1536"/>
      </w:pPr>
      <w:rPr>
        <w:rFonts w:ascii="Courier New" w:cs="Courier New" w:hAnsi="Courier New" w:hint="default"/>
      </w:rPr>
    </w:lvl>
    <w:lvl w:ilvl="2" w:tentative="1" w:tplc="04090005">
      <w:start w:val="1"/>
      <w:numFmt w:val="bullet"/>
      <w:lvlText w:val=""/>
      <w:lvlJc w:val="left"/>
      <w:pPr>
        <w:ind w:hanging="360" w:left="2256"/>
      </w:pPr>
      <w:rPr>
        <w:rFonts w:ascii="Wingdings" w:hAnsi="Wingdings" w:hint="default"/>
      </w:rPr>
    </w:lvl>
    <w:lvl w:ilvl="3" w:tentative="1" w:tplc="04090001">
      <w:start w:val="1"/>
      <w:numFmt w:val="bullet"/>
      <w:lvlText w:val=""/>
      <w:lvlJc w:val="left"/>
      <w:pPr>
        <w:ind w:hanging="360" w:left="2976"/>
      </w:pPr>
      <w:rPr>
        <w:rFonts w:ascii="Symbol" w:hAnsi="Symbol" w:hint="default"/>
      </w:rPr>
    </w:lvl>
    <w:lvl w:ilvl="4" w:tentative="1" w:tplc="04090003">
      <w:start w:val="1"/>
      <w:numFmt w:val="bullet"/>
      <w:lvlText w:val="o"/>
      <w:lvlJc w:val="left"/>
      <w:pPr>
        <w:ind w:hanging="360" w:left="3696"/>
      </w:pPr>
      <w:rPr>
        <w:rFonts w:ascii="Courier New" w:cs="Courier New" w:hAnsi="Courier New" w:hint="default"/>
      </w:rPr>
    </w:lvl>
    <w:lvl w:ilvl="5" w:tentative="1" w:tplc="04090005">
      <w:start w:val="1"/>
      <w:numFmt w:val="bullet"/>
      <w:lvlText w:val=""/>
      <w:lvlJc w:val="left"/>
      <w:pPr>
        <w:ind w:hanging="360" w:left="4416"/>
      </w:pPr>
      <w:rPr>
        <w:rFonts w:ascii="Wingdings" w:hAnsi="Wingdings" w:hint="default"/>
      </w:rPr>
    </w:lvl>
    <w:lvl w:ilvl="6" w:tentative="1" w:tplc="04090001">
      <w:start w:val="1"/>
      <w:numFmt w:val="bullet"/>
      <w:lvlText w:val=""/>
      <w:lvlJc w:val="left"/>
      <w:pPr>
        <w:ind w:hanging="360" w:left="5136"/>
      </w:pPr>
      <w:rPr>
        <w:rFonts w:ascii="Symbol" w:hAnsi="Symbol" w:hint="default"/>
      </w:rPr>
    </w:lvl>
    <w:lvl w:ilvl="7" w:tentative="1" w:tplc="04090003">
      <w:start w:val="1"/>
      <w:numFmt w:val="bullet"/>
      <w:lvlText w:val="o"/>
      <w:lvlJc w:val="left"/>
      <w:pPr>
        <w:ind w:hanging="360" w:left="5856"/>
      </w:pPr>
      <w:rPr>
        <w:rFonts w:ascii="Courier New" w:cs="Courier New" w:hAnsi="Courier New" w:hint="default"/>
      </w:rPr>
    </w:lvl>
    <w:lvl w:ilvl="8" w:tentative="1" w:tplc="04090005">
      <w:start w:val="1"/>
      <w:numFmt w:val="bullet"/>
      <w:lvlText w:val=""/>
      <w:lvlJc w:val="left"/>
      <w:pPr>
        <w:ind w:hanging="360" w:left="6576"/>
      </w:pPr>
      <w:rPr>
        <w:rFonts w:ascii="Wingdings" w:hAnsi="Wingdings" w:hint="default"/>
      </w:rPr>
    </w:lvl>
  </w:abstractNum>
  <w:abstractNum w15:restartNumberingAfterBreak="0" w:abstractNumId="19">
    <w:nsid w:val="316D5544"/>
    <w:multiLevelType w:val="hybridMultilevel"/>
    <w:tmpl w:val="A328C8B6"/>
    <w:lvl w:ilvl="0" w:tplc="04090011">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0">
    <w:nsid w:val="374E7B56"/>
    <w:multiLevelType w:val="multilevel"/>
    <w:tmpl w:val="B212D7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1">
    <w:nsid w:val="39B17ECD"/>
    <w:multiLevelType w:val="hybridMultilevel"/>
    <w:tmpl w:val="EFD098E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3C0135D6"/>
    <w:multiLevelType w:val="hybridMultilevel"/>
    <w:tmpl w:val="07B2828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3">
    <w:nsid w:val="3E306BBA"/>
    <w:multiLevelType w:val="hybridMultilevel"/>
    <w:tmpl w:val="09288EA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4">
    <w:nsid w:val="3FEF6CD0"/>
    <w:multiLevelType w:val="hybridMultilevel"/>
    <w:tmpl w:val="FE1861A8"/>
    <w:lvl w:ilvl="0" w:tplc="04090011">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5">
    <w:nsid w:val="408B65F5"/>
    <w:multiLevelType w:val="hybridMultilevel"/>
    <w:tmpl w:val="7876D550"/>
    <w:lvl w:ilvl="0" w:tplc="0409000F">
      <w:start w:val="1"/>
      <w:numFmt w:val="decimal"/>
      <w:lvlText w:val="%1."/>
      <w:lvlJc w:val="left"/>
      <w:pPr>
        <w:ind w:hanging="360" w:left="720"/>
      </w:pPr>
      <w:rPr>
        <w:rFont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6">
    <w:nsid w:val="450D4638"/>
    <w:multiLevelType w:val="hybridMultilevel"/>
    <w:tmpl w:val="0DC6A3DE"/>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7">
    <w:nsid w:val="4F523AAD"/>
    <w:multiLevelType w:val="hybridMultilevel"/>
    <w:tmpl w:val="95BCF662"/>
    <w:lvl w:ilvl="0" w:tplc="795E9A42">
      <w:start w:val="1"/>
      <w:numFmt w:val="upperLetter"/>
      <w:lvlText w:val="(%1)"/>
      <w:lvlJc w:val="left"/>
      <w:pPr>
        <w:ind w:hanging="360" w:left="720"/>
      </w:pPr>
      <w:rPr>
        <w:rFonts w:hint="default"/>
        <w:b w:val="0"/>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8">
    <w:nsid w:val="541D1948"/>
    <w:multiLevelType w:val="hybridMultilevel"/>
    <w:tmpl w:val="8EE67936"/>
    <w:lvl w:ilvl="0" w:tplc="AC04AEFE">
      <w:start w:val="1"/>
      <w:numFmt w:val="decimal"/>
      <w:lvlText w:val="%1)"/>
      <w:lvlJc w:val="left"/>
      <w:pPr>
        <w:ind w:hanging="360" w:left="720"/>
      </w:pPr>
      <w:rPr>
        <w:b w:val="0"/>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9">
    <w:nsid w:val="569026CF"/>
    <w:multiLevelType w:val="hybridMultilevel"/>
    <w:tmpl w:val="3FE461D6"/>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0">
    <w:nsid w:val="5C8A75B0"/>
    <w:multiLevelType w:val="hybridMultilevel"/>
    <w:tmpl w:val="4B4AC5C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1">
    <w:nsid w:val="5E1BCF9B"/>
    <w:multiLevelType w:val="hybridMultilevel"/>
    <w:tmpl w:val="2662D898"/>
    <w:lvl w:ilvl="0" w:tplc="04090003">
      <w:start w:val="1"/>
      <w:numFmt w:val="bullet"/>
      <w:lvlText w:val="o"/>
      <w:lvlJc w:val="left"/>
      <w:pPr>
        <w:ind w:hanging="360" w:left="720"/>
      </w:pPr>
      <w:rPr>
        <w:rFonts w:ascii="Courier New" w:cs="Courier New" w:hAnsi="Courier New" w:hint="default"/>
      </w:rPr>
    </w:lvl>
    <w:lvl w:ilvl="1" w:tplc="5F3AA5F2">
      <w:start w:val="1"/>
      <w:numFmt w:val="bullet"/>
      <w:lvlText w:val="o"/>
      <w:lvlJc w:val="left"/>
      <w:pPr>
        <w:ind w:hanging="360" w:left="1440"/>
      </w:pPr>
      <w:rPr>
        <w:rFonts w:ascii="Courier New" w:hAnsi="Courier New" w:hint="default"/>
      </w:rPr>
    </w:lvl>
    <w:lvl w:ilvl="2" w:tplc="D9D2C8D0">
      <w:start w:val="1"/>
      <w:numFmt w:val="bullet"/>
      <w:lvlText w:val=""/>
      <w:lvlJc w:val="left"/>
      <w:pPr>
        <w:ind w:hanging="360" w:left="2160"/>
      </w:pPr>
      <w:rPr>
        <w:rFonts w:ascii="Wingdings" w:hAnsi="Wingdings" w:hint="default"/>
      </w:rPr>
    </w:lvl>
    <w:lvl w:ilvl="3" w:tplc="90A48D56">
      <w:start w:val="1"/>
      <w:numFmt w:val="bullet"/>
      <w:lvlText w:val=""/>
      <w:lvlJc w:val="left"/>
      <w:pPr>
        <w:ind w:hanging="360" w:left="2880"/>
      </w:pPr>
      <w:rPr>
        <w:rFonts w:ascii="Symbol" w:hAnsi="Symbol" w:hint="default"/>
      </w:rPr>
    </w:lvl>
    <w:lvl w:ilvl="4" w:tplc="9E4AF79E">
      <w:start w:val="1"/>
      <w:numFmt w:val="bullet"/>
      <w:lvlText w:val="o"/>
      <w:lvlJc w:val="left"/>
      <w:pPr>
        <w:ind w:hanging="360" w:left="3600"/>
      </w:pPr>
      <w:rPr>
        <w:rFonts w:ascii="Courier New" w:hAnsi="Courier New" w:hint="default"/>
      </w:rPr>
    </w:lvl>
    <w:lvl w:ilvl="5" w:tplc="0B5065A6">
      <w:start w:val="1"/>
      <w:numFmt w:val="bullet"/>
      <w:lvlText w:val=""/>
      <w:lvlJc w:val="left"/>
      <w:pPr>
        <w:ind w:hanging="360" w:left="4320"/>
      </w:pPr>
      <w:rPr>
        <w:rFonts w:ascii="Wingdings" w:hAnsi="Wingdings" w:hint="default"/>
      </w:rPr>
    </w:lvl>
    <w:lvl w:ilvl="6" w:tplc="2A882BE2">
      <w:start w:val="1"/>
      <w:numFmt w:val="bullet"/>
      <w:lvlText w:val=""/>
      <w:lvlJc w:val="left"/>
      <w:pPr>
        <w:ind w:hanging="360" w:left="5040"/>
      </w:pPr>
      <w:rPr>
        <w:rFonts w:ascii="Symbol" w:hAnsi="Symbol" w:hint="default"/>
      </w:rPr>
    </w:lvl>
    <w:lvl w:ilvl="7" w:tplc="FC8C4872">
      <w:start w:val="1"/>
      <w:numFmt w:val="bullet"/>
      <w:lvlText w:val="o"/>
      <w:lvlJc w:val="left"/>
      <w:pPr>
        <w:ind w:hanging="360" w:left="5760"/>
      </w:pPr>
      <w:rPr>
        <w:rFonts w:ascii="Courier New" w:hAnsi="Courier New" w:hint="default"/>
      </w:rPr>
    </w:lvl>
    <w:lvl w:ilvl="8" w:tplc="D0084E48">
      <w:start w:val="1"/>
      <w:numFmt w:val="bullet"/>
      <w:lvlText w:val=""/>
      <w:lvlJc w:val="left"/>
      <w:pPr>
        <w:ind w:hanging="360" w:left="6480"/>
      </w:pPr>
      <w:rPr>
        <w:rFonts w:ascii="Wingdings" w:hAnsi="Wingdings" w:hint="default"/>
      </w:rPr>
    </w:lvl>
  </w:abstractNum>
  <w:abstractNum w15:restartNumberingAfterBreak="0" w:abstractNumId="32">
    <w:nsid w:val="64BC5755"/>
    <w:multiLevelType w:val="hybridMultilevel"/>
    <w:tmpl w:val="683C54CA"/>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3">
    <w:nsid w:val="69CAEE93"/>
    <w:multiLevelType w:val="hybridMultilevel"/>
    <w:tmpl w:val="E7B829C8"/>
    <w:lvl w:ilvl="0" w:tplc="5990576E">
      <w:start w:val="1"/>
      <w:numFmt w:val="bullet"/>
      <w:lvlText w:val=""/>
      <w:lvlJc w:val="left"/>
      <w:pPr>
        <w:ind w:hanging="360" w:left="720"/>
      </w:pPr>
      <w:rPr>
        <w:rFonts w:ascii="Symbol" w:hAnsi="Symbol" w:hint="default"/>
      </w:rPr>
    </w:lvl>
    <w:lvl w:ilvl="1" w:tplc="79E83006">
      <w:start w:val="1"/>
      <w:numFmt w:val="bullet"/>
      <w:lvlText w:val="o"/>
      <w:lvlJc w:val="left"/>
      <w:pPr>
        <w:ind w:hanging="360" w:left="1440"/>
      </w:pPr>
      <w:rPr>
        <w:rFonts w:ascii="Courier New" w:hAnsi="Courier New" w:hint="default"/>
      </w:rPr>
    </w:lvl>
    <w:lvl w:ilvl="2" w:tplc="C1A42BE4">
      <w:start w:val="1"/>
      <w:numFmt w:val="bullet"/>
      <w:lvlText w:val=""/>
      <w:lvlJc w:val="left"/>
      <w:pPr>
        <w:ind w:hanging="360" w:left="2160"/>
      </w:pPr>
      <w:rPr>
        <w:rFonts w:ascii="Wingdings" w:hAnsi="Wingdings" w:hint="default"/>
      </w:rPr>
    </w:lvl>
    <w:lvl w:ilvl="3" w:tplc="4D40E57E">
      <w:start w:val="1"/>
      <w:numFmt w:val="bullet"/>
      <w:lvlText w:val=""/>
      <w:lvlJc w:val="left"/>
      <w:pPr>
        <w:ind w:hanging="360" w:left="2880"/>
      </w:pPr>
      <w:rPr>
        <w:rFonts w:ascii="Symbol" w:hAnsi="Symbol" w:hint="default"/>
      </w:rPr>
    </w:lvl>
    <w:lvl w:ilvl="4" w:tplc="9490D8A8">
      <w:start w:val="1"/>
      <w:numFmt w:val="bullet"/>
      <w:lvlText w:val="o"/>
      <w:lvlJc w:val="left"/>
      <w:pPr>
        <w:ind w:hanging="360" w:left="3600"/>
      </w:pPr>
      <w:rPr>
        <w:rFonts w:ascii="Courier New" w:hAnsi="Courier New" w:hint="default"/>
      </w:rPr>
    </w:lvl>
    <w:lvl w:ilvl="5" w:tplc="4E3CA7D2">
      <w:start w:val="1"/>
      <w:numFmt w:val="bullet"/>
      <w:lvlText w:val=""/>
      <w:lvlJc w:val="left"/>
      <w:pPr>
        <w:ind w:hanging="360" w:left="4320"/>
      </w:pPr>
      <w:rPr>
        <w:rFonts w:ascii="Wingdings" w:hAnsi="Wingdings" w:hint="default"/>
      </w:rPr>
    </w:lvl>
    <w:lvl w:ilvl="6" w:tplc="A448FD0C">
      <w:start w:val="1"/>
      <w:numFmt w:val="bullet"/>
      <w:lvlText w:val=""/>
      <w:lvlJc w:val="left"/>
      <w:pPr>
        <w:ind w:hanging="360" w:left="5040"/>
      </w:pPr>
      <w:rPr>
        <w:rFonts w:ascii="Symbol" w:hAnsi="Symbol" w:hint="default"/>
      </w:rPr>
    </w:lvl>
    <w:lvl w:ilvl="7" w:tplc="5DB8DFFC">
      <w:start w:val="1"/>
      <w:numFmt w:val="bullet"/>
      <w:lvlText w:val="o"/>
      <w:lvlJc w:val="left"/>
      <w:pPr>
        <w:ind w:hanging="360" w:left="5760"/>
      </w:pPr>
      <w:rPr>
        <w:rFonts w:ascii="Courier New" w:hAnsi="Courier New" w:hint="default"/>
      </w:rPr>
    </w:lvl>
    <w:lvl w:ilvl="8" w:tplc="739ECE80">
      <w:start w:val="1"/>
      <w:numFmt w:val="bullet"/>
      <w:lvlText w:val=""/>
      <w:lvlJc w:val="left"/>
      <w:pPr>
        <w:ind w:hanging="360" w:left="6480"/>
      </w:pPr>
      <w:rPr>
        <w:rFonts w:ascii="Wingdings" w:hAnsi="Wingdings" w:hint="default"/>
      </w:rPr>
    </w:lvl>
  </w:abstractNum>
  <w:abstractNum w15:restartNumberingAfterBreak="0" w:abstractNumId="34">
    <w:nsid w:val="6B8C1C7C"/>
    <w:multiLevelType w:val="hybridMultilevel"/>
    <w:tmpl w:val="11BEE8D0"/>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5">
    <w:nsid w:val="6E630DBB"/>
    <w:multiLevelType w:val="hybridMultilevel"/>
    <w:tmpl w:val="ED4E6E90"/>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bullet"/>
      <w:lvlText w:val=""/>
      <w:lvlJc w:val="left"/>
      <w:pPr>
        <w:ind w:hanging="360" w:left="2880"/>
      </w:pPr>
      <w:rPr>
        <w:rFonts w:ascii="Symbol" w:hAnsi="Symbol" w:hint="default"/>
      </w:rPr>
    </w:lvl>
    <w:lvl w:ilvl="4" w:tplc="04090003">
      <w:start w:val="1"/>
      <w:numFmt w:val="bullet"/>
      <w:lvlText w:val="o"/>
      <w:lvlJc w:val="left"/>
      <w:pPr>
        <w:ind w:hanging="360" w:left="3600"/>
      </w:pPr>
      <w:rPr>
        <w:rFonts w:ascii="Courier New" w:cs="Courier New" w:hAnsi="Courier New" w:hint="default"/>
      </w:rPr>
    </w:lvl>
    <w:lvl w:ilvl="5" w:tplc="04090005">
      <w:start w:val="1"/>
      <w:numFmt w:val="bullet"/>
      <w:lvlText w:val=""/>
      <w:lvlJc w:val="left"/>
      <w:pPr>
        <w:ind w:hanging="360" w:left="4320"/>
      </w:pPr>
      <w:rPr>
        <w:rFonts w:ascii="Wingdings" w:hAnsi="Wingdings" w:hint="default"/>
      </w:rPr>
    </w:lvl>
    <w:lvl w:ilvl="6" w:tplc="04090001">
      <w:start w:val="1"/>
      <w:numFmt w:val="bullet"/>
      <w:lvlText w:val=""/>
      <w:lvlJc w:val="left"/>
      <w:pPr>
        <w:ind w:hanging="360" w:left="5040"/>
      </w:pPr>
      <w:rPr>
        <w:rFonts w:ascii="Symbol" w:hAnsi="Symbol" w:hint="default"/>
      </w:rPr>
    </w:lvl>
    <w:lvl w:ilvl="7" w:tplc="04090003">
      <w:start w:val="1"/>
      <w:numFmt w:val="bullet"/>
      <w:lvlText w:val="o"/>
      <w:lvlJc w:val="left"/>
      <w:pPr>
        <w:ind w:hanging="360" w:left="5760"/>
      </w:pPr>
      <w:rPr>
        <w:rFonts w:ascii="Courier New" w:cs="Courier New" w:hAnsi="Courier New" w:hint="default"/>
      </w:rPr>
    </w:lvl>
    <w:lvl w:ilvl="8" w:tplc="04090005">
      <w:start w:val="1"/>
      <w:numFmt w:val="bullet"/>
      <w:lvlText w:val=""/>
      <w:lvlJc w:val="left"/>
      <w:pPr>
        <w:ind w:hanging="360" w:left="6480"/>
      </w:pPr>
      <w:rPr>
        <w:rFonts w:ascii="Wingdings" w:hAnsi="Wingdings" w:hint="default"/>
      </w:rPr>
    </w:lvl>
  </w:abstractNum>
  <w:abstractNum w15:restartNumberingAfterBreak="0" w:abstractNumId="36">
    <w:nsid w:val="74A350E2"/>
    <w:multiLevelType w:val="hybridMultilevel"/>
    <w:tmpl w:val="8E049396"/>
    <w:lvl w:ilvl="0" w:tplc="04090011">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7">
    <w:nsid w:val="77787672"/>
    <w:multiLevelType w:val="hybridMultilevel"/>
    <w:tmpl w:val="9B7C69D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8">
    <w:nsid w:val="7920001B"/>
    <w:multiLevelType w:val="hybridMultilevel"/>
    <w:tmpl w:val="50844ADC"/>
    <w:lvl w:ilvl="0" w:tplc="2A02DAEA">
      <w:start w:val="1"/>
      <w:numFmt w:val="bullet"/>
      <w:lvlText w:val=""/>
      <w:lvlJc w:val="left"/>
      <w:pPr>
        <w:ind w:hanging="360" w:left="720"/>
      </w:pPr>
      <w:rPr>
        <w:rFonts w:ascii="Symbol" w:hAnsi="Symbol" w:hint="default"/>
      </w:rPr>
    </w:lvl>
    <w:lvl w:ilvl="1" w:tplc="D596861A">
      <w:start w:val="1"/>
      <w:numFmt w:val="bullet"/>
      <w:lvlText w:val="o"/>
      <w:lvlJc w:val="left"/>
      <w:pPr>
        <w:ind w:hanging="360" w:left="1440"/>
      </w:pPr>
      <w:rPr>
        <w:rFonts w:ascii="Courier New" w:hAnsi="Courier New" w:hint="default"/>
      </w:rPr>
    </w:lvl>
    <w:lvl w:ilvl="2" w:tplc="0D7EE926">
      <w:start w:val="1"/>
      <w:numFmt w:val="bullet"/>
      <w:lvlText w:val=""/>
      <w:lvlJc w:val="left"/>
      <w:pPr>
        <w:ind w:hanging="360" w:left="2160"/>
      </w:pPr>
      <w:rPr>
        <w:rFonts w:ascii="Wingdings" w:hAnsi="Wingdings" w:hint="default"/>
      </w:rPr>
    </w:lvl>
    <w:lvl w:ilvl="3" w:tplc="068A2BE0">
      <w:start w:val="1"/>
      <w:numFmt w:val="bullet"/>
      <w:lvlText w:val=""/>
      <w:lvlJc w:val="left"/>
      <w:pPr>
        <w:ind w:hanging="360" w:left="2880"/>
      </w:pPr>
      <w:rPr>
        <w:rFonts w:ascii="Symbol" w:hAnsi="Symbol" w:hint="default"/>
      </w:rPr>
    </w:lvl>
    <w:lvl w:ilvl="4" w:tplc="7AD25B92">
      <w:start w:val="1"/>
      <w:numFmt w:val="bullet"/>
      <w:lvlText w:val="o"/>
      <w:lvlJc w:val="left"/>
      <w:pPr>
        <w:ind w:hanging="360" w:left="3600"/>
      </w:pPr>
      <w:rPr>
        <w:rFonts w:ascii="Courier New" w:hAnsi="Courier New" w:hint="default"/>
      </w:rPr>
    </w:lvl>
    <w:lvl w:ilvl="5" w:tplc="4F2A6BDE">
      <w:start w:val="1"/>
      <w:numFmt w:val="bullet"/>
      <w:lvlText w:val=""/>
      <w:lvlJc w:val="left"/>
      <w:pPr>
        <w:ind w:hanging="360" w:left="4320"/>
      </w:pPr>
      <w:rPr>
        <w:rFonts w:ascii="Wingdings" w:hAnsi="Wingdings" w:hint="default"/>
      </w:rPr>
    </w:lvl>
    <w:lvl w:ilvl="6" w:tplc="C620312C">
      <w:start w:val="1"/>
      <w:numFmt w:val="bullet"/>
      <w:lvlText w:val=""/>
      <w:lvlJc w:val="left"/>
      <w:pPr>
        <w:ind w:hanging="360" w:left="5040"/>
      </w:pPr>
      <w:rPr>
        <w:rFonts w:ascii="Symbol" w:hAnsi="Symbol" w:hint="default"/>
      </w:rPr>
    </w:lvl>
    <w:lvl w:ilvl="7" w:tplc="F20A1BF0">
      <w:start w:val="1"/>
      <w:numFmt w:val="bullet"/>
      <w:lvlText w:val="o"/>
      <w:lvlJc w:val="left"/>
      <w:pPr>
        <w:ind w:hanging="360" w:left="5760"/>
      </w:pPr>
      <w:rPr>
        <w:rFonts w:ascii="Courier New" w:hAnsi="Courier New" w:hint="default"/>
      </w:rPr>
    </w:lvl>
    <w:lvl w:ilvl="8" w:tplc="0EC62D9E">
      <w:start w:val="1"/>
      <w:numFmt w:val="bullet"/>
      <w:lvlText w:val=""/>
      <w:lvlJc w:val="left"/>
      <w:pPr>
        <w:ind w:hanging="360" w:left="6480"/>
      </w:pPr>
      <w:rPr>
        <w:rFonts w:ascii="Wingdings" w:hAnsi="Wingdings" w:hint="default"/>
      </w:rPr>
    </w:lvl>
  </w:abstractNum>
  <w:abstractNum w15:restartNumberingAfterBreak="0" w:abstractNumId="39">
    <w:nsid w:val="7921469A"/>
    <w:multiLevelType w:val="hybridMultilevel"/>
    <w:tmpl w:val="69A674A2"/>
    <w:lvl w:ilvl="0" w:tplc="0409000F">
      <w:start w:val="1"/>
      <w:numFmt w:val="decimal"/>
      <w:lvlText w:val="%1."/>
      <w:lvlJc w:val="left"/>
      <w:pPr>
        <w:ind w:hanging="360" w:left="720"/>
      </w:pPr>
      <w:rPr>
        <w:rFonts w:hint="default"/>
        <w:b w:val="0"/>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0">
    <w:nsid w:val="79B56EA4"/>
    <w:multiLevelType w:val="multilevel"/>
    <w:tmpl w:val="BBFE8F3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868681686" w:numId="1">
    <w:abstractNumId w:val="37"/>
  </w:num>
  <w:num w16cid:durableId="1071150901" w:numId="2">
    <w:abstractNumId w:val="21"/>
  </w:num>
  <w:num w16cid:durableId="618610937" w:numId="3">
    <w:abstractNumId w:val="22"/>
  </w:num>
  <w:num w16cid:durableId="607665148" w:numId="4">
    <w:abstractNumId w:val="30"/>
  </w:num>
  <w:num w16cid:durableId="1069040673" w:numId="5">
    <w:abstractNumId w:val="29"/>
  </w:num>
  <w:num w16cid:durableId="1846244509" w:numId="6">
    <w:abstractNumId w:val="26"/>
  </w:num>
  <w:num w16cid:durableId="349453841" w:numId="7">
    <w:abstractNumId w:val="0"/>
  </w:num>
  <w:num w16cid:durableId="1666980264" w:numId="8">
    <w:abstractNumId w:val="2"/>
  </w:num>
  <w:num w16cid:durableId="109321459" w:numId="9">
    <w:abstractNumId w:val="8"/>
  </w:num>
  <w:num w16cid:durableId="1137069984" w:numId="10">
    <w:abstractNumId w:val="10"/>
  </w:num>
  <w:num w16cid:durableId="1270817491" w:numId="11">
    <w:abstractNumId w:val="14"/>
  </w:num>
  <w:num w16cid:durableId="1293825103" w:numId="12">
    <w:abstractNumId w:val="27"/>
  </w:num>
  <w:num w16cid:durableId="177930645" w:numId="13">
    <w:abstractNumId w:val="39"/>
  </w:num>
  <w:num w16cid:durableId="545486835" w:numId="14">
    <w:abstractNumId w:val="15"/>
  </w:num>
  <w:num w16cid:durableId="1144271600" w:numId="15">
    <w:abstractNumId w:val="25"/>
  </w:num>
  <w:num w16cid:durableId="1446919787" w:numId="16">
    <w:abstractNumId w:val="16"/>
  </w:num>
  <w:num w16cid:durableId="1060058426" w:numId="17">
    <w:abstractNumId w:val="4"/>
  </w:num>
  <w:num w16cid:durableId="113256573" w:numId="18">
    <w:abstractNumId w:val="19"/>
  </w:num>
  <w:num w16cid:durableId="1704358977" w:numId="19">
    <w:abstractNumId w:val="24"/>
  </w:num>
  <w:num w16cid:durableId="1661888610" w:numId="20">
    <w:abstractNumId w:val="36"/>
  </w:num>
  <w:num w16cid:durableId="135413682" w:numId="21">
    <w:abstractNumId w:val="28"/>
  </w:num>
  <w:num w16cid:durableId="1673021547" w:numId="22">
    <w:abstractNumId w:val="9"/>
  </w:num>
  <w:num w16cid:durableId="1936867026" w:numId="23">
    <w:abstractNumId w:val="12"/>
  </w:num>
  <w:num w16cid:durableId="1891071215" w:numId="24">
    <w:abstractNumId w:val="35"/>
  </w:num>
  <w:num w16cid:durableId="1004011671" w:numId="25">
    <w:abstractNumId w:val="7"/>
  </w:num>
  <w:num w16cid:durableId="1025709714" w:numId="26">
    <w:abstractNumId w:val="6"/>
  </w:num>
  <w:num w16cid:durableId="998115322" w:numId="27">
    <w:abstractNumId w:val="20"/>
  </w:num>
  <w:num w16cid:durableId="1673020568" w:numId="28">
    <w:abstractNumId w:val="1"/>
  </w:num>
  <w:num w16cid:durableId="2050260727" w:numId="29">
    <w:abstractNumId w:val="11"/>
  </w:num>
  <w:num w16cid:durableId="384910269" w:numId="30">
    <w:abstractNumId w:val="38"/>
  </w:num>
  <w:num w16cid:durableId="2009627961" w:numId="31">
    <w:abstractNumId w:val="13"/>
  </w:num>
  <w:num w16cid:durableId="1371684220" w:numId="32">
    <w:abstractNumId w:val="40"/>
  </w:num>
  <w:num w16cid:durableId="804203994" w:numId="33">
    <w:abstractNumId w:val="18"/>
  </w:num>
  <w:num w16cid:durableId="662776878" w:numId="34">
    <w:abstractNumId w:val="3"/>
  </w:num>
  <w:num w16cid:durableId="841240551" w:numId="35">
    <w:abstractNumId w:val="17"/>
  </w:num>
  <w:num w16cid:durableId="413236436" w:numId="36">
    <w:abstractNumId w:val="33"/>
  </w:num>
  <w:num w16cid:durableId="792090958" w:numId="37">
    <w:abstractNumId w:val="31"/>
  </w:num>
  <w:num w16cid:durableId="1718623713" w:numId="38">
    <w:abstractNumId w:val="34"/>
  </w:num>
  <w:num w16cid:durableId="958027317" w:numId="39">
    <w:abstractNumId w:val="32"/>
  </w:num>
  <w:num w16cid:durableId="1754929891" w:numId="40">
    <w:abstractNumId w:val="23"/>
  </w:num>
  <w:num w16cid:durableId="1883439352" w:numId="41">
    <w:abstractNumId w:val="5"/>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80"/>
  <w:embedSystemFonts/>
  <w:proofState w:grammar="clean" w:spelling="clean"/>
  <w:stylePaneFormatFilter w:val="0004"/>
  <w:doNotTrackMoves/>
  <w:defaultTabStop w:val="720"/>
  <w:drawingGridHorizontalSpacing w:val="110"/>
  <w:drawingGridVerticalSpacing w:val="360"/>
  <w:displayHorizontalDrawingGridEvery w:val="2"/>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9DC"/>
    <w:rsid w:val="00002702"/>
    <w:rsid w:val="000052B0"/>
    <w:rsid w:val="0000683F"/>
    <w:rsid w:val="00007CA6"/>
    <w:rsid w:val="0001040A"/>
    <w:rsid w:val="00010678"/>
    <w:rsid w:val="00010B2C"/>
    <w:rsid w:val="0001398D"/>
    <w:rsid w:val="00014527"/>
    <w:rsid w:val="000171BA"/>
    <w:rsid w:val="00024E91"/>
    <w:rsid w:val="000335C6"/>
    <w:rsid w:val="000418FE"/>
    <w:rsid w:val="00041DC3"/>
    <w:rsid w:val="0004363C"/>
    <w:rsid w:val="00044443"/>
    <w:rsid w:val="0004470F"/>
    <w:rsid w:val="0004727B"/>
    <w:rsid w:val="0005026C"/>
    <w:rsid w:val="0005145A"/>
    <w:rsid w:val="0005367C"/>
    <w:rsid w:val="0005551D"/>
    <w:rsid w:val="00056496"/>
    <w:rsid w:val="00057A0B"/>
    <w:rsid w:val="00062817"/>
    <w:rsid w:val="00063B4A"/>
    <w:rsid w:val="00064BBA"/>
    <w:rsid w:val="00066243"/>
    <w:rsid w:val="000707F7"/>
    <w:rsid w:val="0007177F"/>
    <w:rsid w:val="00073EA0"/>
    <w:rsid w:val="000740B9"/>
    <w:rsid w:val="00090C32"/>
    <w:rsid w:val="000918EA"/>
    <w:rsid w:val="00097C18"/>
    <w:rsid w:val="000A1C4E"/>
    <w:rsid w:val="000A2718"/>
    <w:rsid w:val="000A3F38"/>
    <w:rsid w:val="000A4675"/>
    <w:rsid w:val="000A4C65"/>
    <w:rsid w:val="000A5009"/>
    <w:rsid w:val="000A54C5"/>
    <w:rsid w:val="000A6093"/>
    <w:rsid w:val="000B0509"/>
    <w:rsid w:val="000B0C4E"/>
    <w:rsid w:val="000B2418"/>
    <w:rsid w:val="000B731D"/>
    <w:rsid w:val="000C1892"/>
    <w:rsid w:val="000C4898"/>
    <w:rsid w:val="000C4AA0"/>
    <w:rsid w:val="000D646C"/>
    <w:rsid w:val="000D79DB"/>
    <w:rsid w:val="000E386A"/>
    <w:rsid w:val="000E4FAE"/>
    <w:rsid w:val="000E70B9"/>
    <w:rsid w:val="000F551E"/>
    <w:rsid w:val="00106C48"/>
    <w:rsid w:val="00110D9B"/>
    <w:rsid w:val="001141DA"/>
    <w:rsid w:val="00116FBE"/>
    <w:rsid w:val="00117550"/>
    <w:rsid w:val="0011783F"/>
    <w:rsid w:val="0012015A"/>
    <w:rsid w:val="0012665F"/>
    <w:rsid w:val="00133914"/>
    <w:rsid w:val="00135565"/>
    <w:rsid w:val="001478CC"/>
    <w:rsid w:val="001506D5"/>
    <w:rsid w:val="001520D5"/>
    <w:rsid w:val="00155C59"/>
    <w:rsid w:val="00171321"/>
    <w:rsid w:val="001744A1"/>
    <w:rsid w:val="0017614B"/>
    <w:rsid w:val="00176211"/>
    <w:rsid w:val="00177901"/>
    <w:rsid w:val="00180F4C"/>
    <w:rsid w:val="00183CB8"/>
    <w:rsid w:val="00185F13"/>
    <w:rsid w:val="001913C3"/>
    <w:rsid w:val="00192228"/>
    <w:rsid w:val="0019245C"/>
    <w:rsid w:val="00196360"/>
    <w:rsid w:val="001967F5"/>
    <w:rsid w:val="001970B5"/>
    <w:rsid w:val="001B0BF5"/>
    <w:rsid w:val="001B23D4"/>
    <w:rsid w:val="001B35F9"/>
    <w:rsid w:val="001C0FF1"/>
    <w:rsid w:val="001C1437"/>
    <w:rsid w:val="001C46A3"/>
    <w:rsid w:val="001C7E27"/>
    <w:rsid w:val="001D4728"/>
    <w:rsid w:val="001D7E17"/>
    <w:rsid w:val="001E3680"/>
    <w:rsid w:val="001F4648"/>
    <w:rsid w:val="001F5611"/>
    <w:rsid w:val="001F5FE3"/>
    <w:rsid w:val="001F7907"/>
    <w:rsid w:val="001F7BA8"/>
    <w:rsid w:val="00212023"/>
    <w:rsid w:val="00213418"/>
    <w:rsid w:val="00216056"/>
    <w:rsid w:val="00220827"/>
    <w:rsid w:val="00223031"/>
    <w:rsid w:val="0022460E"/>
    <w:rsid w:val="002305C6"/>
    <w:rsid w:val="00230981"/>
    <w:rsid w:val="002313C9"/>
    <w:rsid w:val="00233A63"/>
    <w:rsid w:val="0023489D"/>
    <w:rsid w:val="002364B4"/>
    <w:rsid w:val="0024314F"/>
    <w:rsid w:val="00243A5A"/>
    <w:rsid w:val="00247CD7"/>
    <w:rsid w:val="00247FEC"/>
    <w:rsid w:val="002542B4"/>
    <w:rsid w:val="00261963"/>
    <w:rsid w:val="00262599"/>
    <w:rsid w:val="00262F23"/>
    <w:rsid w:val="0026439E"/>
    <w:rsid w:val="0027247C"/>
    <w:rsid w:val="002741D4"/>
    <w:rsid w:val="002747BE"/>
    <w:rsid w:val="0027549E"/>
    <w:rsid w:val="00275628"/>
    <w:rsid w:val="00276A0F"/>
    <w:rsid w:val="00276B12"/>
    <w:rsid w:val="00277119"/>
    <w:rsid w:val="0028136C"/>
    <w:rsid w:val="00283021"/>
    <w:rsid w:val="00284BE0"/>
    <w:rsid w:val="00286D2A"/>
    <w:rsid w:val="00287F69"/>
    <w:rsid w:val="00291CA3"/>
    <w:rsid w:val="0029469A"/>
    <w:rsid w:val="002969CE"/>
    <w:rsid w:val="0029745D"/>
    <w:rsid w:val="002A088A"/>
    <w:rsid w:val="002A1C32"/>
    <w:rsid w:val="002A4397"/>
    <w:rsid w:val="002B14E5"/>
    <w:rsid w:val="002B27FD"/>
    <w:rsid w:val="002B74A0"/>
    <w:rsid w:val="002B7FC4"/>
    <w:rsid w:val="002C29EB"/>
    <w:rsid w:val="002C5C8A"/>
    <w:rsid w:val="002C68D7"/>
    <w:rsid w:val="002D6531"/>
    <w:rsid w:val="002E3C79"/>
    <w:rsid w:val="002E6B1B"/>
    <w:rsid w:val="00300089"/>
    <w:rsid w:val="003043EB"/>
    <w:rsid w:val="00304466"/>
    <w:rsid w:val="00304666"/>
    <w:rsid w:val="00310EA2"/>
    <w:rsid w:val="00311E6C"/>
    <w:rsid w:val="00312FCC"/>
    <w:rsid w:val="00314A14"/>
    <w:rsid w:val="003167E4"/>
    <w:rsid w:val="003206B1"/>
    <w:rsid w:val="00322F83"/>
    <w:rsid w:val="00326109"/>
    <w:rsid w:val="00327889"/>
    <w:rsid w:val="00333F5F"/>
    <w:rsid w:val="00335506"/>
    <w:rsid w:val="003355E0"/>
    <w:rsid w:val="003416C3"/>
    <w:rsid w:val="00343138"/>
    <w:rsid w:val="003515FE"/>
    <w:rsid w:val="003570AB"/>
    <w:rsid w:val="003572D5"/>
    <w:rsid w:val="003638CF"/>
    <w:rsid w:val="0036516F"/>
    <w:rsid w:val="00365BD8"/>
    <w:rsid w:val="00366E49"/>
    <w:rsid w:val="00372E31"/>
    <w:rsid w:val="003740DA"/>
    <w:rsid w:val="00377CE5"/>
    <w:rsid w:val="00386168"/>
    <w:rsid w:val="003877FF"/>
    <w:rsid w:val="0039076B"/>
    <w:rsid w:val="003909AD"/>
    <w:rsid w:val="00396F28"/>
    <w:rsid w:val="003A0431"/>
    <w:rsid w:val="003B0255"/>
    <w:rsid w:val="003B0C79"/>
    <w:rsid w:val="003B4E1D"/>
    <w:rsid w:val="003B6C52"/>
    <w:rsid w:val="003C2FA5"/>
    <w:rsid w:val="003C32A1"/>
    <w:rsid w:val="003C3A1C"/>
    <w:rsid w:val="003D4F25"/>
    <w:rsid w:val="003D6C3C"/>
    <w:rsid w:val="003D7232"/>
    <w:rsid w:val="003E3A99"/>
    <w:rsid w:val="003F3D7C"/>
    <w:rsid w:val="003F5E33"/>
    <w:rsid w:val="003F6179"/>
    <w:rsid w:val="00400EA1"/>
    <w:rsid w:val="004011DB"/>
    <w:rsid w:val="00402F42"/>
    <w:rsid w:val="0040346D"/>
    <w:rsid w:val="00405BF8"/>
    <w:rsid w:val="00410E0F"/>
    <w:rsid w:val="0042131E"/>
    <w:rsid w:val="00422EFA"/>
    <w:rsid w:val="00424FC8"/>
    <w:rsid w:val="00425D4E"/>
    <w:rsid w:val="00431451"/>
    <w:rsid w:val="004349F0"/>
    <w:rsid w:val="00436272"/>
    <w:rsid w:val="00437F29"/>
    <w:rsid w:val="004406D6"/>
    <w:rsid w:val="00441242"/>
    <w:rsid w:val="004563BC"/>
    <w:rsid w:val="0046212B"/>
    <w:rsid w:val="004647BD"/>
    <w:rsid w:val="00467BD3"/>
    <w:rsid w:val="00472114"/>
    <w:rsid w:val="00473075"/>
    <w:rsid w:val="00480083"/>
    <w:rsid w:val="00480513"/>
    <w:rsid w:val="00483623"/>
    <w:rsid w:val="004844A2"/>
    <w:rsid w:val="00485D9E"/>
    <w:rsid w:val="00490167"/>
    <w:rsid w:val="004A05EC"/>
    <w:rsid w:val="004A1D67"/>
    <w:rsid w:val="004A1DD5"/>
    <w:rsid w:val="004A1E9C"/>
    <w:rsid w:val="004A28B8"/>
    <w:rsid w:val="004A6159"/>
    <w:rsid w:val="004B3E58"/>
    <w:rsid w:val="004B3E89"/>
    <w:rsid w:val="004B4CB9"/>
    <w:rsid w:val="004B526B"/>
    <w:rsid w:val="004B592B"/>
    <w:rsid w:val="004C205F"/>
    <w:rsid w:val="004C5827"/>
    <w:rsid w:val="004D196A"/>
    <w:rsid w:val="004E0861"/>
    <w:rsid w:val="004E38DB"/>
    <w:rsid w:val="004E5606"/>
    <w:rsid w:val="004E661C"/>
    <w:rsid w:val="004E6A70"/>
    <w:rsid w:val="004E7990"/>
    <w:rsid w:val="004F1A13"/>
    <w:rsid w:val="004F1FA6"/>
    <w:rsid w:val="004F38D8"/>
    <w:rsid w:val="004F4F29"/>
    <w:rsid w:val="004F4FF5"/>
    <w:rsid w:val="004F5D0D"/>
    <w:rsid w:val="004F6806"/>
    <w:rsid w:val="005028A3"/>
    <w:rsid w:val="00504AD0"/>
    <w:rsid w:val="00505D3E"/>
    <w:rsid w:val="00506466"/>
    <w:rsid w:val="00506EDF"/>
    <w:rsid w:val="00507744"/>
    <w:rsid w:val="005077F6"/>
    <w:rsid w:val="00507A9F"/>
    <w:rsid w:val="0051435B"/>
    <w:rsid w:val="005145CF"/>
    <w:rsid w:val="005151CD"/>
    <w:rsid w:val="0051704A"/>
    <w:rsid w:val="005179B1"/>
    <w:rsid w:val="0052123F"/>
    <w:rsid w:val="0052363A"/>
    <w:rsid w:val="005265C5"/>
    <w:rsid w:val="00526717"/>
    <w:rsid w:val="00531702"/>
    <w:rsid w:val="0053279B"/>
    <w:rsid w:val="00537521"/>
    <w:rsid w:val="00547506"/>
    <w:rsid w:val="005529A0"/>
    <w:rsid w:val="00553858"/>
    <w:rsid w:val="0055486C"/>
    <w:rsid w:val="00555D91"/>
    <w:rsid w:val="00556547"/>
    <w:rsid w:val="005571D6"/>
    <w:rsid w:val="00557610"/>
    <w:rsid w:val="00560EF3"/>
    <w:rsid w:val="00564942"/>
    <w:rsid w:val="00565C66"/>
    <w:rsid w:val="00570107"/>
    <w:rsid w:val="005702B8"/>
    <w:rsid w:val="00570E30"/>
    <w:rsid w:val="00574357"/>
    <w:rsid w:val="00580B3B"/>
    <w:rsid w:val="00586C22"/>
    <w:rsid w:val="00590676"/>
    <w:rsid w:val="00590E00"/>
    <w:rsid w:val="00593F51"/>
    <w:rsid w:val="005959BE"/>
    <w:rsid w:val="005A1F5D"/>
    <w:rsid w:val="005B2C4D"/>
    <w:rsid w:val="005C12E1"/>
    <w:rsid w:val="005C20AA"/>
    <w:rsid w:val="005C2327"/>
    <w:rsid w:val="005C2AA6"/>
    <w:rsid w:val="005D09D3"/>
    <w:rsid w:val="005D5459"/>
    <w:rsid w:val="005D58B5"/>
    <w:rsid w:val="005D5B80"/>
    <w:rsid w:val="005D5FFA"/>
    <w:rsid w:val="005D78A6"/>
    <w:rsid w:val="005E02B8"/>
    <w:rsid w:val="005E0B92"/>
    <w:rsid w:val="005E11B4"/>
    <w:rsid w:val="005F25B5"/>
    <w:rsid w:val="005F293C"/>
    <w:rsid w:val="005F35E2"/>
    <w:rsid w:val="00615C09"/>
    <w:rsid w:val="00620D71"/>
    <w:rsid w:val="006215F3"/>
    <w:rsid w:val="00622E29"/>
    <w:rsid w:val="00627D6B"/>
    <w:rsid w:val="00641326"/>
    <w:rsid w:val="00646455"/>
    <w:rsid w:val="00656349"/>
    <w:rsid w:val="006600EC"/>
    <w:rsid w:val="00660BE6"/>
    <w:rsid w:val="00664D37"/>
    <w:rsid w:val="006668F1"/>
    <w:rsid w:val="006715F5"/>
    <w:rsid w:val="006717AF"/>
    <w:rsid w:val="006727D7"/>
    <w:rsid w:val="006759CD"/>
    <w:rsid w:val="0067626A"/>
    <w:rsid w:val="0068126E"/>
    <w:rsid w:val="0068630F"/>
    <w:rsid w:val="00687100"/>
    <w:rsid w:val="00691290"/>
    <w:rsid w:val="00692B53"/>
    <w:rsid w:val="00692CF6"/>
    <w:rsid w:val="00692FB4"/>
    <w:rsid w:val="006974EA"/>
    <w:rsid w:val="00697E66"/>
    <w:rsid w:val="006A0366"/>
    <w:rsid w:val="006A041E"/>
    <w:rsid w:val="006B05E5"/>
    <w:rsid w:val="006B2E36"/>
    <w:rsid w:val="006C1FB9"/>
    <w:rsid w:val="006C27C4"/>
    <w:rsid w:val="006C283D"/>
    <w:rsid w:val="006C55C8"/>
    <w:rsid w:val="006D25E2"/>
    <w:rsid w:val="006E383B"/>
    <w:rsid w:val="006E5031"/>
    <w:rsid w:val="006E51EE"/>
    <w:rsid w:val="006F0DD5"/>
    <w:rsid w:val="006F4A93"/>
    <w:rsid w:val="006F584A"/>
    <w:rsid w:val="00702788"/>
    <w:rsid w:val="00710BF4"/>
    <w:rsid w:val="0071613A"/>
    <w:rsid w:val="00716680"/>
    <w:rsid w:val="00720469"/>
    <w:rsid w:val="007207C7"/>
    <w:rsid w:val="007217BA"/>
    <w:rsid w:val="00721D50"/>
    <w:rsid w:val="00722CA5"/>
    <w:rsid w:val="00734C66"/>
    <w:rsid w:val="00737E8A"/>
    <w:rsid w:val="0074799C"/>
    <w:rsid w:val="00754099"/>
    <w:rsid w:val="00757335"/>
    <w:rsid w:val="00757918"/>
    <w:rsid w:val="0076281A"/>
    <w:rsid w:val="00771898"/>
    <w:rsid w:val="00780F2F"/>
    <w:rsid w:val="00787E6D"/>
    <w:rsid w:val="0079464C"/>
    <w:rsid w:val="007A1ACB"/>
    <w:rsid w:val="007A6CFA"/>
    <w:rsid w:val="007A7781"/>
    <w:rsid w:val="007A79DC"/>
    <w:rsid w:val="007C660A"/>
    <w:rsid w:val="007C7A26"/>
    <w:rsid w:val="007C7F53"/>
    <w:rsid w:val="007D22B1"/>
    <w:rsid w:val="007D31B3"/>
    <w:rsid w:val="007D437B"/>
    <w:rsid w:val="007D44F3"/>
    <w:rsid w:val="007E3DB9"/>
    <w:rsid w:val="007E49A7"/>
    <w:rsid w:val="007E623F"/>
    <w:rsid w:val="007E7305"/>
    <w:rsid w:val="007F3676"/>
    <w:rsid w:val="00804A4B"/>
    <w:rsid w:val="008057A2"/>
    <w:rsid w:val="00811726"/>
    <w:rsid w:val="00813066"/>
    <w:rsid w:val="00824968"/>
    <w:rsid w:val="008258CC"/>
    <w:rsid w:val="00826295"/>
    <w:rsid w:val="008265CE"/>
    <w:rsid w:val="00827607"/>
    <w:rsid w:val="00834D75"/>
    <w:rsid w:val="0085546D"/>
    <w:rsid w:val="00855F5F"/>
    <w:rsid w:val="008572D1"/>
    <w:rsid w:val="00865BBC"/>
    <w:rsid w:val="00870E4A"/>
    <w:rsid w:val="008711C4"/>
    <w:rsid w:val="00873215"/>
    <w:rsid w:val="00873B4A"/>
    <w:rsid w:val="00875FE3"/>
    <w:rsid w:val="00877640"/>
    <w:rsid w:val="008809CA"/>
    <w:rsid w:val="008823FB"/>
    <w:rsid w:val="0089439D"/>
    <w:rsid w:val="008943B2"/>
    <w:rsid w:val="008A0ECD"/>
    <w:rsid w:val="008B3EE1"/>
    <w:rsid w:val="008B4E70"/>
    <w:rsid w:val="008C0644"/>
    <w:rsid w:val="008C196A"/>
    <w:rsid w:val="008C2DEB"/>
    <w:rsid w:val="008C4709"/>
    <w:rsid w:val="008C723D"/>
    <w:rsid w:val="008C7598"/>
    <w:rsid w:val="008D0898"/>
    <w:rsid w:val="008D47C7"/>
    <w:rsid w:val="008D52B3"/>
    <w:rsid w:val="008D5FC8"/>
    <w:rsid w:val="008E0907"/>
    <w:rsid w:val="008E5E30"/>
    <w:rsid w:val="008E7CFF"/>
    <w:rsid w:val="00901754"/>
    <w:rsid w:val="00905371"/>
    <w:rsid w:val="00907990"/>
    <w:rsid w:val="00913119"/>
    <w:rsid w:val="00920680"/>
    <w:rsid w:val="009219DA"/>
    <w:rsid w:val="0092656E"/>
    <w:rsid w:val="00926A50"/>
    <w:rsid w:val="00927906"/>
    <w:rsid w:val="00932542"/>
    <w:rsid w:val="0093499A"/>
    <w:rsid w:val="00941945"/>
    <w:rsid w:val="00944B42"/>
    <w:rsid w:val="00945194"/>
    <w:rsid w:val="0094527A"/>
    <w:rsid w:val="00946A1A"/>
    <w:rsid w:val="00947617"/>
    <w:rsid w:val="009524DF"/>
    <w:rsid w:val="00957190"/>
    <w:rsid w:val="00965BAF"/>
    <w:rsid w:val="00974D56"/>
    <w:rsid w:val="0098187E"/>
    <w:rsid w:val="00983B73"/>
    <w:rsid w:val="00987400"/>
    <w:rsid w:val="00994AD8"/>
    <w:rsid w:val="00994F00"/>
    <w:rsid w:val="00997F80"/>
    <w:rsid w:val="009A06EC"/>
    <w:rsid w:val="009A124C"/>
    <w:rsid w:val="009A611A"/>
    <w:rsid w:val="009B023C"/>
    <w:rsid w:val="009B24C8"/>
    <w:rsid w:val="009B3900"/>
    <w:rsid w:val="009D41A5"/>
    <w:rsid w:val="009D425C"/>
    <w:rsid w:val="009D4D0A"/>
    <w:rsid w:val="009E410D"/>
    <w:rsid w:val="009F69C3"/>
    <w:rsid w:val="009F7B11"/>
    <w:rsid w:val="00A0440C"/>
    <w:rsid w:val="00A063F9"/>
    <w:rsid w:val="00A071CB"/>
    <w:rsid w:val="00A15056"/>
    <w:rsid w:val="00A178FC"/>
    <w:rsid w:val="00A225A4"/>
    <w:rsid w:val="00A22994"/>
    <w:rsid w:val="00A235BD"/>
    <w:rsid w:val="00A2488A"/>
    <w:rsid w:val="00A26E69"/>
    <w:rsid w:val="00A3629F"/>
    <w:rsid w:val="00A3660D"/>
    <w:rsid w:val="00A4000F"/>
    <w:rsid w:val="00A42566"/>
    <w:rsid w:val="00A44D9A"/>
    <w:rsid w:val="00A522D4"/>
    <w:rsid w:val="00A5779A"/>
    <w:rsid w:val="00A64E01"/>
    <w:rsid w:val="00A71FE9"/>
    <w:rsid w:val="00A727C5"/>
    <w:rsid w:val="00A77FF4"/>
    <w:rsid w:val="00A83100"/>
    <w:rsid w:val="00A84147"/>
    <w:rsid w:val="00A900F2"/>
    <w:rsid w:val="00A9016C"/>
    <w:rsid w:val="00A90482"/>
    <w:rsid w:val="00A916B9"/>
    <w:rsid w:val="00A93237"/>
    <w:rsid w:val="00AA4188"/>
    <w:rsid w:val="00AA6020"/>
    <w:rsid w:val="00AB118C"/>
    <w:rsid w:val="00AB482C"/>
    <w:rsid w:val="00AB517B"/>
    <w:rsid w:val="00AC3272"/>
    <w:rsid w:val="00AC5ADC"/>
    <w:rsid w:val="00AD0328"/>
    <w:rsid w:val="00AD31BA"/>
    <w:rsid w:val="00AD5C14"/>
    <w:rsid w:val="00AD615C"/>
    <w:rsid w:val="00AD6594"/>
    <w:rsid w:val="00AD6B82"/>
    <w:rsid w:val="00AE37B2"/>
    <w:rsid w:val="00AE52C3"/>
    <w:rsid w:val="00AE5594"/>
    <w:rsid w:val="00AE5778"/>
    <w:rsid w:val="00AF4B6A"/>
    <w:rsid w:val="00AF79E3"/>
    <w:rsid w:val="00B008DB"/>
    <w:rsid w:val="00B02562"/>
    <w:rsid w:val="00B0638F"/>
    <w:rsid w:val="00B10785"/>
    <w:rsid w:val="00B12DA3"/>
    <w:rsid w:val="00B14E75"/>
    <w:rsid w:val="00B173F7"/>
    <w:rsid w:val="00B249A9"/>
    <w:rsid w:val="00B26614"/>
    <w:rsid w:val="00B3088D"/>
    <w:rsid w:val="00B3401F"/>
    <w:rsid w:val="00B43282"/>
    <w:rsid w:val="00B459A6"/>
    <w:rsid w:val="00B50115"/>
    <w:rsid w:val="00B52476"/>
    <w:rsid w:val="00B570F0"/>
    <w:rsid w:val="00B575F7"/>
    <w:rsid w:val="00B578CF"/>
    <w:rsid w:val="00B621CC"/>
    <w:rsid w:val="00B641CC"/>
    <w:rsid w:val="00B67679"/>
    <w:rsid w:val="00B67BAB"/>
    <w:rsid w:val="00B73988"/>
    <w:rsid w:val="00B83238"/>
    <w:rsid w:val="00B84CC7"/>
    <w:rsid w:val="00B90307"/>
    <w:rsid w:val="00B903C7"/>
    <w:rsid w:val="00B9631A"/>
    <w:rsid w:val="00B969B3"/>
    <w:rsid w:val="00BA180B"/>
    <w:rsid w:val="00BA1FA5"/>
    <w:rsid w:val="00BA4442"/>
    <w:rsid w:val="00BA7E47"/>
    <w:rsid w:val="00BA7F05"/>
    <w:rsid w:val="00BB1878"/>
    <w:rsid w:val="00BB4784"/>
    <w:rsid w:val="00BB5007"/>
    <w:rsid w:val="00BB524B"/>
    <w:rsid w:val="00BC1B91"/>
    <w:rsid w:val="00BD09A4"/>
    <w:rsid w:val="00BD1A91"/>
    <w:rsid w:val="00BD2D2A"/>
    <w:rsid w:val="00BD3269"/>
    <w:rsid w:val="00BD3671"/>
    <w:rsid w:val="00BD4080"/>
    <w:rsid w:val="00BE05B0"/>
    <w:rsid w:val="00BE31E1"/>
    <w:rsid w:val="00BE4E1D"/>
    <w:rsid w:val="00BF016D"/>
    <w:rsid w:val="00BF0C25"/>
    <w:rsid w:val="00BF1E8D"/>
    <w:rsid w:val="00BF233B"/>
    <w:rsid w:val="00BF497A"/>
    <w:rsid w:val="00BF77D6"/>
    <w:rsid w:val="00C008A3"/>
    <w:rsid w:val="00C03804"/>
    <w:rsid w:val="00C0471C"/>
    <w:rsid w:val="00C0566A"/>
    <w:rsid w:val="00C05976"/>
    <w:rsid w:val="00C064D1"/>
    <w:rsid w:val="00C07BA2"/>
    <w:rsid w:val="00C11384"/>
    <w:rsid w:val="00C15377"/>
    <w:rsid w:val="00C16543"/>
    <w:rsid w:val="00C21021"/>
    <w:rsid w:val="00C21259"/>
    <w:rsid w:val="00C23180"/>
    <w:rsid w:val="00C237AA"/>
    <w:rsid w:val="00C27F02"/>
    <w:rsid w:val="00C33754"/>
    <w:rsid w:val="00C37F52"/>
    <w:rsid w:val="00C40545"/>
    <w:rsid w:val="00C40CCB"/>
    <w:rsid w:val="00C4390C"/>
    <w:rsid w:val="00C45C5B"/>
    <w:rsid w:val="00C5619A"/>
    <w:rsid w:val="00C6274E"/>
    <w:rsid w:val="00C6290D"/>
    <w:rsid w:val="00C62E89"/>
    <w:rsid w:val="00C631D3"/>
    <w:rsid w:val="00C64CEA"/>
    <w:rsid w:val="00C65FD2"/>
    <w:rsid w:val="00C67091"/>
    <w:rsid w:val="00C67558"/>
    <w:rsid w:val="00C67868"/>
    <w:rsid w:val="00C6789A"/>
    <w:rsid w:val="00C75342"/>
    <w:rsid w:val="00C766B7"/>
    <w:rsid w:val="00C778EF"/>
    <w:rsid w:val="00C80E97"/>
    <w:rsid w:val="00C863A6"/>
    <w:rsid w:val="00C8762F"/>
    <w:rsid w:val="00C91E01"/>
    <w:rsid w:val="00C97B2D"/>
    <w:rsid w:val="00CA28A1"/>
    <w:rsid w:val="00CA4DC0"/>
    <w:rsid w:val="00CB1AD1"/>
    <w:rsid w:val="00CC28D2"/>
    <w:rsid w:val="00CD12A0"/>
    <w:rsid w:val="00CD16ED"/>
    <w:rsid w:val="00CD6762"/>
    <w:rsid w:val="00CE0A31"/>
    <w:rsid w:val="00CE1514"/>
    <w:rsid w:val="00CE699C"/>
    <w:rsid w:val="00CF46C3"/>
    <w:rsid w:val="00CF6846"/>
    <w:rsid w:val="00CF75BE"/>
    <w:rsid w:val="00D0298D"/>
    <w:rsid w:val="00D05EB3"/>
    <w:rsid w:val="00D10363"/>
    <w:rsid w:val="00D11992"/>
    <w:rsid w:val="00D17E87"/>
    <w:rsid w:val="00D2157A"/>
    <w:rsid w:val="00D24000"/>
    <w:rsid w:val="00D256AA"/>
    <w:rsid w:val="00D31926"/>
    <w:rsid w:val="00D3229E"/>
    <w:rsid w:val="00D34975"/>
    <w:rsid w:val="00D36937"/>
    <w:rsid w:val="00D43EB7"/>
    <w:rsid w:val="00D54816"/>
    <w:rsid w:val="00D575CF"/>
    <w:rsid w:val="00D62719"/>
    <w:rsid w:val="00D64A98"/>
    <w:rsid w:val="00D66CC2"/>
    <w:rsid w:val="00D72046"/>
    <w:rsid w:val="00D72CFA"/>
    <w:rsid w:val="00D74E1B"/>
    <w:rsid w:val="00D75A0D"/>
    <w:rsid w:val="00D77170"/>
    <w:rsid w:val="00D85DF0"/>
    <w:rsid w:val="00D86200"/>
    <w:rsid w:val="00D901D0"/>
    <w:rsid w:val="00D915D6"/>
    <w:rsid w:val="00D937E7"/>
    <w:rsid w:val="00D96C99"/>
    <w:rsid w:val="00DA2352"/>
    <w:rsid w:val="00DA2E11"/>
    <w:rsid w:val="00DA4A9C"/>
    <w:rsid w:val="00DB2A36"/>
    <w:rsid w:val="00DB5B26"/>
    <w:rsid w:val="00DB5DEB"/>
    <w:rsid w:val="00DC07C8"/>
    <w:rsid w:val="00DC4881"/>
    <w:rsid w:val="00DC7719"/>
    <w:rsid w:val="00DD0260"/>
    <w:rsid w:val="00DD1F5B"/>
    <w:rsid w:val="00DD3507"/>
    <w:rsid w:val="00DD493D"/>
    <w:rsid w:val="00DE1063"/>
    <w:rsid w:val="00DE1350"/>
    <w:rsid w:val="00DE2A42"/>
    <w:rsid w:val="00DF14C6"/>
    <w:rsid w:val="00E0326E"/>
    <w:rsid w:val="00E03ED9"/>
    <w:rsid w:val="00E05B72"/>
    <w:rsid w:val="00E076C9"/>
    <w:rsid w:val="00E12151"/>
    <w:rsid w:val="00E13AA9"/>
    <w:rsid w:val="00E17355"/>
    <w:rsid w:val="00E24AF0"/>
    <w:rsid w:val="00E2775D"/>
    <w:rsid w:val="00E27CA2"/>
    <w:rsid w:val="00E34438"/>
    <w:rsid w:val="00E34800"/>
    <w:rsid w:val="00E406AD"/>
    <w:rsid w:val="00E42AE6"/>
    <w:rsid w:val="00E50DC7"/>
    <w:rsid w:val="00E578FD"/>
    <w:rsid w:val="00E607FD"/>
    <w:rsid w:val="00E61466"/>
    <w:rsid w:val="00E63B9B"/>
    <w:rsid w:val="00E63CD9"/>
    <w:rsid w:val="00E66792"/>
    <w:rsid w:val="00E70AFF"/>
    <w:rsid w:val="00E72E82"/>
    <w:rsid w:val="00E80BFB"/>
    <w:rsid w:val="00E85DC5"/>
    <w:rsid w:val="00E96328"/>
    <w:rsid w:val="00E97A4E"/>
    <w:rsid w:val="00EA020B"/>
    <w:rsid w:val="00EA2E3B"/>
    <w:rsid w:val="00EA6E11"/>
    <w:rsid w:val="00EA786B"/>
    <w:rsid w:val="00EB1DD3"/>
    <w:rsid w:val="00EB20AD"/>
    <w:rsid w:val="00EB2993"/>
    <w:rsid w:val="00EB2A84"/>
    <w:rsid w:val="00EB5685"/>
    <w:rsid w:val="00EC0A3F"/>
    <w:rsid w:val="00EC6EBE"/>
    <w:rsid w:val="00ED10B1"/>
    <w:rsid w:val="00ED39FF"/>
    <w:rsid w:val="00ED3CC0"/>
    <w:rsid w:val="00ED6B67"/>
    <w:rsid w:val="00ED73B5"/>
    <w:rsid w:val="00EE1C1E"/>
    <w:rsid w:val="00EE5575"/>
    <w:rsid w:val="00EF1CE9"/>
    <w:rsid w:val="00EF339B"/>
    <w:rsid w:val="00EF3909"/>
    <w:rsid w:val="00EF68F7"/>
    <w:rsid w:val="00F03F2E"/>
    <w:rsid w:val="00F12291"/>
    <w:rsid w:val="00F13FAD"/>
    <w:rsid w:val="00F148E7"/>
    <w:rsid w:val="00F20A0D"/>
    <w:rsid w:val="00F20C7F"/>
    <w:rsid w:val="00F22BBF"/>
    <w:rsid w:val="00F255BE"/>
    <w:rsid w:val="00F313A3"/>
    <w:rsid w:val="00F34700"/>
    <w:rsid w:val="00F40A40"/>
    <w:rsid w:val="00F41806"/>
    <w:rsid w:val="00F44F87"/>
    <w:rsid w:val="00F4518C"/>
    <w:rsid w:val="00F519A0"/>
    <w:rsid w:val="00F52E6F"/>
    <w:rsid w:val="00F54000"/>
    <w:rsid w:val="00F546F4"/>
    <w:rsid w:val="00F61F07"/>
    <w:rsid w:val="00F65D61"/>
    <w:rsid w:val="00F73BF9"/>
    <w:rsid w:val="00F760BF"/>
    <w:rsid w:val="00F83456"/>
    <w:rsid w:val="00F9110D"/>
    <w:rsid w:val="00F94403"/>
    <w:rsid w:val="00F94853"/>
    <w:rsid w:val="00FA260E"/>
    <w:rsid w:val="00FB20E3"/>
    <w:rsid w:val="00FC0F5F"/>
    <w:rsid w:val="00FC1B0A"/>
    <w:rsid w:val="00FC2F68"/>
    <w:rsid w:val="00FC46E4"/>
    <w:rsid w:val="00FC5F71"/>
    <w:rsid w:val="00FE1973"/>
    <w:rsid w:val="00FE346D"/>
    <w:rsid w:val="00FE7062"/>
    <w:rsid w:val="00FF0AD0"/>
    <w:rsid w:val="00FF381C"/>
    <w:rsid w:val="00FF7B4D"/>
    <w:rsid w:val="02DA1A99"/>
    <w:rsid w:val="042D575A"/>
    <w:rsid w:val="04D9B570"/>
    <w:rsid w:val="04EFBF2B"/>
    <w:rsid w:val="06336AEC"/>
    <w:rsid w:val="13286832"/>
    <w:rsid w:val="13BCFF02"/>
    <w:rsid w:val="202468FC"/>
    <w:rsid w:val="22131671"/>
    <w:rsid w:val="229225E5"/>
    <w:rsid w:val="267F97CA"/>
    <w:rsid w:val="292A9E77"/>
    <w:rsid w:val="2DDA42C0"/>
    <w:rsid w:val="2FC813CE"/>
    <w:rsid w:val="313979FF"/>
    <w:rsid w:val="38CC51DB"/>
    <w:rsid w:val="39B85FF6"/>
    <w:rsid w:val="3BEF9248"/>
    <w:rsid w:val="3CDDBAC5"/>
    <w:rsid w:val="49D94949"/>
    <w:rsid w:val="4A3D843D"/>
    <w:rsid w:val="4AA2524B"/>
    <w:rsid w:val="4C7FF883"/>
    <w:rsid w:val="5106455E"/>
    <w:rsid w:val="5A3E096E"/>
    <w:rsid w:val="5A76720D"/>
    <w:rsid w:val="5BA6E8C7"/>
    <w:rsid w:val="739C9B6F"/>
    <w:rsid w:val="775CCBC5"/>
    <w:rsid w:val="79C52DBD"/>
    <w:rsid w:val="7B5E2A8B"/>
    <w:rsid w:val="7DAD48F6"/>
    <w:rsid w:val="7DD4A7CF"/>
    <w:rsid w:val="7F143CB7"/>
  </w:rsids>
  <w:themeFontLang w:bidi="ar-SA" w:eastAsia="ko-KR"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ja-JP"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0"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0E4FAE"/>
    <w:rPr>
      <w:rFonts w:ascii="Arial" w:hAnsi="Arial"/>
    </w:rPr>
  </w:style>
  <w:style w:styleId="Heading1" w:type="paragraph">
    <w:name w:val="heading 1"/>
    <w:basedOn w:val="Normal"/>
    <w:next w:val="Normal"/>
    <w:link w:val="Heading1Char"/>
    <w:uiPriority w:val="9"/>
    <w:qFormat/>
    <w:rsid w:val="000E4FAE"/>
    <w:pPr>
      <w:keepNext/>
      <w:keepLines/>
      <w:spacing w:after="0" w:before="480"/>
      <w:jc w:val="center"/>
      <w:outlineLvl w:val="0"/>
    </w:pPr>
    <w:rPr>
      <w:rFonts w:ascii="Arial Black" w:cstheme="majorBidi" w:eastAsiaTheme="majorEastAsia" w:hAnsi="Arial Black"/>
      <w:b/>
      <w:bCs/>
      <w:sz w:val="36"/>
      <w:szCs w:val="28"/>
    </w:rPr>
  </w:style>
  <w:style w:styleId="Heading2" w:type="paragraph">
    <w:name w:val="heading 2"/>
    <w:basedOn w:val="Normal"/>
    <w:next w:val="Normal"/>
    <w:link w:val="Heading2Char"/>
    <w:qFormat/>
    <w:rsid w:val="007C7F53"/>
    <w:pPr>
      <w:keepNext/>
      <w:pBdr>
        <w:top w:color="auto" w:space="1" w:sz="6" w:val="single"/>
        <w:left w:color="auto" w:space="1" w:sz="6" w:val="single"/>
        <w:bottom w:color="auto" w:space="1" w:sz="6" w:val="single"/>
        <w:right w:color="auto" w:space="1" w:sz="6" w:val="single"/>
      </w:pBdr>
      <w:shd w:color="auto" w:fill="auto" w:val="pct5"/>
      <w:spacing w:after="0" w:line="240" w:lineRule="auto"/>
      <w:outlineLvl w:val="1"/>
    </w:pPr>
    <w:rPr>
      <w:rFonts w:ascii="Arial Black" w:cs="Times New Roman" w:eastAsia="Times New Roman" w:hAnsi="Arial Black"/>
      <w:i/>
      <w:szCs w:val="20"/>
      <w:lang w:eastAsia="en-US"/>
    </w:rPr>
  </w:style>
  <w:style w:styleId="Heading3" w:type="paragraph">
    <w:name w:val="heading 3"/>
    <w:basedOn w:val="Normal"/>
    <w:next w:val="Normal"/>
    <w:link w:val="Heading3Char"/>
    <w:uiPriority w:val="9"/>
    <w:unhideWhenUsed/>
    <w:qFormat/>
    <w:rsid w:val="003570AB"/>
    <w:pPr>
      <w:keepNext/>
      <w:keepLines/>
      <w:spacing w:after="0" w:before="40"/>
      <w:outlineLvl w:val="2"/>
    </w:pPr>
    <w:rPr>
      <w:rFonts w:ascii="Arial Black" w:cstheme="majorBidi" w:eastAsiaTheme="majorEastAsia" w:hAnsi="Arial Black"/>
      <w:b/>
      <w:sz w:val="24"/>
      <w:szCs w:val="24"/>
    </w:rPr>
  </w:style>
  <w:style w:styleId="Heading4" w:type="paragraph">
    <w:name w:val="heading 4"/>
    <w:basedOn w:val="Normal"/>
    <w:next w:val="Normal"/>
    <w:link w:val="Heading4Char"/>
    <w:uiPriority w:val="9"/>
    <w:semiHidden/>
    <w:unhideWhenUsed/>
    <w:qFormat/>
    <w:rsid w:val="0067626A"/>
    <w:pPr>
      <w:keepNext/>
      <w:keepLines/>
      <w:spacing w:after="0" w:before="40"/>
      <w:outlineLvl w:val="3"/>
    </w:pPr>
    <w:rPr>
      <w:rFonts w:asciiTheme="majorHAnsi" w:cstheme="majorBidi" w:eastAsiaTheme="majorEastAsia" w:hAnsiTheme="majorHAnsi"/>
      <w:i/>
      <w:iCs/>
      <w:color w:themeColor="accent1" w:themeShade="BF" w:val="365F91"/>
    </w:rPr>
  </w:style>
  <w:style w:styleId="Heading5" w:type="paragraph">
    <w:name w:val="heading 5"/>
    <w:basedOn w:val="Normal"/>
    <w:next w:val="Normal"/>
    <w:link w:val="Heading5Char"/>
    <w:uiPriority w:val="9"/>
    <w:semiHidden/>
    <w:unhideWhenUsed/>
    <w:qFormat/>
    <w:rsid w:val="003638CF"/>
    <w:pPr>
      <w:keepNext/>
      <w:keepLines/>
      <w:spacing w:after="0" w:before="40"/>
      <w:outlineLvl w:val="4"/>
    </w:pPr>
    <w:rPr>
      <w:rFonts w:asciiTheme="majorHAnsi" w:cstheme="majorBidi" w:eastAsiaTheme="majorEastAsia" w:hAnsiTheme="majorHAnsi"/>
      <w:color w:themeColor="accent1" w:themeShade="BF" w:val="365F91"/>
    </w:rPr>
  </w:style>
  <w:style w:styleId="Heading6" w:type="paragraph">
    <w:name w:val="heading 6"/>
    <w:basedOn w:val="Normal"/>
    <w:next w:val="Normal"/>
    <w:link w:val="Heading6Char"/>
    <w:uiPriority w:val="9"/>
    <w:semiHidden/>
    <w:unhideWhenUsed/>
    <w:qFormat/>
    <w:rsid w:val="003638CF"/>
    <w:pPr>
      <w:keepNext/>
      <w:keepLines/>
      <w:spacing w:after="0" w:before="40"/>
      <w:outlineLvl w:val="5"/>
    </w:pPr>
    <w:rPr>
      <w:rFonts w:asciiTheme="majorHAnsi" w:cstheme="majorBidi" w:eastAsiaTheme="majorEastAsia" w:hAnsiTheme="majorHAnsi"/>
      <w:color w:themeColor="accent1" w:themeShade="7F" w:val="243F60"/>
    </w:rPr>
  </w:style>
  <w:style w:styleId="Heading7" w:type="paragraph">
    <w:name w:val="heading 7"/>
    <w:basedOn w:val="Normal"/>
    <w:next w:val="Normal"/>
    <w:link w:val="Heading7Char"/>
    <w:uiPriority w:val="9"/>
    <w:semiHidden/>
    <w:unhideWhenUsed/>
    <w:qFormat/>
    <w:rsid w:val="003638CF"/>
    <w:pPr>
      <w:keepNext/>
      <w:keepLines/>
      <w:spacing w:after="0" w:before="40"/>
      <w:outlineLvl w:val="6"/>
    </w:pPr>
    <w:rPr>
      <w:rFonts w:asciiTheme="majorHAnsi" w:cstheme="majorBidi" w:eastAsiaTheme="majorEastAsia" w:hAnsiTheme="majorHAnsi"/>
      <w:i/>
      <w:iCs/>
      <w:color w:themeColor="accent1" w:themeShade="7F" w:val="243F60"/>
    </w:rPr>
  </w:style>
  <w:style w:styleId="Heading8" w:type="paragraph">
    <w:name w:val="heading 8"/>
    <w:basedOn w:val="Normal"/>
    <w:next w:val="Normal"/>
    <w:link w:val="Heading8Char"/>
    <w:uiPriority w:val="9"/>
    <w:semiHidden/>
    <w:unhideWhenUsed/>
    <w:qFormat/>
    <w:rsid w:val="003638CF"/>
    <w:pPr>
      <w:keepNext/>
      <w:keepLines/>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3638CF"/>
    <w:pPr>
      <w:keepNext/>
      <w:keepLines/>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alloonText" w:type="paragraph">
    <w:name w:val="Balloon Text"/>
    <w:basedOn w:val="Normal"/>
    <w:link w:val="BalloonTextChar"/>
    <w:uiPriority w:val="99"/>
    <w:semiHidden/>
    <w:unhideWhenUsed/>
    <w:rsid w:val="007A79DC"/>
    <w:pPr>
      <w:spacing w:after="0" w:line="240" w:lineRule="auto"/>
    </w:pPr>
    <w:rPr>
      <w:rFonts w:ascii="Times New Roman" w:cs="Times New Roman" w:hAnsi="Times New Roman"/>
      <w:sz w:val="16"/>
      <w:szCs w:val="16"/>
    </w:rPr>
  </w:style>
  <w:style w:customStyle="1" w:styleId="BalloonTextChar" w:type="character">
    <w:name w:val="Balloon Text Char"/>
    <w:basedOn w:val="DefaultParagraphFont"/>
    <w:link w:val="BalloonText"/>
    <w:uiPriority w:val="99"/>
    <w:semiHidden/>
    <w:rsid w:val="007A79DC"/>
    <w:rPr>
      <w:rFonts w:ascii="Times New Roman" w:cs="Times New Roman" w:hAnsi="Times New Roman"/>
      <w:sz w:val="16"/>
      <w:szCs w:val="16"/>
    </w:rPr>
  </w:style>
  <w:style w:customStyle="1" w:styleId="Heading2Char" w:type="character">
    <w:name w:val="Heading 2 Char"/>
    <w:basedOn w:val="DefaultParagraphFont"/>
    <w:link w:val="Heading2"/>
    <w:rsid w:val="007C7F53"/>
    <w:rPr>
      <w:rFonts w:ascii="Arial Black" w:cs="Times New Roman" w:eastAsia="Times New Roman" w:hAnsi="Arial Black"/>
      <w:i/>
      <w:szCs w:val="20"/>
      <w:shd w:color="auto" w:fill="auto" w:val="pct5"/>
      <w:lang w:eastAsia="en-US"/>
    </w:rPr>
  </w:style>
  <w:style w:customStyle="1" w:styleId="StyleHeading211ptPink" w:type="paragraph">
    <w:name w:val="Style Heading 2 + 11 pt Pink"/>
    <w:basedOn w:val="Heading2"/>
    <w:link w:val="StyleHeading211ptPinkChar"/>
    <w:rsid w:val="007A79DC"/>
    <w:rPr>
      <w:smallCaps/>
      <w:color w:val="000000"/>
    </w:rPr>
  </w:style>
  <w:style w:customStyle="1" w:styleId="StyleHeading211ptPinkChar" w:type="character">
    <w:name w:val="Style Heading 2 + 11 pt Pink Char"/>
    <w:basedOn w:val="Heading2Char"/>
    <w:link w:val="StyleHeading211ptPink"/>
    <w:rsid w:val="007A79DC"/>
    <w:rPr>
      <w:rFonts w:ascii="Arial Black" w:cs="Times New Roman" w:eastAsia="Times New Roman" w:hAnsi="Arial Black"/>
      <w:i/>
      <w:smallCaps/>
      <w:color w:val="000000"/>
      <w:sz w:val="44"/>
      <w:szCs w:val="20"/>
      <w:shd w:color="auto" w:fill="auto" w:val="pct5"/>
      <w:lang w:eastAsia="en-US"/>
    </w:rPr>
  </w:style>
  <w:style w:customStyle="1" w:styleId="Style14ptBoldSmallcaps" w:type="character">
    <w:name w:val="Style 14 pt Bold Small caps"/>
    <w:basedOn w:val="DefaultParagraphFont"/>
    <w:rsid w:val="007A79DC"/>
    <w:rPr>
      <w:rFonts w:ascii="Arial" w:hAnsi="Arial"/>
      <w:b/>
      <w:bCs/>
      <w:caps/>
      <w:sz w:val="28"/>
    </w:rPr>
  </w:style>
  <w:style w:customStyle="1" w:styleId="Style16ptSmallcapsCentered" w:type="paragraph">
    <w:name w:val="Style 16 pt Small caps Centered"/>
    <w:basedOn w:val="Normal"/>
    <w:rsid w:val="007A79DC"/>
    <w:pPr>
      <w:spacing w:after="0" w:line="240" w:lineRule="auto"/>
      <w:jc w:val="center"/>
    </w:pPr>
    <w:rPr>
      <w:rFonts w:cs="Times New Roman" w:eastAsia="Times New Roman"/>
      <w:smallCaps/>
      <w:sz w:val="32"/>
      <w:szCs w:val="20"/>
      <w:lang w:eastAsia="en-US"/>
    </w:rPr>
  </w:style>
  <w:style w:customStyle="1" w:styleId="StyleHeading118ptSmallcaps" w:type="paragraph">
    <w:name w:val="Style Heading 1 + 18 pt Small caps"/>
    <w:basedOn w:val="Heading1"/>
    <w:rsid w:val="007A79DC"/>
    <w:pPr>
      <w:keepLines w:val="0"/>
      <w:spacing w:before="0" w:line="240" w:lineRule="auto"/>
    </w:pPr>
    <w:rPr>
      <w:rFonts w:ascii="Arial" w:cs="Times New Roman" w:eastAsia="Times New Roman" w:hAnsi="Arial"/>
      <w:b w:val="0"/>
      <w:bCs w:val="0"/>
      <w:caps/>
      <w:szCs w:val="24"/>
      <w:lang w:eastAsia="en-US"/>
    </w:rPr>
  </w:style>
  <w:style w:customStyle="1" w:styleId="Style10ptCentered" w:type="paragraph">
    <w:name w:val="Style 10 pt Centered"/>
    <w:basedOn w:val="Normal"/>
    <w:autoRedefine/>
    <w:rsid w:val="007A79DC"/>
    <w:pPr>
      <w:spacing w:after="0" w:line="240" w:lineRule="auto"/>
      <w:jc w:val="center"/>
    </w:pPr>
    <w:rPr>
      <w:rFonts w:cs="Times New Roman" w:eastAsia="Times New Roman"/>
      <w:sz w:val="20"/>
      <w:szCs w:val="20"/>
      <w:lang w:eastAsia="en-US"/>
    </w:rPr>
  </w:style>
  <w:style w:customStyle="1" w:styleId="Heading1Char" w:type="character">
    <w:name w:val="Heading 1 Char"/>
    <w:basedOn w:val="DefaultParagraphFont"/>
    <w:link w:val="Heading1"/>
    <w:uiPriority w:val="9"/>
    <w:rsid w:val="000E4FAE"/>
    <w:rPr>
      <w:rFonts w:ascii="Arial Black" w:cstheme="majorBidi" w:eastAsiaTheme="majorEastAsia" w:hAnsi="Arial Black"/>
      <w:b/>
      <w:bCs/>
      <w:sz w:val="36"/>
      <w:szCs w:val="28"/>
    </w:rPr>
  </w:style>
  <w:style w:styleId="BodyText" w:type="paragraph">
    <w:name w:val="Body Text"/>
    <w:basedOn w:val="Normal"/>
    <w:link w:val="BodyTextChar"/>
    <w:rsid w:val="007A79DC"/>
    <w:pPr>
      <w:spacing w:after="0" w:line="240" w:lineRule="auto"/>
    </w:pPr>
    <w:rPr>
      <w:rFonts w:ascii="Times New Roman" w:cs="Times New Roman" w:eastAsia="Times New Roman" w:hAnsi="Times New Roman"/>
      <w:b/>
      <w:color w:val="000000"/>
      <w:szCs w:val="20"/>
      <w:lang w:eastAsia="en-US"/>
    </w:rPr>
  </w:style>
  <w:style w:customStyle="1" w:styleId="BodyTextChar" w:type="character">
    <w:name w:val="Body Text Char"/>
    <w:basedOn w:val="DefaultParagraphFont"/>
    <w:link w:val="BodyText"/>
    <w:rsid w:val="007A79DC"/>
    <w:rPr>
      <w:rFonts w:ascii="Times New Roman" w:cs="Times New Roman" w:eastAsia="Times New Roman" w:hAnsi="Times New Roman"/>
      <w:b/>
      <w:color w:val="000000"/>
      <w:szCs w:val="20"/>
      <w:lang w:eastAsia="en-US"/>
    </w:rPr>
  </w:style>
  <w:style w:styleId="BodyText2" w:type="paragraph">
    <w:name w:val="Body Text 2"/>
    <w:basedOn w:val="Normal"/>
    <w:link w:val="BodyText2Char"/>
    <w:rsid w:val="007A79DC"/>
    <w:pPr>
      <w:spacing w:after="0" w:line="240" w:lineRule="auto"/>
    </w:pPr>
    <w:rPr>
      <w:rFonts w:ascii="Times New Roman" w:cs="Times New Roman" w:eastAsia="Times New Roman" w:hAnsi="Times New Roman"/>
      <w:szCs w:val="20"/>
      <w:lang w:eastAsia="en-US"/>
    </w:rPr>
  </w:style>
  <w:style w:customStyle="1" w:styleId="BodyText2Char" w:type="character">
    <w:name w:val="Body Text 2 Char"/>
    <w:basedOn w:val="DefaultParagraphFont"/>
    <w:link w:val="BodyText2"/>
    <w:rsid w:val="007A79DC"/>
    <w:rPr>
      <w:rFonts w:ascii="Times New Roman" w:cs="Times New Roman" w:eastAsia="Times New Roman" w:hAnsi="Times New Roman"/>
      <w:szCs w:val="20"/>
      <w:lang w:eastAsia="en-US"/>
    </w:rPr>
  </w:style>
  <w:style w:styleId="Hyperlink" w:type="character">
    <w:name w:val="Hyperlink"/>
    <w:basedOn w:val="DefaultParagraphFont"/>
    <w:uiPriority w:val="99"/>
    <w:rsid w:val="007A79DC"/>
    <w:rPr>
      <w:color w:val="0000FF"/>
      <w:u w:val="single"/>
    </w:rPr>
  </w:style>
  <w:style w:customStyle="1" w:styleId="subhead2" w:type="character">
    <w:name w:val="subhead2"/>
    <w:basedOn w:val="DefaultParagraphFont"/>
    <w:rsid w:val="007A79DC"/>
    <w:rPr>
      <w:b/>
      <w:bCs/>
      <w:caps/>
      <w:sz w:val="28"/>
    </w:rPr>
  </w:style>
  <w:style w:customStyle="1" w:styleId="subhead1" w:type="character">
    <w:name w:val="subhead1"/>
    <w:basedOn w:val="DefaultParagraphFont"/>
    <w:rsid w:val="007A79DC"/>
    <w:rPr>
      <w:rFonts w:ascii="Arial" w:hAnsi="Arial"/>
      <w:b/>
      <w:bCs/>
      <w:sz w:val="22"/>
    </w:rPr>
  </w:style>
  <w:style w:customStyle="1" w:styleId="StyleStyle14ptBoldSmallcapsNotBold" w:type="character">
    <w:name w:val="Style Style 14 pt Bold Small caps + Not Bold"/>
    <w:basedOn w:val="Style14ptBoldSmallcaps"/>
    <w:rsid w:val="007A79DC"/>
    <w:rPr>
      <w:rFonts w:ascii="Arial" w:hAnsi="Arial"/>
      <w:b/>
      <w:bCs/>
      <w:caps/>
      <w:sz w:val="28"/>
    </w:rPr>
  </w:style>
  <w:style w:styleId="Header" w:type="paragraph">
    <w:name w:val="header"/>
    <w:basedOn w:val="Normal"/>
    <w:link w:val="HeaderChar"/>
    <w:uiPriority w:val="99"/>
    <w:unhideWhenUsed/>
    <w:rsid w:val="007A79DC"/>
    <w:pPr>
      <w:tabs>
        <w:tab w:pos="4680" w:val="center"/>
        <w:tab w:pos="9360" w:val="right"/>
      </w:tabs>
      <w:spacing w:after="0" w:line="240" w:lineRule="auto"/>
    </w:pPr>
  </w:style>
  <w:style w:customStyle="1" w:styleId="HeaderChar" w:type="character">
    <w:name w:val="Header Char"/>
    <w:basedOn w:val="DefaultParagraphFont"/>
    <w:link w:val="Header"/>
    <w:uiPriority w:val="99"/>
    <w:rsid w:val="007A79DC"/>
  </w:style>
  <w:style w:styleId="Footer" w:type="paragraph">
    <w:name w:val="footer"/>
    <w:basedOn w:val="Normal"/>
    <w:link w:val="FooterChar"/>
    <w:unhideWhenUsed/>
    <w:rsid w:val="007A79DC"/>
    <w:pPr>
      <w:tabs>
        <w:tab w:pos="4680" w:val="center"/>
        <w:tab w:pos="9360" w:val="right"/>
      </w:tabs>
      <w:spacing w:after="0" w:line="240" w:lineRule="auto"/>
    </w:pPr>
  </w:style>
  <w:style w:customStyle="1" w:styleId="FooterChar" w:type="character">
    <w:name w:val="Footer Char"/>
    <w:basedOn w:val="DefaultParagraphFont"/>
    <w:link w:val="Footer"/>
    <w:uiPriority w:val="99"/>
    <w:semiHidden/>
    <w:rsid w:val="007A79DC"/>
  </w:style>
  <w:style w:styleId="PageNumber" w:type="character">
    <w:name w:val="page number"/>
    <w:basedOn w:val="DefaultParagraphFont"/>
    <w:rsid w:val="007A79DC"/>
  </w:style>
  <w:style w:styleId="ListParagraph" w:type="paragraph">
    <w:name w:val="List Paragraph"/>
    <w:basedOn w:val="Normal"/>
    <w:uiPriority w:val="34"/>
    <w:qFormat/>
    <w:rsid w:val="00710BF4"/>
    <w:pPr>
      <w:ind w:left="720"/>
      <w:contextualSpacing/>
    </w:pPr>
  </w:style>
  <w:style w:styleId="CommentReference" w:type="character">
    <w:name w:val="annotation reference"/>
    <w:basedOn w:val="DefaultParagraphFont"/>
    <w:uiPriority w:val="99"/>
    <w:semiHidden/>
    <w:unhideWhenUsed/>
    <w:rsid w:val="00DD1F5B"/>
    <w:rPr>
      <w:sz w:val="16"/>
      <w:szCs w:val="16"/>
    </w:rPr>
  </w:style>
  <w:style w:styleId="CommentText" w:type="paragraph">
    <w:name w:val="annotation text"/>
    <w:basedOn w:val="Normal"/>
    <w:link w:val="CommentTextChar"/>
    <w:uiPriority w:val="99"/>
    <w:unhideWhenUsed/>
    <w:rsid w:val="00DD1F5B"/>
    <w:pPr>
      <w:spacing w:line="240" w:lineRule="auto"/>
    </w:pPr>
    <w:rPr>
      <w:sz w:val="20"/>
      <w:szCs w:val="20"/>
    </w:rPr>
  </w:style>
  <w:style w:customStyle="1" w:styleId="CommentTextChar" w:type="character">
    <w:name w:val="Comment Text Char"/>
    <w:basedOn w:val="DefaultParagraphFont"/>
    <w:link w:val="CommentText"/>
    <w:uiPriority w:val="99"/>
    <w:rsid w:val="00DD1F5B"/>
    <w:rPr>
      <w:sz w:val="20"/>
      <w:szCs w:val="20"/>
    </w:rPr>
  </w:style>
  <w:style w:styleId="CommentSubject" w:type="paragraph">
    <w:name w:val="annotation subject"/>
    <w:basedOn w:val="CommentText"/>
    <w:next w:val="CommentText"/>
    <w:link w:val="CommentSubjectChar"/>
    <w:uiPriority w:val="99"/>
    <w:semiHidden/>
    <w:unhideWhenUsed/>
    <w:rsid w:val="00DD1F5B"/>
    <w:rPr>
      <w:b/>
      <w:bCs/>
    </w:rPr>
  </w:style>
  <w:style w:customStyle="1" w:styleId="CommentSubjectChar" w:type="character">
    <w:name w:val="Comment Subject Char"/>
    <w:basedOn w:val="CommentTextChar"/>
    <w:link w:val="CommentSubject"/>
    <w:uiPriority w:val="99"/>
    <w:semiHidden/>
    <w:rsid w:val="00DD1F5B"/>
    <w:rPr>
      <w:b/>
      <w:bCs/>
      <w:sz w:val="20"/>
      <w:szCs w:val="20"/>
    </w:rPr>
  </w:style>
  <w:style w:customStyle="1" w:styleId="Heading3Char" w:type="character">
    <w:name w:val="Heading 3 Char"/>
    <w:basedOn w:val="DefaultParagraphFont"/>
    <w:link w:val="Heading3"/>
    <w:uiPriority w:val="9"/>
    <w:rsid w:val="003570AB"/>
    <w:rPr>
      <w:rFonts w:ascii="Arial Black" w:cstheme="majorBidi" w:eastAsiaTheme="majorEastAsia" w:hAnsi="Arial Black"/>
      <w:b/>
      <w:sz w:val="24"/>
      <w:szCs w:val="24"/>
    </w:rPr>
  </w:style>
  <w:style w:styleId="NoSpacing" w:type="paragraph">
    <w:name w:val="No Spacing"/>
    <w:uiPriority w:val="1"/>
    <w:qFormat/>
    <w:rsid w:val="00946A1A"/>
    <w:pPr>
      <w:spacing w:after="0" w:line="240" w:lineRule="auto"/>
    </w:pPr>
    <w:rPr>
      <w:rFonts w:ascii="Arial" w:hAnsi="Arial"/>
    </w:rPr>
  </w:style>
  <w:style w:styleId="ListBullet" w:type="paragraph">
    <w:name w:val="List Bullet"/>
    <w:basedOn w:val="Normal"/>
    <w:uiPriority w:val="99"/>
    <w:unhideWhenUsed/>
    <w:rsid w:val="003D6C3C"/>
    <w:pPr>
      <w:numPr>
        <w:numId w:val="7"/>
      </w:numPr>
      <w:contextualSpacing/>
    </w:pPr>
  </w:style>
  <w:style w:styleId="FollowedHyperlink" w:type="character">
    <w:name w:val="FollowedHyperlink"/>
    <w:basedOn w:val="DefaultParagraphFont"/>
    <w:uiPriority w:val="99"/>
    <w:semiHidden/>
    <w:unhideWhenUsed/>
    <w:rsid w:val="00E03ED9"/>
    <w:rPr>
      <w:color w:themeColor="followedHyperlink" w:val="800080"/>
      <w:u w:val="single"/>
    </w:rPr>
  </w:style>
  <w:style w:styleId="TableGrid" w:type="table">
    <w:name w:val="Table Grid"/>
    <w:basedOn w:val="TableNormal"/>
    <w:uiPriority w:val="39"/>
    <w:rsid w:val="0029469A"/>
    <w:pPr>
      <w:spacing w:after="0" w:line="240" w:lineRule="auto"/>
    </w:pPr>
    <w:rPr>
      <w:rFonts w:eastAsiaTheme="minorHAnsi"/>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UnresolvedMention" w:type="character">
    <w:name w:val="Unresolved Mention"/>
    <w:basedOn w:val="DefaultParagraphFont"/>
    <w:uiPriority w:val="99"/>
    <w:semiHidden/>
    <w:unhideWhenUsed/>
    <w:rsid w:val="00BF497A"/>
    <w:rPr>
      <w:color w:val="605E5C"/>
      <w:shd w:color="auto" w:fill="E1DFDD" w:val="clear"/>
    </w:rPr>
  </w:style>
  <w:style w:customStyle="1" w:styleId="Heading4Char" w:type="character">
    <w:name w:val="Heading 4 Char"/>
    <w:basedOn w:val="DefaultParagraphFont"/>
    <w:link w:val="Heading4"/>
    <w:uiPriority w:val="9"/>
    <w:semiHidden/>
    <w:rsid w:val="0067626A"/>
    <w:rPr>
      <w:rFonts w:asciiTheme="majorHAnsi" w:cstheme="majorBidi" w:eastAsiaTheme="majorEastAsia" w:hAnsiTheme="majorHAnsi"/>
      <w:i/>
      <w:iCs/>
      <w:color w:themeColor="accent1" w:themeShade="BF" w:val="365F91"/>
    </w:rPr>
  </w:style>
  <w:style w:styleId="BookTitle" w:type="character">
    <w:name w:val="Book Title"/>
    <w:basedOn w:val="DefaultParagraphFont"/>
    <w:uiPriority w:val="33"/>
    <w:qFormat/>
    <w:rsid w:val="003638CF"/>
    <w:rPr>
      <w:b/>
      <w:bCs/>
      <w:i/>
      <w:iCs/>
      <w:spacing w:val="5"/>
    </w:rPr>
  </w:style>
  <w:style w:styleId="Caption" w:type="paragraph">
    <w:name w:val="caption"/>
    <w:basedOn w:val="Normal"/>
    <w:next w:val="Normal"/>
    <w:uiPriority w:val="35"/>
    <w:semiHidden/>
    <w:unhideWhenUsed/>
    <w:qFormat/>
    <w:rsid w:val="003638CF"/>
    <w:pPr>
      <w:spacing w:line="240" w:lineRule="auto"/>
    </w:pPr>
    <w:rPr>
      <w:i/>
      <w:iCs/>
      <w:color w:themeColor="text2" w:val="1F497D"/>
      <w:sz w:val="18"/>
      <w:szCs w:val="18"/>
    </w:rPr>
  </w:style>
  <w:style w:styleId="Emphasis" w:type="character">
    <w:name w:val="Emphasis"/>
    <w:basedOn w:val="DefaultParagraphFont"/>
    <w:uiPriority w:val="20"/>
    <w:qFormat/>
    <w:rsid w:val="003638CF"/>
    <w:rPr>
      <w:i/>
      <w:iCs/>
    </w:rPr>
  </w:style>
  <w:style w:customStyle="1" w:styleId="Heading5Char" w:type="character">
    <w:name w:val="Heading 5 Char"/>
    <w:basedOn w:val="DefaultParagraphFont"/>
    <w:link w:val="Heading5"/>
    <w:uiPriority w:val="9"/>
    <w:semiHidden/>
    <w:rsid w:val="003638CF"/>
    <w:rPr>
      <w:rFonts w:asciiTheme="majorHAnsi" w:cstheme="majorBidi" w:eastAsiaTheme="majorEastAsia" w:hAnsiTheme="majorHAnsi"/>
      <w:color w:themeColor="accent1" w:themeShade="BF" w:val="365F91"/>
    </w:rPr>
  </w:style>
  <w:style w:customStyle="1" w:styleId="Heading6Char" w:type="character">
    <w:name w:val="Heading 6 Char"/>
    <w:basedOn w:val="DefaultParagraphFont"/>
    <w:link w:val="Heading6"/>
    <w:uiPriority w:val="9"/>
    <w:semiHidden/>
    <w:rsid w:val="003638CF"/>
    <w:rPr>
      <w:rFonts w:asciiTheme="majorHAnsi" w:cstheme="majorBidi" w:eastAsiaTheme="majorEastAsia" w:hAnsiTheme="majorHAnsi"/>
      <w:color w:themeColor="accent1" w:themeShade="7F" w:val="243F60"/>
    </w:rPr>
  </w:style>
  <w:style w:customStyle="1" w:styleId="Heading7Char" w:type="character">
    <w:name w:val="Heading 7 Char"/>
    <w:basedOn w:val="DefaultParagraphFont"/>
    <w:link w:val="Heading7"/>
    <w:uiPriority w:val="9"/>
    <w:semiHidden/>
    <w:rsid w:val="003638CF"/>
    <w:rPr>
      <w:rFonts w:asciiTheme="majorHAnsi" w:cstheme="majorBidi" w:eastAsiaTheme="majorEastAsia" w:hAnsiTheme="majorHAnsi"/>
      <w:i/>
      <w:iCs/>
      <w:color w:themeColor="accent1" w:themeShade="7F" w:val="243F60"/>
    </w:rPr>
  </w:style>
  <w:style w:customStyle="1" w:styleId="Heading8Char" w:type="character">
    <w:name w:val="Heading 8 Char"/>
    <w:basedOn w:val="DefaultParagraphFont"/>
    <w:link w:val="Heading8"/>
    <w:uiPriority w:val="9"/>
    <w:semiHidden/>
    <w:rsid w:val="003638CF"/>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3638CF"/>
    <w:rPr>
      <w:rFonts w:asciiTheme="majorHAnsi" w:cstheme="majorBidi" w:eastAsiaTheme="majorEastAsia" w:hAnsiTheme="majorHAnsi"/>
      <w:i/>
      <w:iCs/>
      <w:color w:themeColor="text1" w:themeTint="D8" w:val="272727"/>
      <w:sz w:val="21"/>
      <w:szCs w:val="21"/>
    </w:rPr>
  </w:style>
  <w:style w:styleId="IntenseEmphasis" w:type="character">
    <w:name w:val="Intense Emphasis"/>
    <w:basedOn w:val="DefaultParagraphFont"/>
    <w:uiPriority w:val="21"/>
    <w:qFormat/>
    <w:rsid w:val="003638CF"/>
    <w:rPr>
      <w:i/>
      <w:iCs/>
      <w:color w:themeColor="accent1" w:val="4F81BD"/>
    </w:rPr>
  </w:style>
  <w:style w:styleId="IntenseQuote" w:type="paragraph">
    <w:name w:val="Intense Quote"/>
    <w:basedOn w:val="Normal"/>
    <w:next w:val="Normal"/>
    <w:link w:val="IntenseQuoteChar"/>
    <w:uiPriority w:val="30"/>
    <w:qFormat/>
    <w:rsid w:val="003638CF"/>
    <w:pPr>
      <w:pBdr>
        <w:top w:color="4F81BD" w:space="10" w:sz="4" w:themeColor="accent1" w:val="single"/>
        <w:bottom w:color="4F81BD" w:space="10" w:sz="4" w:themeColor="accent1" w:val="single"/>
      </w:pBdr>
      <w:spacing w:after="360" w:before="360"/>
      <w:ind w:left="864" w:right="864"/>
      <w:jc w:val="center"/>
    </w:pPr>
    <w:rPr>
      <w:i/>
      <w:iCs/>
      <w:color w:themeColor="accent1" w:val="4F81BD"/>
    </w:rPr>
  </w:style>
  <w:style w:customStyle="1" w:styleId="IntenseQuoteChar" w:type="character">
    <w:name w:val="Intense Quote Char"/>
    <w:basedOn w:val="DefaultParagraphFont"/>
    <w:link w:val="IntenseQuote"/>
    <w:uiPriority w:val="30"/>
    <w:rsid w:val="003638CF"/>
    <w:rPr>
      <w:rFonts w:ascii="Arial" w:hAnsi="Arial"/>
      <w:i/>
      <w:iCs/>
      <w:color w:themeColor="accent1" w:val="4F81BD"/>
    </w:rPr>
  </w:style>
  <w:style w:styleId="IntenseReference" w:type="character">
    <w:name w:val="Intense Reference"/>
    <w:basedOn w:val="DefaultParagraphFont"/>
    <w:uiPriority w:val="32"/>
    <w:qFormat/>
    <w:rsid w:val="003638CF"/>
    <w:rPr>
      <w:b/>
      <w:bCs/>
      <w:smallCaps/>
      <w:color w:themeColor="accent1" w:val="4F81BD"/>
      <w:spacing w:val="5"/>
    </w:rPr>
  </w:style>
  <w:style w:styleId="Quote" w:type="paragraph">
    <w:name w:val="Quote"/>
    <w:basedOn w:val="Normal"/>
    <w:next w:val="Normal"/>
    <w:link w:val="QuoteChar"/>
    <w:uiPriority w:val="29"/>
    <w:qFormat/>
    <w:rsid w:val="003638CF"/>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3638CF"/>
    <w:rPr>
      <w:rFonts w:ascii="Arial" w:hAnsi="Arial"/>
      <w:i/>
      <w:iCs/>
      <w:color w:themeColor="text1" w:themeTint="BF" w:val="404040"/>
    </w:rPr>
  </w:style>
  <w:style w:styleId="Strong" w:type="character">
    <w:name w:val="Strong"/>
    <w:basedOn w:val="DefaultParagraphFont"/>
    <w:uiPriority w:val="22"/>
    <w:qFormat/>
    <w:rsid w:val="003638CF"/>
    <w:rPr>
      <w:b/>
      <w:bCs/>
    </w:rPr>
  </w:style>
  <w:style w:styleId="Subtitle" w:type="paragraph">
    <w:name w:val="Subtitle"/>
    <w:basedOn w:val="Normal"/>
    <w:next w:val="Normal"/>
    <w:link w:val="SubtitleChar"/>
    <w:uiPriority w:val="11"/>
    <w:qFormat/>
    <w:rsid w:val="003638CF"/>
    <w:pPr>
      <w:numPr>
        <w:ilvl w:val="1"/>
      </w:numPr>
      <w:spacing w:after="160"/>
    </w:pPr>
    <w:rPr>
      <w:rFonts w:asciiTheme="minorHAnsi" w:hAnsiTheme="minorHAnsi"/>
      <w:color w:themeColor="text1" w:themeTint="A5" w:val="5A5A5A"/>
      <w:spacing w:val="15"/>
    </w:rPr>
  </w:style>
  <w:style w:customStyle="1" w:styleId="SubtitleChar" w:type="character">
    <w:name w:val="Subtitle Char"/>
    <w:basedOn w:val="DefaultParagraphFont"/>
    <w:link w:val="Subtitle"/>
    <w:uiPriority w:val="11"/>
    <w:rsid w:val="003638CF"/>
    <w:rPr>
      <w:color w:themeColor="text1" w:themeTint="A5" w:val="5A5A5A"/>
      <w:spacing w:val="15"/>
    </w:rPr>
  </w:style>
  <w:style w:styleId="SubtleEmphasis" w:type="character">
    <w:name w:val="Subtle Emphasis"/>
    <w:basedOn w:val="DefaultParagraphFont"/>
    <w:uiPriority w:val="19"/>
    <w:qFormat/>
    <w:rsid w:val="003638CF"/>
    <w:rPr>
      <w:i/>
      <w:iCs/>
      <w:color w:themeColor="text1" w:themeTint="BF" w:val="404040"/>
    </w:rPr>
  </w:style>
  <w:style w:styleId="SubtleReference" w:type="character">
    <w:name w:val="Subtle Reference"/>
    <w:basedOn w:val="DefaultParagraphFont"/>
    <w:uiPriority w:val="31"/>
    <w:qFormat/>
    <w:rsid w:val="003638CF"/>
    <w:rPr>
      <w:smallCaps/>
      <w:color w:themeColor="text1" w:themeTint="A5" w:val="5A5A5A"/>
    </w:rPr>
  </w:style>
  <w:style w:styleId="Title" w:type="paragraph">
    <w:name w:val="Title"/>
    <w:basedOn w:val="Normal"/>
    <w:next w:val="Normal"/>
    <w:link w:val="TitleChar"/>
    <w:uiPriority w:val="10"/>
    <w:qFormat/>
    <w:rsid w:val="003638CF"/>
    <w:pPr>
      <w:spacing w:after="0"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3638CF"/>
    <w:rPr>
      <w:rFonts w:asciiTheme="majorHAnsi" w:cstheme="majorBidi" w:eastAsiaTheme="majorEastAsia" w:hAnsiTheme="majorHAnsi"/>
      <w:spacing w:val="-10"/>
      <w:kern w:val="28"/>
      <w:sz w:val="56"/>
      <w:szCs w:val="56"/>
    </w:rPr>
  </w:style>
  <w:style w:styleId="TOCHeading" w:type="paragraph">
    <w:name w:val="TOC Heading"/>
    <w:basedOn w:val="Heading1"/>
    <w:next w:val="Normal"/>
    <w:uiPriority w:val="39"/>
    <w:semiHidden/>
    <w:unhideWhenUsed/>
    <w:qFormat/>
    <w:rsid w:val="003638CF"/>
    <w:pPr>
      <w:spacing w:before="240"/>
      <w:jc w:val="left"/>
      <w:outlineLvl w:val="9"/>
    </w:pPr>
    <w:rPr>
      <w:rFonts w:asciiTheme="majorHAnsi" w:hAnsiTheme="majorHAnsi"/>
      <w:b w:val="0"/>
      <w:bCs w:val="0"/>
      <w:color w:themeColor="accent1" w:themeShade="BF" w:val="365F91"/>
      <w:sz w:val="32"/>
      <w:szCs w:val="32"/>
    </w:rPr>
  </w:style>
  <w:style w:customStyle="1" w:styleId="bcx0" w:type="character">
    <w:name w:val="bcx0"/>
    <w:basedOn w:val="DefaultParagraphFont"/>
    <w:rsid w:val="007217BA"/>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5736379">
      <w:bodyDiv w:val="1"/>
      <w:marLeft w:val="0"/>
      <w:marRight w:val="0"/>
      <w:marTop w:val="0"/>
      <w:marBottom w:val="0"/>
      <w:divBdr>
        <w:top w:val="none" w:sz="0" w:space="0" w:color="auto"/>
        <w:left w:val="none" w:sz="0" w:space="0" w:color="auto"/>
        <w:bottom w:val="none" w:sz="0" w:space="0" w:color="auto"/>
        <w:right w:val="none" w:sz="0" w:space="0" w:color="auto"/>
      </w:divBdr>
    </w:div>
    <w:div w:id="1137989852">
      <w:bodyDiv w:val="1"/>
      <w:marLeft w:val="0"/>
      <w:marRight w:val="0"/>
      <w:marTop w:val="0"/>
      <w:marBottom w:val="0"/>
      <w:divBdr>
        <w:top w:val="none" w:sz="0" w:space="0" w:color="auto"/>
        <w:left w:val="none" w:sz="0" w:space="0" w:color="auto"/>
        <w:bottom w:val="none" w:sz="0" w:space="0" w:color="auto"/>
        <w:right w:val="none" w:sz="0" w:space="0" w:color="auto"/>
      </w:divBdr>
    </w:div>
    <w:div w:id="1192719345">
      <w:bodyDiv w:val="1"/>
      <w:marLeft w:val="0"/>
      <w:marRight w:val="0"/>
      <w:marTop w:val="0"/>
      <w:marBottom w:val="0"/>
      <w:divBdr>
        <w:top w:val="none" w:sz="0" w:space="0" w:color="auto"/>
        <w:left w:val="none" w:sz="0" w:space="0" w:color="auto"/>
        <w:bottom w:val="none" w:sz="0" w:space="0" w:color="auto"/>
        <w:right w:val="none" w:sz="0" w:space="0" w:color="auto"/>
      </w:divBdr>
    </w:div>
    <w:div w:id="1635213312">
      <w:bodyDiv w:val="1"/>
      <w:marLeft w:val="0"/>
      <w:marRight w:val="0"/>
      <w:marTop w:val="0"/>
      <w:marBottom w:val="0"/>
      <w:divBdr>
        <w:top w:val="none" w:sz="0" w:space="0" w:color="auto"/>
        <w:left w:val="none" w:sz="0" w:space="0" w:color="auto"/>
        <w:bottom w:val="none" w:sz="0" w:space="0" w:color="auto"/>
        <w:right w:val="none" w:sz="0" w:space="0" w:color="auto"/>
      </w:divBdr>
    </w:div>
    <w:div w:id="1728458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47" Type="http://schemas.openxmlformats.org/officeDocument/2006/relationships/numbering" Target="numbering.xml"/><Relationship Id="rId46" Type="http://schemas.openxmlformats.org/officeDocument/2006/relationships/styles" Target="styles.xml"/><Relationship Id="rId45" Type="http://schemas.openxmlformats.org/officeDocument/2006/relationships/settings" Target="settings.xml"/><Relationship Id="rId44" Type="http://schemas.openxmlformats.org/officeDocument/2006/relationships/webSettings" Target="webSettings.xml"/><Relationship Id="rId43" Type="http://schemas.openxmlformats.org/officeDocument/2006/relationships/fontTable" Target="fontTable.xml"/><Relationship Id="rId42" Type="http://schemas.openxmlformats.org/officeDocument/2006/relationships/theme" Target="theme/theme1.xml"/><Relationship Id="rId41" Type="http://schemas.openxmlformats.org/officeDocument/2006/relationships/footnotes" Target="footnotes.xml"/><Relationship Id="rId40" Type="http://schemas.openxmlformats.org/officeDocument/2006/relationships/comments" Target="comments.xml"/><Relationship Id="rId39" Type="http://schemas.openxmlformats.org/officeDocument/2006/relationships/footer" Target="footer3.xml"/><Relationship Id="rId34" Type="http://schemas.openxmlformats.org/officeDocument/2006/relationships/header" Target="header1.xml"/><Relationship Id="rId11" Type="http://schemas.openxmlformats.org/officeDocument/2006/relationships/image" Target="media/image1.png"/><Relationship Id="rId37" Type="http://schemas.openxmlformats.org/officeDocument/2006/relationships/footer" Target="footer2.xml"/><Relationship Id="rId36" Type="http://schemas.openxmlformats.org/officeDocument/2006/relationships/footer" Target="footer1.xml"/><Relationship Id="rId35" Type="http://schemas.openxmlformats.org/officeDocument/2006/relationships/header" Target="header2.xml"/><Relationship Id="rId12" Type="http://schemas.openxmlformats.org/officeDocument/2006/relationships/image" Target="cid:image010.png@01D5FC40.78408B20" TargetMode="External"/><Relationship Id="rId38" Type="http://schemas.openxmlformats.org/officeDocument/2006/relationships/header" Target="header3.xml"/><Relationship Id="rId48" Type="http://schemas.openxmlformats.org/officeDocument/2006/relationships/image" Target="media/rId48.png"/><Relationship Id="rId95" Type="http://schemas.openxmlformats.org/officeDocument/2006/relationships/hyperlink" Target="http://library.cityu.edu/" TargetMode="External"/><Relationship Id="rId94" Type="http://schemas.openxmlformats.org/officeDocument/2006/relationships/hyperlink" Target="https://cityu-seattle.libanswers.com/" TargetMode="External"/><Relationship Id="rId58" Type="http://schemas.openxmlformats.org/officeDocument/2006/relationships/hyperlink" Target="https://cityu.alma.exlibrisgroup.com/leganto/login?auth=SAML" TargetMode="External"/><Relationship Id="rId92" Type="http://schemas.openxmlformats.org/officeDocument/2006/relationships/hyperlink" Target="https://my.cityu.edu/pages/disability-support-services" TargetMode="External"/><Relationship Id="rId97" Type="http://schemas.openxmlformats.org/officeDocument/2006/relationships/hyperlink" Target="https://my.cityu.edu/pages/tutoring-resources" TargetMode="External"/><Relationship Id="rId83" Type="http://schemas.openxmlformats.org/officeDocument/2006/relationships/hyperlink" Target="https://www.cityu.edu/about-cityu/student-right-to-know/" TargetMode="External"/><Relationship Id="rId65" Type="http://schemas.openxmlformats.org/officeDocument/2006/relationships/hyperlink" Target="https://www.cityu.edu/catalog/" TargetMode="External"/><Relationship Id="rId59" Type="http://schemas.openxmlformats.org/officeDocument/2006/relationships/hyperlink" Target="https://www.cityubookstore.ca/index.asp" TargetMode="External"/><Relationship Id="rId84" Type="http://schemas.openxmlformats.org/officeDocument/2006/relationships/hyperlink" Target="https://www.cityuniversity.ca/about/cityu-at-a-glance/" TargetMode="External"/><Relationship Id="rId91" Type="http://schemas.openxmlformats.org/officeDocument/2006/relationships/hyperlink" Target="mailto:accommodations@cityu.edu" TargetMode="External"/></Relationships>
</file>

<file path=word/_rels/footnotes.xml.rels><?xml version='1.0' encoding='UTF-8' standalone='yes'?>
<Relationships xmlns="http://schemas.openxmlformats.org/package/2006/relationships"><Relationship Id="rId95" Type="http://schemas.openxmlformats.org/officeDocument/2006/relationships/hyperlink" Target="http://library.cityu.edu/" TargetMode="External"/><Relationship Id="rId94" Type="http://schemas.openxmlformats.org/officeDocument/2006/relationships/hyperlink" Target="https://cityu-seattle.libanswers.com/" TargetMode="External"/><Relationship Id="rId58" Type="http://schemas.openxmlformats.org/officeDocument/2006/relationships/hyperlink" Target="https://cityu.alma.exlibrisgroup.com/leganto/login?auth=SAML" TargetMode="External"/><Relationship Id="rId92" Type="http://schemas.openxmlformats.org/officeDocument/2006/relationships/hyperlink" Target="https://my.cityu.edu/pages/disability-support-services" TargetMode="External"/><Relationship Id="rId97" Type="http://schemas.openxmlformats.org/officeDocument/2006/relationships/hyperlink" Target="https://my.cityu.edu/pages/tutoring-resources" TargetMode="External"/><Relationship Id="rId83" Type="http://schemas.openxmlformats.org/officeDocument/2006/relationships/hyperlink" Target="https://www.cityu.edu/about-cityu/student-right-to-know/" TargetMode="External"/><Relationship Id="rId65" Type="http://schemas.openxmlformats.org/officeDocument/2006/relationships/hyperlink" Target="https://www.cityu.edu/catalog/" TargetMode="External"/><Relationship Id="rId59" Type="http://schemas.openxmlformats.org/officeDocument/2006/relationships/hyperlink" Target="https://www.cityubookstore.ca/index.asp" TargetMode="External"/><Relationship Id="rId84" Type="http://schemas.openxmlformats.org/officeDocument/2006/relationships/hyperlink" Target="https://www.cityuniversity.ca/about/cityu-at-a-glance/" TargetMode="External"/><Relationship Id="rId91" Type="http://schemas.openxmlformats.org/officeDocument/2006/relationships/hyperlink" Target="mailto:accommodations@city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506</TotalTime>
  <Pages>21</Pages>
  <Words>6536</Words>
  <Characters>37453</Characters>
  <Application>Microsoft Office Word</Application>
  <DocSecurity>0</DocSecurity>
  <Lines>1101</Lines>
  <Paragraphs>676</Paragraphs>
  <ScaleCrop>false</ScaleCrop>
  <Company/>
  <LinksUpToDate>false</LinksUpToDate>
  <CharactersWithSpaces>43313</CharactersWithSpaces>
  <SharedDoc>false</SharedDoc>
  <HLinks>
    <vt:vector size="138" baseType="variant">
      <vt:variant>
        <vt:i4>5374046</vt:i4>
      </vt:variant>
      <vt:variant>
        <vt:i4>66</vt:i4>
      </vt:variant>
      <vt:variant>
        <vt:i4>0</vt:i4>
      </vt:variant>
      <vt:variant>
        <vt:i4>5</vt:i4>
      </vt:variant>
      <vt:variant>
        <vt:lpwstr>https://my.cityu.edu/pages/tutoring-resources</vt:lpwstr>
      </vt:variant>
      <vt:variant>
        <vt:lpwstr/>
      </vt:variant>
      <vt:variant>
        <vt:i4>5177364</vt:i4>
      </vt:variant>
      <vt:variant>
        <vt:i4>63</vt:i4>
      </vt:variant>
      <vt:variant>
        <vt:i4>0</vt:i4>
      </vt:variant>
      <vt:variant>
        <vt:i4>5</vt:i4>
      </vt:variant>
      <vt:variant>
        <vt:lpwstr>http://library.cityu.edu/</vt:lpwstr>
      </vt:variant>
      <vt:variant>
        <vt:lpwstr/>
      </vt:variant>
      <vt:variant>
        <vt:i4>1835013</vt:i4>
      </vt:variant>
      <vt:variant>
        <vt:i4>60</vt:i4>
      </vt:variant>
      <vt:variant>
        <vt:i4>0</vt:i4>
      </vt:variant>
      <vt:variant>
        <vt:i4>5</vt:i4>
      </vt:variant>
      <vt:variant>
        <vt:lpwstr>https://cityu-seattle.libanswers.com/</vt:lpwstr>
      </vt:variant>
      <vt:variant>
        <vt:lpwstr/>
      </vt:variant>
      <vt:variant>
        <vt:i4>6750265</vt:i4>
      </vt:variant>
      <vt:variant>
        <vt:i4>57</vt:i4>
      </vt:variant>
      <vt:variant>
        <vt:i4>0</vt:i4>
      </vt:variant>
      <vt:variant>
        <vt:i4>5</vt:i4>
      </vt:variant>
      <vt:variant>
        <vt:lpwstr>https://my.cityu.edu/pages/disability-support-services</vt:lpwstr>
      </vt:variant>
      <vt:variant>
        <vt:lpwstr/>
      </vt:variant>
      <vt:variant>
        <vt:i4>1966112</vt:i4>
      </vt:variant>
      <vt:variant>
        <vt:i4>54</vt:i4>
      </vt:variant>
      <vt:variant>
        <vt:i4>0</vt:i4>
      </vt:variant>
      <vt:variant>
        <vt:i4>5</vt:i4>
      </vt:variant>
      <vt:variant>
        <vt:lpwstr>mailto:accommodations@cityu.edu</vt:lpwstr>
      </vt:variant>
      <vt:variant>
        <vt:lpwstr/>
      </vt:variant>
      <vt:variant>
        <vt:i4>4522058</vt:i4>
      </vt:variant>
      <vt:variant>
        <vt:i4>51</vt:i4>
      </vt:variant>
      <vt:variant>
        <vt:i4>0</vt:i4>
      </vt:variant>
      <vt:variant>
        <vt:i4>5</vt:i4>
      </vt:variant>
      <vt:variant>
        <vt:lpwstr>http://www.cityu.edu/catalog/</vt:lpwstr>
      </vt:variant>
      <vt:variant>
        <vt:lpwstr/>
      </vt:variant>
      <vt:variant>
        <vt:i4>4522058</vt:i4>
      </vt:variant>
      <vt:variant>
        <vt:i4>48</vt:i4>
      </vt:variant>
      <vt:variant>
        <vt:i4>0</vt:i4>
      </vt:variant>
      <vt:variant>
        <vt:i4>5</vt:i4>
      </vt:variant>
      <vt:variant>
        <vt:lpwstr>http://www.cityu.edu/catalog/</vt:lpwstr>
      </vt:variant>
      <vt:variant>
        <vt:lpwstr/>
      </vt:variant>
      <vt:variant>
        <vt:i4>3407992</vt:i4>
      </vt:variant>
      <vt:variant>
        <vt:i4>45</vt:i4>
      </vt:variant>
      <vt:variant>
        <vt:i4>0</vt:i4>
      </vt:variant>
      <vt:variant>
        <vt:i4>5</vt:i4>
      </vt:variant>
      <vt:variant>
        <vt:lpwstr>https://www.cityuniversity.ca/about/cityu-at-a-glance/</vt:lpwstr>
      </vt:variant>
      <vt:variant>
        <vt:lpwstr/>
      </vt:variant>
      <vt:variant>
        <vt:i4>196636</vt:i4>
      </vt:variant>
      <vt:variant>
        <vt:i4>42</vt:i4>
      </vt:variant>
      <vt:variant>
        <vt:i4>0</vt:i4>
      </vt:variant>
      <vt:variant>
        <vt:i4>5</vt:i4>
      </vt:variant>
      <vt:variant>
        <vt:lpwstr>https://www.cityu.edu/about-cityu/student-right-to-know/</vt:lpwstr>
      </vt:variant>
      <vt:variant>
        <vt:lpwstr/>
      </vt:variant>
      <vt:variant>
        <vt:i4>4522058</vt:i4>
      </vt:variant>
      <vt:variant>
        <vt:i4>39</vt:i4>
      </vt:variant>
      <vt:variant>
        <vt:i4>0</vt:i4>
      </vt:variant>
      <vt:variant>
        <vt:i4>5</vt:i4>
      </vt:variant>
      <vt:variant>
        <vt:lpwstr>http://www.cityu.edu/catalog/</vt:lpwstr>
      </vt:variant>
      <vt:variant>
        <vt:lpwstr/>
      </vt:variant>
      <vt:variant>
        <vt:i4>5308503</vt:i4>
      </vt:variant>
      <vt:variant>
        <vt:i4>36</vt:i4>
      </vt:variant>
      <vt:variant>
        <vt:i4>0</vt:i4>
      </vt:variant>
      <vt:variant>
        <vt:i4>5</vt:i4>
      </vt:variant>
      <vt:variant>
        <vt:lpwstr>https://library.cityu.edu/howto/apa-writing/avoid-plagiarism/</vt:lpwstr>
      </vt:variant>
      <vt:variant>
        <vt:lpwstr/>
      </vt:variant>
      <vt:variant>
        <vt:i4>589891</vt:i4>
      </vt:variant>
      <vt:variant>
        <vt:i4>33</vt:i4>
      </vt:variant>
      <vt:variant>
        <vt:i4>0</vt:i4>
      </vt:variant>
      <vt:variant>
        <vt:i4>5</vt:i4>
      </vt:variant>
      <vt:variant>
        <vt:lpwstr>https://www.iscap-edsig.org/</vt:lpwstr>
      </vt:variant>
      <vt:variant>
        <vt:lpwstr/>
      </vt:variant>
      <vt:variant>
        <vt:i4>5308503</vt:i4>
      </vt:variant>
      <vt:variant>
        <vt:i4>30</vt:i4>
      </vt:variant>
      <vt:variant>
        <vt:i4>0</vt:i4>
      </vt:variant>
      <vt:variant>
        <vt:i4>5</vt:i4>
      </vt:variant>
      <vt:variant>
        <vt:lpwstr>https://library.cityu.edu/howto/apa-writing/avoid-plagiarism/</vt:lpwstr>
      </vt:variant>
      <vt:variant>
        <vt:lpwstr/>
      </vt:variant>
      <vt:variant>
        <vt:i4>5636114</vt:i4>
      </vt:variant>
      <vt:variant>
        <vt:i4>27</vt:i4>
      </vt:variant>
      <vt:variant>
        <vt:i4>0</vt:i4>
      </vt:variant>
      <vt:variant>
        <vt:i4>5</vt:i4>
      </vt:variant>
      <vt:variant>
        <vt:lpwstr>https://iscap.us/org/</vt:lpwstr>
      </vt:variant>
      <vt:variant>
        <vt:lpwstr/>
      </vt:variant>
      <vt:variant>
        <vt:i4>131144</vt:i4>
      </vt:variant>
      <vt:variant>
        <vt:i4>24</vt:i4>
      </vt:variant>
      <vt:variant>
        <vt:i4>0</vt:i4>
      </vt:variant>
      <vt:variant>
        <vt:i4>5</vt:i4>
      </vt:variant>
      <vt:variant>
        <vt:lpwstr>https://view.officeapps.live.com/op/view.aspx?src=https%3A%2F%2Fiscap.us%2Fdocs%2Fsubmissions%2FISCAPProceedingsTemplate.docx&amp;wdOrigin=BROWSELINK</vt:lpwstr>
      </vt:variant>
      <vt:variant>
        <vt:lpwstr/>
      </vt:variant>
      <vt:variant>
        <vt:i4>8192046</vt:i4>
      </vt:variant>
      <vt:variant>
        <vt:i4>21</vt:i4>
      </vt:variant>
      <vt:variant>
        <vt:i4>0</vt:i4>
      </vt:variant>
      <vt:variant>
        <vt:i4>5</vt:i4>
      </vt:variant>
      <vt:variant>
        <vt:lpwstr>https://www.cityu.edu/catalog/</vt:lpwstr>
      </vt:variant>
      <vt:variant>
        <vt:lpwstr/>
      </vt:variant>
      <vt:variant>
        <vt:i4>3539067</vt:i4>
      </vt:variant>
      <vt:variant>
        <vt:i4>18</vt:i4>
      </vt:variant>
      <vt:variant>
        <vt:i4>0</vt:i4>
      </vt:variant>
      <vt:variant>
        <vt:i4>5</vt:i4>
      </vt:variant>
      <vt:variant>
        <vt:lpwstr>https://www.cityubookstore.ca/index.asp</vt:lpwstr>
      </vt:variant>
      <vt:variant>
        <vt:lpwstr/>
      </vt:variant>
      <vt:variant>
        <vt:i4>1835036</vt:i4>
      </vt:variant>
      <vt:variant>
        <vt:i4>15</vt:i4>
      </vt:variant>
      <vt:variant>
        <vt:i4>0</vt:i4>
      </vt:variant>
      <vt:variant>
        <vt:i4>5</vt:i4>
      </vt:variant>
      <vt:variant>
        <vt:lpwstr>https://cityu.alma.exlibrisgroup.com/leganto/login?auth=SAML</vt:lpwstr>
      </vt:variant>
      <vt:variant>
        <vt:lpwstr/>
      </vt:variant>
      <vt:variant>
        <vt:i4>1835013</vt:i4>
      </vt:variant>
      <vt:variant>
        <vt:i4>12</vt:i4>
      </vt:variant>
      <vt:variant>
        <vt:i4>0</vt:i4>
      </vt:variant>
      <vt:variant>
        <vt:i4>5</vt:i4>
      </vt:variant>
      <vt:variant>
        <vt:lpwstr>https://cityu-seattle.libanswers.com/</vt:lpwstr>
      </vt:variant>
      <vt:variant>
        <vt:lpwstr/>
      </vt:variant>
      <vt:variant>
        <vt:i4>6750265</vt:i4>
      </vt:variant>
      <vt:variant>
        <vt:i4>9</vt:i4>
      </vt:variant>
      <vt:variant>
        <vt:i4>0</vt:i4>
      </vt:variant>
      <vt:variant>
        <vt:i4>5</vt:i4>
      </vt:variant>
      <vt:variant>
        <vt:lpwstr>https://my.cityu.edu/pages/disability-support-services</vt:lpwstr>
      </vt:variant>
      <vt:variant>
        <vt:lpwstr/>
      </vt:variant>
      <vt:variant>
        <vt:i4>3407992</vt:i4>
      </vt:variant>
      <vt:variant>
        <vt:i4>6</vt:i4>
      </vt:variant>
      <vt:variant>
        <vt:i4>0</vt:i4>
      </vt:variant>
      <vt:variant>
        <vt:i4>5</vt:i4>
      </vt:variant>
      <vt:variant>
        <vt:lpwstr>https://www.cityuniversity.ca/about/cityu-at-a-glance/</vt:lpwstr>
      </vt:variant>
      <vt:variant>
        <vt:lpwstr/>
      </vt:variant>
      <vt:variant>
        <vt:i4>196636</vt:i4>
      </vt:variant>
      <vt:variant>
        <vt:i4>3</vt:i4>
      </vt:variant>
      <vt:variant>
        <vt:i4>0</vt:i4>
      </vt:variant>
      <vt:variant>
        <vt:i4>5</vt:i4>
      </vt:variant>
      <vt:variant>
        <vt:lpwstr>https://www.cityu.edu/about-cityu/student-right-to-know/</vt:lpwstr>
      </vt:variant>
      <vt:variant>
        <vt:lpwstr/>
      </vt:variant>
      <vt:variant>
        <vt:i4>8192046</vt:i4>
      </vt:variant>
      <vt:variant>
        <vt:i4>0</vt:i4>
      </vt:variant>
      <vt:variant>
        <vt:i4>0</vt:i4>
      </vt:variant>
      <vt:variant>
        <vt:i4>5</vt:i4>
      </vt:variant>
      <vt:variant>
        <vt:lpwstr>https://www.cityu.edu/catalog/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2026-10-16T20:04:30Z</dcterms:created>
  <dcterms:modified xsi:type="dcterms:W3CDTF">2026-10-16T20:04:30Z</dcterms:modified>
</cp:coreProperties>
</file>

<file path=docProps/custom.xml><?xml version="1.0" encoding="utf-8"?>
<Properties xmlns="http://schemas.openxmlformats.org/officeDocument/2006/custom-properties" xmlns:vt="http://schemas.openxmlformats.org/officeDocument/2006/docPropsVTypes"/>
</file>