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44"/>
        <w:rPr/>
      </w:pPr>
      <w:r>
        <w:rPr/>
        <w:t>Project Model Summary</w:t>
      </w:r>
    </w:p>
    <w:p>
      <w:pPr>
        <w:pStyle w:val="BodyTextintro"/>
        <w:bidi w:val="0"/>
        <w:rPr/>
      </w:pPr>
      <w:r>
        <w:rPr/>
        <w:t>Prepared from visible notebook outputs only. No new visuals were created.</w:t>
      </w:r>
    </w:p>
    <w:p>
      <w:pPr>
        <w:pStyle w:val="Heading2"/>
        <w:bidi w:val="0"/>
        <w:jc w:val="left"/>
        <w:rPr/>
      </w:pPr>
      <w:r>
        <w:rPr/>
        <w:t>SECTION 1 — Overview</w:t>
      </w:r>
    </w:p>
    <w:p>
      <w:pPr>
        <w:pStyle w:val="BodyText"/>
        <w:bidi w:val="0"/>
        <w:jc w:val="left"/>
        <w:rPr/>
      </w:pPr>
      <w:r>
        <w:rPr/>
        <w:t>This project looks at school shooting patterns across U.S. states over time and compares those patterns with state firearm policies. The notebooks focus on two practical questions: whether policies are linked to how often incidents happen, and whether they are linked to how harmful those incidents are.</w:t>
      </w:r>
    </w:p>
    <w:p>
      <w:pPr>
        <w:pStyle w:val="BodyText"/>
        <w:bidi w:val="0"/>
        <w:jc w:val="left"/>
        <w:rPr/>
      </w:pPr>
      <w:r>
        <w:rPr/>
        <w:t>The analysis uses state-by-year data, public school enrollment, and policy indicators from 1987 forward. Across the notebooks, the clearest pattern is a strong rise in recent years, while most policy effects remain small or unclear in the main models.</w:t>
      </w:r>
    </w:p>
    <w:p>
      <w:pPr>
        <w:pStyle w:val="Heading2"/>
        <w:bidi w:val="0"/>
        <w:jc w:val="left"/>
        <w:rPr/>
      </w:pPr>
      <w:r>
        <w:rPr/>
        <w:t>SECTION 2 — Models Used</w:t>
      </w:r>
    </w:p>
    <w:p>
      <w:pPr>
        <w:pStyle w:val="Heading3"/>
        <w:bidi w:val="0"/>
        <w:spacing w:before="0" w:after="288"/>
        <w:ind w:hanging="0" w:left="0" w:right="0"/>
        <w:jc w:val="left"/>
        <w:rPr>
          <w:bdr w:val="single" w:sz="2" w:space="6" w:color="D9CCC3"/>
        </w:rPr>
      </w:pPr>
      <w:r>
        <w:rPr>
          <w:bdr w:val="single" w:sz="2" w:space="6" w:color="D9CCC3"/>
        </w:rPr>
        <w:t>Negative Binomial Model for Incident Count</w:t>
      </w:r>
    </w:p>
    <w:p>
      <w:pPr>
        <w:pStyle w:val="BodyText"/>
        <w:bidi w:val="0"/>
        <w:spacing w:before="0" w:after="288"/>
        <w:jc w:val="left"/>
        <w:rPr/>
      </w:pPr>
      <w:r>
        <w:rPr>
          <w:rStyle w:val="Strong"/>
        </w:rPr>
        <w:t>What it was used for:</w:t>
      </w:r>
      <w:r>
        <w:rPr/>
        <w:t xml:space="preserve"> Measuring how often school shooting incidents happen in each state and year.</w:t>
      </w:r>
    </w:p>
    <w:p>
      <w:pPr>
        <w:pStyle w:val="BodyText"/>
        <w:bidi w:val="0"/>
        <w:spacing w:before="0" w:after="288"/>
        <w:jc w:val="left"/>
        <w:rPr/>
      </w:pPr>
      <w:r>
        <w:rPr>
          <w:rStyle w:val="Strong"/>
        </w:rPr>
        <w:t>What question it answers:</w:t>
      </w:r>
      <w:r>
        <w:rPr/>
        <w:t xml:space="preserve"> Are policy changes linked to more or fewer incidents?</w:t>
      </w:r>
    </w:p>
    <w:p>
      <w:pPr>
        <w:pStyle w:val="BodyText"/>
        <w:bidi w:val="0"/>
        <w:spacing w:before="0" w:after="288"/>
        <w:jc w:val="left"/>
        <w:rPr/>
      </w:pPr>
      <w:r>
        <w:rPr>
          <w:rStyle w:val="Strong"/>
        </w:rPr>
        <w:t>Target variable:</w:t>
      </w:r>
      <w:r>
        <w:rPr/>
        <w:t xml:space="preserve"> Incident count.</w:t>
      </w:r>
    </w:p>
    <w:p>
      <w:pPr>
        <w:pStyle w:val="Heading3"/>
        <w:bidi w:val="0"/>
        <w:spacing w:before="0" w:after="288"/>
        <w:ind w:hanging="0" w:left="0" w:right="0"/>
        <w:jc w:val="left"/>
        <w:rPr>
          <w:bdr w:val="single" w:sz="2" w:space="6" w:color="D9CCC3"/>
        </w:rPr>
      </w:pPr>
      <w:r>
        <w:rPr>
          <w:bdr w:val="single" w:sz="2" w:space="6" w:color="D9CCC3"/>
        </w:rPr>
        <w:t>Negative Binomial Model for Total Victims</w:t>
      </w:r>
    </w:p>
    <w:p>
      <w:pPr>
        <w:pStyle w:val="BodyText"/>
        <w:bidi w:val="0"/>
        <w:spacing w:before="0" w:after="288"/>
        <w:jc w:val="left"/>
        <w:rPr/>
      </w:pPr>
      <w:r>
        <w:rPr>
          <w:rStyle w:val="Strong"/>
        </w:rPr>
        <w:t>What it was used for:</w:t>
      </w:r>
      <w:r>
        <w:rPr/>
        <w:t xml:space="preserve"> Measuring the total amount of harm across each state and year.</w:t>
      </w:r>
    </w:p>
    <w:p>
      <w:pPr>
        <w:pStyle w:val="BodyText"/>
        <w:bidi w:val="0"/>
        <w:spacing w:before="0" w:after="288"/>
        <w:jc w:val="left"/>
        <w:rPr/>
      </w:pPr>
      <w:r>
        <w:rPr>
          <w:rStyle w:val="Strong"/>
        </w:rPr>
        <w:t>What question it answers:</w:t>
      </w:r>
      <w:r>
        <w:rPr/>
        <w:t xml:space="preserve"> Are policy changes linked to more or fewer total victims?</w:t>
      </w:r>
    </w:p>
    <w:p>
      <w:pPr>
        <w:pStyle w:val="BodyText"/>
        <w:bidi w:val="0"/>
        <w:spacing w:before="0" w:after="288"/>
        <w:jc w:val="left"/>
        <w:rPr/>
      </w:pPr>
      <w:r>
        <w:rPr>
          <w:rStyle w:val="Strong"/>
        </w:rPr>
        <w:t>Target variable:</w:t>
      </w:r>
      <w:r>
        <w:rPr/>
        <w:t xml:space="preserve"> Total victims.</w:t>
      </w:r>
    </w:p>
    <w:p>
      <w:pPr>
        <w:pStyle w:val="Heading3"/>
        <w:bidi w:val="0"/>
        <w:spacing w:before="0" w:after="288"/>
        <w:ind w:hanging="0" w:left="0" w:right="0"/>
        <w:jc w:val="left"/>
        <w:rPr>
          <w:bdr w:val="single" w:sz="2" w:space="6" w:color="D9CCC3"/>
        </w:rPr>
      </w:pPr>
      <w:r>
        <w:rPr>
          <w:bdr w:val="single" w:sz="2" w:space="6" w:color="D9CCC3"/>
        </w:rPr>
        <w:t>Gamma Model for Victims per Incident</w:t>
      </w:r>
    </w:p>
    <w:p>
      <w:pPr>
        <w:pStyle w:val="BodyText"/>
        <w:bidi w:val="0"/>
        <w:spacing w:before="0" w:after="288"/>
        <w:jc w:val="left"/>
        <w:rPr/>
      </w:pPr>
      <w:r>
        <w:rPr>
          <w:rStyle w:val="Strong"/>
        </w:rPr>
        <w:t>What it was used for:</w:t>
      </w:r>
      <w:r>
        <w:rPr/>
        <w:t xml:space="preserve"> Measuring how severe incidents are once an incident has already happened.</w:t>
      </w:r>
    </w:p>
    <w:p>
      <w:pPr>
        <w:pStyle w:val="BodyText"/>
        <w:bidi w:val="0"/>
        <w:spacing w:before="0" w:after="288"/>
        <w:jc w:val="left"/>
        <w:rPr/>
      </w:pPr>
      <w:r>
        <w:rPr>
          <w:rStyle w:val="Strong"/>
        </w:rPr>
        <w:t>What question it answers:</w:t>
      </w:r>
      <w:r>
        <w:rPr/>
        <w:t xml:space="preserve"> Are policy changes linked to higher or lower harm per incident?</w:t>
      </w:r>
    </w:p>
    <w:p>
      <w:pPr>
        <w:pStyle w:val="BodyText"/>
        <w:bidi w:val="0"/>
        <w:spacing w:before="0" w:after="288"/>
        <w:jc w:val="left"/>
        <w:rPr/>
      </w:pPr>
      <w:r>
        <w:rPr>
          <w:rStyle w:val="Strong"/>
        </w:rPr>
        <w:t>Target variable:</w:t>
      </w:r>
      <w:r>
        <w:rPr/>
        <w:t xml:space="preserve"> Victims per incident.</w:t>
      </w:r>
    </w:p>
    <w:p>
      <w:pPr>
        <w:pStyle w:val="Heading3"/>
        <w:bidi w:val="0"/>
        <w:spacing w:before="0" w:after="288"/>
        <w:ind w:hanging="0" w:left="0" w:right="0"/>
        <w:jc w:val="left"/>
        <w:rPr>
          <w:bdr w:val="single" w:sz="2" w:space="6" w:color="D9CCC3"/>
        </w:rPr>
      </w:pPr>
      <w:r>
        <w:rPr>
          <w:bdr w:val="single" w:sz="2" w:space="6" w:color="D9CCC3"/>
        </w:rPr>
        <w:t>Poisson Model with State-Clustered Errors</w:t>
      </w:r>
    </w:p>
    <w:p>
      <w:pPr>
        <w:pStyle w:val="BodyText"/>
        <w:bidi w:val="0"/>
        <w:spacing w:before="0" w:after="288"/>
        <w:jc w:val="left"/>
        <w:rPr/>
      </w:pPr>
      <w:r>
        <w:rPr>
          <w:rStyle w:val="Strong"/>
        </w:rPr>
        <w:t>What it was used for:</w:t>
      </w:r>
      <w:r>
        <w:rPr/>
        <w:t xml:space="preserve"> Checking whether the same broad pattern still appears under a stricter comparison.</w:t>
      </w:r>
    </w:p>
    <w:p>
      <w:pPr>
        <w:pStyle w:val="BodyText"/>
        <w:bidi w:val="0"/>
        <w:spacing w:before="0" w:after="288"/>
        <w:jc w:val="left"/>
        <w:rPr/>
      </w:pPr>
      <w:r>
        <w:rPr>
          <w:rStyle w:val="Strong"/>
        </w:rPr>
        <w:t>What question it answers:</w:t>
      </w:r>
      <w:r>
        <w:rPr/>
        <w:t xml:space="preserve"> Do the overall policy and time patterns still point in the same direction?</w:t>
      </w:r>
    </w:p>
    <w:p>
      <w:pPr>
        <w:pStyle w:val="BodyText"/>
        <w:bidi w:val="0"/>
        <w:spacing w:before="0" w:after="288"/>
        <w:jc w:val="left"/>
        <w:rPr/>
      </w:pPr>
      <w:r>
        <w:rPr>
          <w:rStyle w:val="Strong"/>
        </w:rPr>
        <w:t>Target variable:</w:t>
      </w:r>
      <w:r>
        <w:rPr/>
        <w:t xml:space="preserve"> Incident count.</w:t>
      </w:r>
    </w:p>
    <w:p>
      <w:pPr>
        <w:pStyle w:val="Heading2"/>
        <w:bidi w:val="0"/>
        <w:jc w:val="left"/>
        <w:rPr/>
      </w:pPr>
      <w:r>
        <w:rPr/>
        <w:t>SECTION 3 — Key Findings</w:t>
      </w:r>
    </w:p>
    <w:p>
      <w:pPr>
        <w:pStyle w:val="BodyText"/>
        <w:numPr>
          <w:ilvl w:val="0"/>
          <w:numId w:val="1"/>
        </w:numPr>
        <w:tabs>
          <w:tab w:val="clear" w:pos="1134"/>
          <w:tab w:val="left" w:pos="1789" w:leader="none"/>
        </w:tabs>
        <w:bidi w:val="0"/>
        <w:spacing w:before="0" w:after="0"/>
        <w:ind w:hanging="283" w:left="1789"/>
        <w:jc w:val="left"/>
        <w:rPr/>
      </w:pPr>
      <w:r>
        <w:rPr/>
        <w:t xml:space="preserve">The strongest result is a national rise in incident rates in the later years, especially from 2018 through 2024. </w:t>
      </w:r>
    </w:p>
    <w:p>
      <w:pPr>
        <w:pStyle w:val="BodyText"/>
        <w:numPr>
          <w:ilvl w:val="0"/>
          <w:numId w:val="1"/>
        </w:numPr>
        <w:tabs>
          <w:tab w:val="clear" w:pos="1134"/>
          <w:tab w:val="left" w:pos="1789" w:leader="none"/>
        </w:tabs>
        <w:bidi w:val="0"/>
        <w:spacing w:before="0" w:after="0"/>
        <w:ind w:hanging="283" w:left="1789"/>
        <w:jc w:val="left"/>
        <w:rPr/>
      </w:pPr>
      <w:r>
        <w:rPr/>
        <w:t xml:space="preserve">The same late-year rise also appears when the outcome is total victims, not just incident count. </w:t>
      </w:r>
    </w:p>
    <w:p>
      <w:pPr>
        <w:pStyle w:val="BodyText"/>
        <w:numPr>
          <w:ilvl w:val="0"/>
          <w:numId w:val="1"/>
        </w:numPr>
        <w:tabs>
          <w:tab w:val="clear" w:pos="1134"/>
          <w:tab w:val="left" w:pos="1789" w:leader="none"/>
        </w:tabs>
        <w:bidi w:val="0"/>
        <w:spacing w:before="0" w:after="0"/>
        <w:ind w:hanging="283" w:left="1789"/>
        <w:jc w:val="left"/>
        <w:rPr/>
      </w:pPr>
      <w:r>
        <w:rPr/>
        <w:t xml:space="preserve">In the main incident-count model, none of the policy measures show clear evidence of a strong effect on their own. </w:t>
      </w:r>
    </w:p>
    <w:p>
      <w:pPr>
        <w:pStyle w:val="BodyText"/>
        <w:numPr>
          <w:ilvl w:val="0"/>
          <w:numId w:val="1"/>
        </w:numPr>
        <w:tabs>
          <w:tab w:val="clear" w:pos="1134"/>
          <w:tab w:val="left" w:pos="1789" w:leader="none"/>
        </w:tabs>
        <w:bidi w:val="0"/>
        <w:spacing w:before="0" w:after="0"/>
        <w:ind w:hanging="283" w:left="1789"/>
        <w:jc w:val="left"/>
        <w:rPr/>
      </w:pPr>
      <w:r>
        <w:rPr/>
        <w:t xml:space="preserve">In the total-victims model, the policy results are again mostly unclear. </w:t>
      </w:r>
    </w:p>
    <w:p>
      <w:pPr>
        <w:pStyle w:val="BodyText"/>
        <w:numPr>
          <w:ilvl w:val="0"/>
          <w:numId w:val="1"/>
        </w:numPr>
        <w:tabs>
          <w:tab w:val="clear" w:pos="1134"/>
          <w:tab w:val="left" w:pos="1789" w:leader="none"/>
        </w:tabs>
        <w:bidi w:val="0"/>
        <w:spacing w:before="0" w:after="0"/>
        <w:ind w:hanging="283" w:left="1789"/>
        <w:jc w:val="left"/>
        <w:rPr/>
      </w:pPr>
      <w:r>
        <w:rPr/>
        <w:t xml:space="preserve">In the victims-per-incident model, the K-12 settings policy measure stands out clearly and is linked to higher harm per incident. </w:t>
      </w:r>
    </w:p>
    <w:p>
      <w:pPr>
        <w:pStyle w:val="BodyText"/>
        <w:numPr>
          <w:ilvl w:val="0"/>
          <w:numId w:val="1"/>
        </w:numPr>
        <w:tabs>
          <w:tab w:val="clear" w:pos="1134"/>
          <w:tab w:val="left" w:pos="1789" w:leader="none"/>
        </w:tabs>
        <w:bidi w:val="0"/>
        <w:spacing w:before="0" w:after="0"/>
        <w:ind w:hanging="283" w:left="1789"/>
        <w:jc w:val="left"/>
        <w:rPr/>
      </w:pPr>
      <w:r>
        <w:rPr/>
        <w:t xml:space="preserve">The background check policy measure comes close in some results, but the notebook output does not show enough evidence to treat it as a firm conclusion. </w:t>
      </w:r>
    </w:p>
    <w:p>
      <w:pPr>
        <w:pStyle w:val="BodyText"/>
        <w:numPr>
          <w:ilvl w:val="0"/>
          <w:numId w:val="1"/>
        </w:numPr>
        <w:tabs>
          <w:tab w:val="clear" w:pos="1134"/>
          <w:tab w:val="left" w:pos="1789" w:leader="none"/>
        </w:tabs>
        <w:bidi w:val="0"/>
        <w:ind w:hanging="283" w:left="1789"/>
        <w:jc w:val="left"/>
        <w:rPr/>
      </w:pPr>
      <w:r>
        <w:rPr/>
        <w:t xml:space="preserve">The notebooks themselves describe the national time pattern as the strongest empirical finding and describe short-run policy effects as weak. </w:t>
      </w:r>
    </w:p>
    <w:p>
      <w:pPr>
        <w:pStyle w:val="Heading2"/>
        <w:bidi w:val="0"/>
        <w:jc w:val="left"/>
        <w:rPr/>
      </w:pPr>
      <w:r>
        <w:rPr/>
        <w:t>SECTION 4 — Visual Evidence</w:t>
      </w:r>
    </w:p>
    <w:p>
      <w:pPr>
        <w:pStyle w:val="BodyText"/>
        <w:keepLines/>
        <w:bidi w:val="0"/>
        <w:spacing w:before="288" w:after="403"/>
        <w:ind w:hanging="0" w:left="288" w:right="288"/>
        <w:jc w:val="left"/>
        <w:rPr/>
      </w:pPr>
      <w:r>
        <w:rPr/>
        <w:drawing>
          <wp:inline distT="0" distB="0" distL="0" distR="0">
            <wp:extent cx="6000750" cy="4476750"/>
            <wp:effectExtent l="0" t="0" r="0" b="0"/>
            <wp:docPr id="1" name="Image1" descr="School shooting incidents per 100k studen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chool shooting incidents per 100k students over time"/>
                    <pic:cNvPicPr>
                      <a:picLocks noChangeAspect="1" noChangeArrowheads="1"/>
                    </pic:cNvPicPr>
                  </pic:nvPicPr>
                  <pic:blipFill>
                    <a:blip r:link="rId2"/>
                    <a:stretch>
                      <a:fillRect/>
                    </a:stretch>
                  </pic:blipFill>
                  <pic:spPr bwMode="auto">
                    <a:xfrm>
                      <a:off x="0" y="0"/>
                      <a:ext cx="6000750" cy="4476750"/>
                    </a:xfrm>
                    <a:prstGeom prst="rect">
                      <a:avLst/>
                    </a:prstGeom>
                  </pic:spPr>
                </pic:pic>
              </a:graphicData>
            </a:graphic>
          </wp:inline>
        </w:drawing>
      </w:r>
      <w:r>
        <w:rPr/>
        <w:t xml:space="preserve"> </w:t>
      </w:r>
    </w:p>
    <w:p>
      <w:pPr>
        <w:pStyle w:val="BodyTextcaption"/>
        <w:keepLines/>
        <w:bidi w:val="0"/>
        <w:spacing w:before="288" w:after="403"/>
        <w:ind w:hanging="0" w:left="1368" w:right="1368"/>
        <w:jc w:val="left"/>
        <w:rPr/>
      </w:pPr>
      <w:r>
        <w:rPr/>
        <w:t>This chart shows the national incident rate over time. The sharp rise in the later years matches the notebook’s main conclusion that recent time trends stand out more clearly than most individual policy changes.</w:t>
      </w:r>
    </w:p>
    <w:p>
      <w:pPr>
        <w:pStyle w:val="BodyText"/>
        <w:keepLines/>
        <w:bidi w:val="0"/>
        <w:spacing w:before="288" w:after="403"/>
        <w:ind w:hanging="0" w:left="288" w:right="288"/>
        <w:jc w:val="left"/>
        <w:rPr/>
      </w:pPr>
      <w:r>
        <w:rPr/>
        <w:drawing>
          <wp:inline distT="0" distB="0" distL="0" distR="0">
            <wp:extent cx="6000750" cy="4476750"/>
            <wp:effectExtent l="0" t="0" r="0" b="0"/>
            <wp:docPr id="2" name="Image2" descr="U.S. public school enrollment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U.S. public school enrollment over time"/>
                    <pic:cNvPicPr>
                      <a:picLocks noChangeAspect="1" noChangeArrowheads="1"/>
                    </pic:cNvPicPr>
                  </pic:nvPicPr>
                  <pic:blipFill>
                    <a:blip r:link="rId3"/>
                    <a:stretch>
                      <a:fillRect/>
                    </a:stretch>
                  </pic:blipFill>
                  <pic:spPr bwMode="auto">
                    <a:xfrm>
                      <a:off x="0" y="0"/>
                      <a:ext cx="6000750" cy="4476750"/>
                    </a:xfrm>
                    <a:prstGeom prst="rect">
                      <a:avLst/>
                    </a:prstGeom>
                  </pic:spPr>
                </pic:pic>
              </a:graphicData>
            </a:graphic>
          </wp:inline>
        </w:drawing>
      </w:r>
      <w:r>
        <w:rPr/>
        <w:t xml:space="preserve"> </w:t>
      </w:r>
    </w:p>
    <w:p>
      <w:pPr>
        <w:pStyle w:val="BodyTextcaption"/>
        <w:keepLines/>
        <w:bidi w:val="0"/>
        <w:spacing w:before="288" w:after="403"/>
        <w:ind w:hanging="0" w:left="1368" w:right="1368"/>
        <w:jc w:val="left"/>
        <w:rPr/>
      </w:pPr>
      <w:r>
        <w:rPr/>
        <w:t>This chart shows the school enrollment trend used to compare states and years on a fairer basis. It gives context for why the analysis looks at rates rather than only raw totals.</w:t>
      </w:r>
    </w:p>
    <w:p>
      <w:pPr>
        <w:pStyle w:val="BodyText"/>
        <w:keepLines/>
        <w:bidi w:val="0"/>
        <w:spacing w:before="288" w:after="403"/>
        <w:ind w:hanging="0" w:left="288" w:right="288"/>
        <w:jc w:val="left"/>
        <w:rPr/>
      </w:pPr>
      <w:r>
        <w:rPr/>
        <w:drawing>
          <wp:inline distT="0" distB="0" distL="0" distR="0">
            <wp:extent cx="11325225" cy="29775150"/>
            <wp:effectExtent l="0" t="0" r="0" b="0"/>
            <wp:docPr id="3" name="Image3" descr="Incident model coefficie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ncident model coefficient chart"/>
                    <pic:cNvPicPr>
                      <a:picLocks noChangeAspect="1" noChangeArrowheads="1"/>
                    </pic:cNvPicPr>
                  </pic:nvPicPr>
                  <pic:blipFill>
                    <a:blip r:link="rId4"/>
                    <a:stretch>
                      <a:fillRect/>
                    </a:stretch>
                  </pic:blipFill>
                  <pic:spPr bwMode="auto">
                    <a:xfrm>
                      <a:off x="0" y="0"/>
                      <a:ext cx="11325225" cy="29775150"/>
                    </a:xfrm>
                    <a:prstGeom prst="rect">
                      <a:avLst/>
                    </a:prstGeom>
                  </pic:spPr>
                </pic:pic>
              </a:graphicData>
            </a:graphic>
          </wp:inline>
        </w:drawing>
      </w:r>
      <w:r>
        <w:rPr/>
        <w:t xml:space="preserve"> </w:t>
      </w:r>
    </w:p>
    <w:p>
      <w:pPr>
        <w:pStyle w:val="BodyTextcaption"/>
        <w:keepLines/>
        <w:bidi w:val="0"/>
        <w:spacing w:before="288" w:after="403"/>
        <w:ind w:hanging="0" w:left="1368" w:right="1368"/>
        <w:jc w:val="left"/>
        <w:rPr/>
      </w:pPr>
      <w:r>
        <w:rPr/>
        <w:t>This chart shows the main incident-count model. Most policy estimates sit close to the no-clear-change line, while the later-year effects are much more noticeable.</w:t>
      </w:r>
    </w:p>
    <w:p>
      <w:pPr>
        <w:pStyle w:val="BodyText"/>
        <w:keepLines/>
        <w:bidi w:val="0"/>
        <w:spacing w:before="288" w:after="403"/>
        <w:ind w:hanging="0" w:left="288" w:right="288"/>
        <w:jc w:val="left"/>
        <w:rPr/>
      </w:pPr>
      <w:r>
        <w:rPr/>
        <w:drawing>
          <wp:inline distT="0" distB="0" distL="0" distR="0">
            <wp:extent cx="11325225" cy="29775150"/>
            <wp:effectExtent l="0" t="0" r="0" b="0"/>
            <wp:docPr id="4" name="Image4" descr="Total victims model coefficie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otal victims model coefficient chart"/>
                    <pic:cNvPicPr>
                      <a:picLocks noChangeAspect="1" noChangeArrowheads="1"/>
                    </pic:cNvPicPr>
                  </pic:nvPicPr>
                  <pic:blipFill>
                    <a:blip r:link="rId5"/>
                    <a:stretch>
                      <a:fillRect/>
                    </a:stretch>
                  </pic:blipFill>
                  <pic:spPr bwMode="auto">
                    <a:xfrm>
                      <a:off x="0" y="0"/>
                      <a:ext cx="11325225" cy="29775150"/>
                    </a:xfrm>
                    <a:prstGeom prst="rect">
                      <a:avLst/>
                    </a:prstGeom>
                  </pic:spPr>
                </pic:pic>
              </a:graphicData>
            </a:graphic>
          </wp:inline>
        </w:drawing>
      </w:r>
      <w:r>
        <w:rPr/>
        <w:t xml:space="preserve"> </w:t>
      </w:r>
    </w:p>
    <w:p>
      <w:pPr>
        <w:pStyle w:val="BodyTextcaption"/>
        <w:keepLines/>
        <w:bidi w:val="0"/>
        <w:spacing w:before="288" w:after="403"/>
        <w:ind w:hanging="0" w:left="1368" w:right="1368"/>
        <w:jc w:val="left"/>
        <w:rPr/>
      </w:pPr>
      <w:r>
        <w:rPr/>
        <w:t>This chart shows the model for total victims. It tells the same broad story: the later years matter more than most policy terms in the printed notebook results.</w:t>
      </w:r>
    </w:p>
    <w:p>
      <w:pPr>
        <w:pStyle w:val="BodyText"/>
        <w:keepLines/>
        <w:bidi w:val="0"/>
        <w:spacing w:before="288" w:after="403"/>
        <w:ind w:hanging="0" w:left="288" w:right="288"/>
        <w:jc w:val="left"/>
        <w:rPr/>
      </w:pPr>
      <w:r>
        <w:rPr/>
        <w:drawing>
          <wp:inline distT="0" distB="0" distL="0" distR="0">
            <wp:extent cx="11325225" cy="29470350"/>
            <wp:effectExtent l="0" t="0" r="0" b="0"/>
            <wp:docPr id="5" name="Image5" descr="Victims per incident model coefficie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Victims per incident model coefficient chart"/>
                    <pic:cNvPicPr>
                      <a:picLocks noChangeAspect="1" noChangeArrowheads="1"/>
                    </pic:cNvPicPr>
                  </pic:nvPicPr>
                  <pic:blipFill>
                    <a:blip r:link="rId6"/>
                    <a:stretch>
                      <a:fillRect/>
                    </a:stretch>
                  </pic:blipFill>
                  <pic:spPr bwMode="auto">
                    <a:xfrm>
                      <a:off x="0" y="0"/>
                      <a:ext cx="11325225" cy="29470350"/>
                    </a:xfrm>
                    <a:prstGeom prst="rect">
                      <a:avLst/>
                    </a:prstGeom>
                  </pic:spPr>
                </pic:pic>
              </a:graphicData>
            </a:graphic>
          </wp:inline>
        </w:drawing>
      </w:r>
      <w:r>
        <w:rPr/>
        <w:t xml:space="preserve"> </w:t>
      </w:r>
    </w:p>
    <w:p>
      <w:pPr>
        <w:pStyle w:val="BodyTextcaption"/>
        <w:keepLines/>
        <w:bidi w:val="0"/>
        <w:spacing w:before="288" w:after="403"/>
        <w:ind w:hanging="0" w:left="1368" w:right="1368"/>
        <w:jc w:val="left"/>
        <w:rPr/>
      </w:pPr>
      <w:r>
        <w:rPr/>
        <w:t>This chart shows the model for harm per incident. In this output, the K-12 settings policy measure is the clearest policy signal and is linked to higher victims per incident.</w:t>
      </w:r>
    </w:p>
    <w:p>
      <w:pPr>
        <w:pStyle w:val="Heading2"/>
        <w:bidi w:val="0"/>
        <w:ind w:hanging="0"/>
        <w:jc w:val="left"/>
        <w:rPr/>
      </w:pPr>
      <w:r>
        <w:rPr/>
        <w:t>SECTION 5 — Final Takeaways</w:t>
      </w:r>
    </w:p>
    <w:p>
      <w:pPr>
        <w:pStyle w:val="BodyText"/>
        <w:numPr>
          <w:ilvl w:val="0"/>
          <w:numId w:val="2"/>
        </w:numPr>
        <w:tabs>
          <w:tab w:val="clear" w:pos="1134"/>
          <w:tab w:val="left" w:pos="1789" w:leader="none"/>
        </w:tabs>
        <w:bidi w:val="0"/>
        <w:spacing w:before="0" w:after="0"/>
        <w:ind w:hanging="283" w:left="1789"/>
        <w:jc w:val="left"/>
        <w:rPr/>
      </w:pPr>
      <w:r>
        <w:rPr/>
        <w:t xml:space="preserve">The clearest story in the notebooks is a nationwide increase in school shooting risk in recent years. </w:t>
      </w:r>
    </w:p>
    <w:p>
      <w:pPr>
        <w:pStyle w:val="BodyText"/>
        <w:numPr>
          <w:ilvl w:val="0"/>
          <w:numId w:val="2"/>
        </w:numPr>
        <w:tabs>
          <w:tab w:val="clear" w:pos="1134"/>
          <w:tab w:val="left" w:pos="1789" w:leader="none"/>
        </w:tabs>
        <w:bidi w:val="0"/>
        <w:spacing w:before="0" w:after="0"/>
        <w:ind w:hanging="283" w:left="1789"/>
        <w:jc w:val="left"/>
        <w:rPr/>
      </w:pPr>
      <w:r>
        <w:rPr/>
        <w:t xml:space="preserve">The notebooks do not show strong, consistent evidence that most single policies changed incident counts on their own. </w:t>
      </w:r>
    </w:p>
    <w:p>
      <w:pPr>
        <w:pStyle w:val="BodyText"/>
        <w:numPr>
          <w:ilvl w:val="0"/>
          <w:numId w:val="2"/>
        </w:numPr>
        <w:tabs>
          <w:tab w:val="clear" w:pos="1134"/>
          <w:tab w:val="left" w:pos="1789" w:leader="none"/>
        </w:tabs>
        <w:bidi w:val="0"/>
        <w:spacing w:before="0" w:after="0"/>
        <w:ind w:hanging="283" w:left="1789"/>
        <w:jc w:val="left"/>
        <w:rPr/>
      </w:pPr>
      <w:r>
        <w:rPr/>
        <w:t xml:space="preserve">The same is true when the outcome is total victims: recent time trends are clearer than most policy effects. </w:t>
      </w:r>
    </w:p>
    <w:p>
      <w:pPr>
        <w:pStyle w:val="BodyText"/>
        <w:numPr>
          <w:ilvl w:val="0"/>
          <w:numId w:val="2"/>
        </w:numPr>
        <w:tabs>
          <w:tab w:val="clear" w:pos="1134"/>
          <w:tab w:val="left" w:pos="1789" w:leader="none"/>
        </w:tabs>
        <w:bidi w:val="0"/>
        <w:spacing w:before="0" w:after="0"/>
        <w:ind w:hanging="283" w:left="1789"/>
        <w:jc w:val="left"/>
        <w:rPr/>
      </w:pPr>
      <w:r>
        <w:rPr/>
        <w:t xml:space="preserve">One policy measure stands out in the incident-only severity model, where the K-12 settings policy measure is linked to higher harm per incident. </w:t>
      </w:r>
    </w:p>
    <w:p>
      <w:pPr>
        <w:pStyle w:val="BodyText"/>
        <w:numPr>
          <w:ilvl w:val="0"/>
          <w:numId w:val="2"/>
        </w:numPr>
        <w:tabs>
          <w:tab w:val="clear" w:pos="1134"/>
          <w:tab w:val="left" w:pos="1789" w:leader="none"/>
        </w:tabs>
        <w:bidi w:val="0"/>
        <w:spacing w:before="0" w:after="173"/>
        <w:ind w:hanging="283" w:left="1789"/>
        <w:jc w:val="left"/>
        <w:rPr/>
      </w:pPr>
      <w:r>
        <w:rPr/>
        <w:t xml:space="preserve">For decision-making, the most important message is that time trends dominate the results shown in these notebooks.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Times New Roman"/>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080" w:after="1080"/>
      <w:ind w:left="1080" w:right="1080"/>
    </w:pPr>
    <w:rPr>
      <w:rFonts w:ascii="Georgia;Times New Roman;serif" w:hAnsi="Georgia;Times New Roman;serif" w:eastAsia="Georgia;Times New Roman;serif" w:cs="Georgia;Times New Roman;serif"/>
      <w:color w:val="222222"/>
      <w:sz w:val="24"/>
      <w:szCs w:val="24"/>
      <w:lang w:val="en-US" w:eastAsia="zh-CN" w:bidi="hi-IN"/>
    </w:rPr>
  </w:style>
  <w:style w:type="paragraph" w:styleId="Heading1">
    <w:name w:val="Heading 1"/>
    <w:basedOn w:val="Heading"/>
    <w:next w:val="BodyText"/>
    <w:qFormat/>
    <w:pPr>
      <w:spacing w:before="240" w:after="144"/>
      <w:jc w:val="center"/>
    </w:pPr>
    <w:rPr>
      <w:rFonts w:ascii="Noto Sans" w:hAnsi="Noto Sans"/>
      <w:b/>
      <w:bCs/>
      <w:color w:val="5B2C1D"/>
      <w:sz w:val="48"/>
      <w:szCs w:val="44"/>
    </w:rPr>
  </w:style>
  <w:style w:type="paragraph" w:styleId="Heading2">
    <w:name w:val="Heading 2"/>
    <w:basedOn w:val="Heading"/>
    <w:next w:val="BodyText"/>
    <w:qFormat/>
    <w:pPr>
      <w:pBdr>
        <w:bottom w:val="single" w:sz="2" w:space="3" w:color="CDB8AA"/>
      </w:pBdr>
      <w:spacing w:before="403" w:after="173"/>
      <w:outlineLvl w:val="1"/>
    </w:pPr>
    <w:rPr>
      <w:rFonts w:ascii="Liberation Serif" w:hAnsi="Liberation Serif" w:eastAsia="Noto Serif CJK SC" w:cs="Noto Sans Devanagari"/>
      <w:b/>
      <w:bCs/>
      <w:color w:val="5B2C1D"/>
      <w:sz w:val="36"/>
      <w:szCs w:val="36"/>
    </w:rPr>
  </w:style>
  <w:style w:type="paragraph" w:styleId="Heading3">
    <w:name w:val="Heading 3"/>
    <w:basedOn w:val="Heading"/>
    <w:next w:val="BodyText"/>
    <w:qFormat/>
    <w:pPr>
      <w:spacing w:before="140" w:after="72"/>
      <w:outlineLvl w:val="2"/>
    </w:pPr>
    <w:rPr>
      <w:rFonts w:ascii="Liberation Serif" w:hAnsi="Liberation Serif" w:eastAsia="Noto Serif CJK SC" w:cs="Noto Sans Devanagari"/>
      <w:b/>
      <w:bCs/>
      <w:color w:val="5B2C1D"/>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898" w:leader="none"/>
        <w:tab w:val="right" w:pos="10717" w:leader="none"/>
      </w:tabs>
    </w:pPr>
    <w:rPr/>
  </w:style>
  <w:style w:type="paragraph" w:styleId="Header">
    <w:name w:val="Header"/>
    <w:basedOn w:val="Normal"/>
    <w:pPr>
      <w:suppressLineNumbers/>
      <w:tabs>
        <w:tab w:val="clear" w:pos="1134"/>
        <w:tab w:val="center" w:pos="5898" w:leader="none"/>
        <w:tab w:val="right" w:pos="10717" w:leader="none"/>
      </w:tabs>
    </w:pPr>
    <w:rPr/>
  </w:style>
  <w:style w:type="paragraph" w:styleId="HeaderandFooter">
    <w:name w:val="Header and Footer"/>
    <w:basedOn w:val="Normal"/>
    <w:qFormat/>
    <w:pPr>
      <w:suppressLineNumbers/>
      <w:tabs>
        <w:tab w:val="clear" w:pos="1134"/>
        <w:tab w:val="center" w:pos="5899" w:leader="none"/>
        <w:tab w:val="right" w:pos="1071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7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intro">
    <w:name w:val="Body Text.intro"/>
    <w:basedOn w:val="BodyText"/>
    <w:qFormat/>
    <w:pPr>
      <w:spacing w:before="0" w:after="432"/>
      <w:jc w:val="center"/>
    </w:pPr>
    <w:rPr>
      <w:color w:val="555555"/>
    </w:rPr>
  </w:style>
  <w:style w:type="paragraph" w:styleId="BodyTextcaption">
    <w:name w:val="Body Text.caption"/>
    <w:basedOn w:val="BodyText"/>
    <w:qFormat/>
    <w:pPr/>
    <w:rPr>
      <w:color w:val="555555"/>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tommie-clark/capstoneProje%20t/capstoneProject2026/outputs/project_model_summary_docx/images/incidents_per_100k_students.png" TargetMode="External"/><Relationship Id="rId3" Type="http://schemas.openxmlformats.org/officeDocument/2006/relationships/image" Target="file:///home/tommie-clark/capstoneProje%20t/capstoneProject2026/outputs/project_model_summary_docx/images/national_enrollment_trend.png" TargetMode="External"/><Relationship Id="rId4" Type="http://schemas.openxmlformats.org/officeDocument/2006/relationships/image" Target="file:///home/tommie-clark/capstoneProje%20t/capstoneProject2026/outputs/project_model_summary_docx/images/model_twfe.png" TargetMode="External"/><Relationship Id="rId5" Type="http://schemas.openxmlformats.org/officeDocument/2006/relationships/image" Target="file:///home/tommie-clark/capstoneProje%20t/capstoneProject2026/outputs/project_model_summary_docx/images/model_severity_twfe.png" TargetMode="External"/><Relationship Id="rId6" Type="http://schemas.openxmlformats.org/officeDocument/2006/relationships/image" Target="file:///home/tommie-clark/capstoneProje%20t/capstoneProject2026/outputs/project_model_summary_docx/images/model_incident_severity.png"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Model Summary</dc:title>
</cp:coreProperties>
</file>

<file path=docProps/custom.xml><?xml version="1.0" encoding="utf-8"?>
<Properties xmlns="http://schemas.openxmlformats.org/officeDocument/2006/custom-properties" xmlns:vt="http://schemas.openxmlformats.org/officeDocument/2006/docPropsVTypes"/>
</file>