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97" w:type="dxa"/>
        <w:tblBorders>
          <w:insideV w:val="single" w:sz="4" w:space="0" w:color="auto"/>
        </w:tblBorders>
        <w:tblLayout w:type="fixed"/>
        <w:tblCellMar>
          <w:left w:w="99" w:type="dxa"/>
          <w:right w:w="99" w:type="dxa"/>
        </w:tblCellMar>
        <w:tblLook w:val="0000" w:firstRow="0" w:lastRow="0" w:firstColumn="0" w:lastColumn="0" w:noHBand="0" w:noVBand="0"/>
      </w:tblPr>
      <w:tblGrid>
        <w:gridCol w:w="262"/>
        <w:gridCol w:w="8460"/>
        <w:gridCol w:w="236"/>
      </w:tblGrid>
      <w:tr w:rsidR="00D31B16">
        <w:trPr>
          <w:gridBefore w:val="1"/>
          <w:gridAfter w:val="1"/>
          <w:wBefore w:w="262" w:type="dxa"/>
          <w:wAfter w:w="236" w:type="dxa"/>
          <w:trHeight w:val="544"/>
        </w:trPr>
        <w:tc>
          <w:tcPr>
            <w:tcW w:w="8460" w:type="dxa"/>
            <w:vAlign w:val="center"/>
          </w:tcPr>
          <w:p w:rsidR="00D31B16" w:rsidRDefault="00D31B16">
            <w:pPr>
              <w:tabs>
                <w:tab w:val="left" w:pos="1260"/>
                <w:tab w:val="left" w:pos="9180"/>
              </w:tabs>
              <w:snapToGrid w:val="0"/>
              <w:spacing w:line="276" w:lineRule="auto"/>
              <w:jc w:val="center"/>
              <w:rPr>
                <w:rFonts w:ascii="함초롬돋움" w:eastAsia="함초롬돋움" w:hAnsi="함초롬돋움" w:cs="함초롬돋움"/>
                <w:b/>
                <w:bCs/>
                <w:sz w:val="32"/>
                <w:szCs w:val="32"/>
              </w:rPr>
            </w:pPr>
          </w:p>
          <w:p w:rsidR="00D31B16" w:rsidRDefault="00B90911">
            <w:pPr>
              <w:tabs>
                <w:tab w:val="left" w:pos="1260"/>
                <w:tab w:val="left" w:pos="9180"/>
              </w:tabs>
              <w:snapToGrid w:val="0"/>
              <w:spacing w:line="276" w:lineRule="auto"/>
              <w:jc w:val="center"/>
              <w:rPr>
                <w:rFonts w:ascii="함초롬돋움" w:eastAsia="함초롬돋움" w:hAnsi="함초롬돋움" w:cs="함초롬돋움"/>
                <w:sz w:val="40"/>
                <w:szCs w:val="40"/>
                <w:vertAlign w:val="superscript"/>
              </w:rPr>
            </w:pPr>
            <w:r>
              <w:rPr>
                <w:rFonts w:ascii="함초롬돋움" w:eastAsia="함초롬돋움" w:hAnsi="함초롬돋움" w:cs="함초롬돋움" w:hint="eastAsia"/>
                <w:b/>
                <w:bCs/>
                <w:sz w:val="32"/>
                <w:szCs w:val="32"/>
              </w:rPr>
              <w:t xml:space="preserve">철도 규정 질의응답을 위한</w:t>
              <w:br/>
              <w:t xml:space="preserve">승인 기반 교차문서 근거 검색</w:t>
            </w:r>
          </w:p>
        </w:tc>
      </w:tr>
      <w:tr w:rsidR="00D31B16">
        <w:trPr>
          <w:gridBefore w:val="1"/>
          <w:gridAfter w:val="1"/>
          <w:wBefore w:w="262" w:type="dxa"/>
          <w:wAfter w:w="236" w:type="dxa"/>
          <w:trHeight w:val="1077"/>
        </w:trPr>
        <w:tc>
          <w:tcPr>
            <w:tcW w:w="8460" w:type="dxa"/>
            <w:vAlign w:val="center"/>
          </w:tcPr>
          <w:p w:rsidR="00D31B16" w:rsidRDefault="00B90911">
            <w:pPr>
              <w:tabs>
                <w:tab w:val="left" w:pos="3300"/>
              </w:tabs>
              <w:snapToGrid w:val="0"/>
              <w:spacing w:line="276" w:lineRule="auto"/>
              <w:jc w:val="center"/>
              <w:rPr>
                <w:rFonts w:ascii="함초롬돋움" w:eastAsia="함초롬돋움" w:hAnsi="함초롬돋움" w:cs="함초롬돋움"/>
              </w:rPr>
            </w:pPr>
          </w:p>
          <w:p w:rsidR="00D31B16" w:rsidRDefault="00B90911">
            <w:pPr>
              <w:tabs>
                <w:tab w:val="left" w:pos="3300"/>
              </w:tabs>
              <w:snapToGrid w:val="0"/>
              <w:spacing w:line="276" w:lineRule="auto"/>
              <w:jc w:val="center"/>
              <w:rPr>
                <w:rFonts w:ascii="함초롬돋움" w:eastAsia="함초롬돋움" w:hAnsi="함초롬돋움" w:cs="함초롬돋움"/>
              </w:rPr>
            </w:pPr>
          </w:p>
          <w:p w:rsidR="00D31B16" w:rsidRDefault="00D31B16">
            <w:pPr>
              <w:tabs>
                <w:tab w:val="left" w:pos="3300"/>
              </w:tabs>
              <w:snapToGrid w:val="0"/>
              <w:spacing w:line="276" w:lineRule="auto"/>
              <w:jc w:val="center"/>
              <w:rPr>
                <w:rFonts w:ascii="함초롬돋움" w:eastAsia="함초롬돋움" w:hAnsi="함초롬돋움" w:cs="함초롬돋움"/>
              </w:rPr>
            </w:pPr>
          </w:p>
        </w:tc>
      </w:tr>
      <w:tr w:rsidR="00D31B16">
        <w:trPr>
          <w:gridBefore w:val="1"/>
          <w:gridAfter w:val="1"/>
          <w:wBefore w:w="262" w:type="dxa"/>
          <w:wAfter w:w="236" w:type="dxa"/>
          <w:trHeight w:val="416"/>
        </w:trPr>
        <w:tc>
          <w:tcPr>
            <w:tcW w:w="8460" w:type="dxa"/>
            <w:vAlign w:val="center"/>
          </w:tcPr>
          <w:p w:rsidR="00D31B16" w:rsidRDefault="00B90911">
            <w:pPr>
              <w:jc w:val="center"/>
              <w:rPr>
                <w:rFonts w:ascii="함초롬돋움" w:eastAsia="함초롬돋움" w:hAnsi="함초롬돋움" w:cs="함초롬돋움"/>
                <w:b/>
                <w:sz w:val="28"/>
                <w:szCs w:val="32"/>
              </w:rPr>
            </w:pPr>
            <w:r>
              <w:rPr>
                <w:rFonts w:ascii="함초롬돋움" w:eastAsia="함초롬돋움" w:hAnsi="함초롬돋움" w:cs="함초롬돋움" w:hint="eastAsia"/>
                <w:b/>
                <w:sz w:val="28"/>
                <w:szCs w:val="32"/>
              </w:rPr>
              <w:t xml:space="preserve">Approval-Based Cross-Document Evidence Retrieval</w:t>
              <w:br/>
              <w:t xml:space="preserve">for Railway Regulation Question Answering</w:t>
            </w:r>
          </w:p>
        </w:tc>
      </w:tr>
      <w:tr w:rsidR="00D31B16">
        <w:trPr>
          <w:gridBefore w:val="1"/>
          <w:gridAfter w:val="1"/>
          <w:wBefore w:w="262" w:type="dxa"/>
          <w:wAfter w:w="236" w:type="dxa"/>
          <w:trHeight w:val="838"/>
        </w:trPr>
        <w:tc>
          <w:tcPr>
            <w:tcW w:w="8460" w:type="dxa"/>
            <w:vAlign w:val="center"/>
          </w:tcPr>
          <w:p w:rsidR="00D31B16" w:rsidRDefault="00D31B16">
            <w:pPr>
              <w:tabs>
                <w:tab w:val="left" w:pos="1260"/>
                <w:tab w:val="left" w:pos="9180"/>
              </w:tabs>
              <w:snapToGrid w:val="0"/>
              <w:spacing w:line="276" w:lineRule="auto"/>
              <w:rPr>
                <w:rFonts w:hAnsi="바탕" w:cs="Times New Roman"/>
              </w:rPr>
            </w:pPr>
          </w:p>
        </w:tc>
      </w:tr>
      <w:tr w:rsidR="00D31B16">
        <w:trPr>
          <w:trHeight w:val="1977"/>
        </w:trPr>
        <w:tc>
          <w:tcPr>
            <w:tcW w:w="8958" w:type="dxa"/>
            <w:gridSpan w:val="3"/>
            <w:vAlign w:val="center"/>
          </w:tcPr>
          <w:p w:rsidR="00D31B16" w:rsidRDefault="00B90911">
            <w:pPr>
              <w:snapToGrid w:val="0"/>
              <w:spacing w:line="276" w:lineRule="auto"/>
              <w:jc w:val="center"/>
              <w:rPr>
                <w:rFonts w:ascii="함초롬돋움" w:eastAsia="함초롬돋움" w:hAnsi="함초롬돋움" w:cs="함초롬돋움"/>
                <w:b/>
                <w:bCs/>
              </w:rPr>
            </w:pPr>
            <w:r>
              <w:rPr>
                <w:rFonts w:ascii="함초롬돋움" w:eastAsia="함초롬돋움" w:hAnsi="함초롬돋움" w:cs="함초롬돋움" w:hint="eastAsia"/>
                <w:b/>
                <w:bCs/>
              </w:rPr>
              <w:t>요</w:t>
            </w:r>
            <w:r>
              <w:rPr>
                <w:rFonts w:ascii="함초롬돋움" w:eastAsia="함초롬돋움" w:hAnsi="함초롬돋움" w:cs="함초롬돋움"/>
                <w:b/>
                <w:bCs/>
              </w:rPr>
              <w:t xml:space="preserve">   </w:t>
            </w:r>
            <w:r>
              <w:rPr>
                <w:rFonts w:ascii="함초롬돋움" w:eastAsia="함초롬돋움" w:hAnsi="함초롬돋움" w:cs="함초롬돋움" w:hint="eastAsia"/>
                <w:b/>
                <w:bCs/>
              </w:rPr>
              <w:t>약</w:t>
            </w:r>
          </w:p>
          <w:p w:rsidR="00D31B16" w:rsidRDefault="00B90911">
            <w:pPr>
              <w:snapToGrid w:val="0"/>
              <w:spacing w:line="276" w:lineRule="auto"/>
              <w:ind w:firstLineChars="50" w:firstLine="97"/>
              <w:rPr>
                <w:rFonts w:ascii="함초롬돋움" w:eastAsia="함초롬돋움" w:hAnsi="함초롬돋움" w:cs="함초롬돋움"/>
                <w:szCs w:val="18"/>
              </w:rPr>
            </w:pPr>
            <w:r>
              <w:rPr>
                <w:rFonts w:ascii="함초롬돋움" w:eastAsia="함초롬돋움" w:hAnsi="함초롬돋움" w:cs="함초롬돋움"/>
                <w:szCs w:val="18"/>
              </w:rPr>
              <w:t xml:space="preserve">철도 규정 질의에는 길라잡이의 조치 절차와 규정의 보고·운전 조건을 함께 확인할 필요가 있다. 본 연구는 관리자가 등록한 링크를 검색에 반영하는 link_all과 관련성이 높은 연결 근거를 선별하는 proposed를 평가했다. 기존 그래프 질의 5건과 링크 기반 신규 질의 15건에서 link_all의 K3 대비 Recall 차이는 각각 +0.128과 +0.267이었으나, 신규 질의는 평가 링크를 먼저 선택해 구성해 일반 현장 질의로 확대하기 어렵다.</w:t>
            </w:r>
          </w:p>
          <w:p w:rsidR="00D31B16" w:rsidRDefault="00D31B16">
            <w:pPr>
              <w:snapToGrid w:val="0"/>
              <w:spacing w:line="276" w:lineRule="auto"/>
              <w:ind w:firstLineChars="50" w:firstLine="90"/>
              <w:rPr>
                <w:rFonts w:ascii="굴림" w:eastAsia="굴림" w:hAnsi="굴림" w:cs="굴림"/>
                <w:sz w:val="18"/>
                <w:szCs w:val="18"/>
              </w:rPr>
            </w:pPr>
          </w:p>
        </w:tc>
      </w:tr>
    </w:tbl>
    <w:p w:rsidR="00D31B16" w:rsidRDefault="00D31B16">
      <w:pPr>
        <w:rPr>
          <w:rFonts w:hAnsi="바탕"/>
        </w:rPr>
        <w:sectPr w:rsidR="00D31B16">
          <w:pgSz w:w="11906" w:h="16838" w:code="9"/>
          <w:pgMar w:top="1701" w:right="567" w:bottom="1134" w:left="567" w:header="0" w:footer="0" w:gutter="0"/>
          <w:cols w:space="720"/>
          <w:docGrid w:type="lines" w:linePitch="360"/>
        </w:sectPr>
      </w:pPr>
    </w:p>
    <w:p>
      <w:pPr>
        <w:keepNext/>
        <w:wordWrap/>
        <w:spacing w:before="0" w:after="0" w:line="300" w:lineRule="exact"/>
      </w:pPr>
      <w:r>
        <w:rPr>
          <w:rFonts w:ascii="함초롬돋움" w:eastAsia="함초롬돋움" w:hAnsi="함초롬돋움" w:cs="함초롬돋움"/>
          <w:b/>
          <w:i w:val="0"/>
          <w:sz w:val="20"/>
        </w:rPr>
        <w:t>1. 서론 및 관련 연구</w:t>
      </w:r>
    </w:p>
    <w:p>
      <w:pPr>
        <w:wordWrap/>
        <w:spacing w:before="0" w:after="0" w:line="300" w:lineRule="exact"/>
        <w:jc w:val="both"/>
      </w:pPr>
      <w:r>
        <w:rPr>
          <w:rFonts w:ascii="함초롬돋움" w:eastAsia="함초롬돋움" w:hAnsi="함초롬돋움" w:cs="함초롬돋움"/>
          <w:b w:val="0"/>
          <w:i w:val="0"/>
          <w:sz w:val="20"/>
        </w:rPr>
        <w:t>설비 고장 절차를 확인하는 기관사와 관제원은 길라잡이의 조치와 규정의 보고·운전 조건을 함께 찾아야 한다. 본 연구는 근거 확인을 지원하며 운전 지시를 대신하지 않는다.</w:t>
      </w:r>
    </w:p>
    <w:p>
      <w:pPr>
        <w:wordWrap/>
        <w:spacing w:before="0" w:after="0" w:line="300" w:lineRule="exact"/>
        <w:jc w:val="both"/>
      </w:pPr>
      <w:r>
        <w:rPr>
          <w:rFonts w:ascii="함초롬돋움" w:eastAsia="함초롬돋움" w:hAnsi="함초롬돋움" w:cs="함초롬돋움"/>
          <w:b w:val="0"/>
          <w:i w:val="0"/>
          <w:sz w:val="20"/>
        </w:rPr>
        <w:t>검색 증강 생성은 외부 근거를 활용하고[1], LLM 재정렬은 후보 순서를 조정한다[2]. GraphRAG·LightRAG·KG²RAG는 문서 관계와 검색 구간의 연결을 활용하며[3–5], CARAG는 철도 공간 지식그래프를, 도시철도 출입문 RAG는 고장 이력과 재정렬을 활용한다[6,7]. LegalBench-RAG와 한국어 법률 QA 연구도 도메인별 검색 근거를 다룬다[8,9]. 본 연구는 관리자 등록 링크를 이용한 철도 교차문서 검색에서 직접 근거를 보존하는 확장의 효과를 비교하고, 연결 근거 선별은 보조로 분석한다.</w:t>
      </w:r>
    </w:p>
    <w:p>
      <w:pPr>
        <w:keepNext/>
        <w:wordWrap/>
        <w:spacing w:before="120" w:after="0" w:line="300" w:lineRule="exact"/>
      </w:pPr>
      <w:r>
        <w:rPr>
          <w:rFonts w:ascii="함초롬돋움" w:eastAsia="함초롬돋움" w:hAnsi="함초롬돋움" w:cs="함초롬돋움"/>
          <w:b/>
          <w:i w:val="0"/>
          <w:sz w:val="20"/>
        </w:rPr>
        <w:t>2. 방법</w:t>
      </w:r>
    </w:p>
    <w:p>
      <w:pPr>
        <w:wordWrap/>
        <w:spacing w:before="0" w:after="0" w:line="300" w:lineRule="exact"/>
        <w:jc w:val="both"/>
      </w:pPr>
      <w:r>
        <w:rPr>
          <w:rFonts w:ascii="함초롬돋움" w:eastAsia="함초롬돋움" w:hAnsi="함초롬돋움" w:cs="함초롬돋움"/>
          <w:b w:val="0"/>
          <w:i w:val="0"/>
          <w:sz w:val="20"/>
        </w:rPr>
        <w:t>BM25는 어휘 일치도, Dense는 임베딩 유사도를 기준으로 검색하고 Hybrid는 두 검색 결과를 결합한다. H+RR은 Hybrid 후보 20개를 재정렬해 직접 근거를 최대 5개 선택한다.</w:t>
      </w:r>
    </w:p>
    <w:p>
      <w:pPr>
        <w:wordWrap/>
        <w:spacing w:before="0" w:after="0" w:line="300" w:lineRule="exact"/>
        <w:jc w:val="both"/>
      </w:pPr>
      <w:r>
        <w:rPr>
          <w:rFonts w:ascii="함초롬돋움" w:eastAsia="함초롬돋움" w:hAnsi="함초롬돋움" w:cs="함초롬돋움"/>
          <w:b w:val="0"/>
          <w:i w:val="0"/>
          <w:sz w:val="20"/>
        </w:rPr>
        <w:t>link_all은 H+RR의 직접 근거에 승인 링크의 반대편 구간을 모두 더해 최대 15개를 구성한다. proposed는 관련성이 높은 연결 근거를 최대 10개 선별해 추가한다. K3는 선택 근거가 세 건보다 적으면 Hybrid 순위로 보충하는 최소 근거 수 기준선이다.</w:t>
      </w:r>
    </w:p>
    <w:p>
      <w:pPr>
        <w:keepNext/>
        <w:spacing w:before="80"/>
        <w:jc w:val="center"/>
      </w:pPr>
      <w:r>
        <w:drawing>
          <wp:inline xmlns:a="http://schemas.openxmlformats.org/drawingml/2006/main" xmlns:pic="http://schemas.openxmlformats.org/drawingml/2006/picture">
            <wp:extent cx="3024000" cy="2352000"/>
            <wp:docPr id="1" name="Picture 1" descr="그림 1. 승인 링크 기반 검색 과정"/>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3024000" cy="2352000"/>
                    </a:xfrm>
                    <a:prstGeom prst="rect"/>
                  </pic:spPr>
                </pic:pic>
              </a:graphicData>
            </a:graphic>
          </wp:inline>
        </w:drawing>
      </w:r>
    </w:p>
    <w:p>
      <w:pPr>
        <w:wordWrap/>
        <w:spacing w:before="0" w:after="80" w:line="300" w:lineRule="exact"/>
        <w:jc w:val="center"/>
      </w:pPr>
      <w:r>
        <w:rPr>
          <w:rFonts w:ascii="함초롬돋움" w:eastAsia="함초롬돋움" w:hAnsi="함초롬돋움" w:cs="함초롬돋움"/>
          <w:b w:val="0"/>
          <w:i w:val="0"/>
          <w:sz w:val="18"/>
        </w:rPr>
        <w:t>그림 1. 직접 근거를 보존하고 연결 근거를 선별한다.</w:t>
      </w:r>
    </w:p>
    <w:p>
      <w:pPr>
        <w:keepNext/>
        <w:wordWrap/>
        <w:spacing w:before="120" w:after="0" w:line="300" w:lineRule="exact"/>
      </w:pPr>
      <w:r>
        <w:rPr>
          <w:rFonts w:ascii="함초롬돋움" w:eastAsia="함초롬돋움" w:hAnsi="함초롬돋움" w:cs="함초롬돋움"/>
          <w:b/>
          <w:i w:val="0"/>
          <w:sz w:val="20"/>
        </w:rPr>
        <w:t>3. 평가 및 결과</w:t>
      </w:r>
    </w:p>
    <w:p>
      <w:pPr>
        <w:wordWrap/>
        <w:spacing w:before="0" w:after="0" w:line="300" w:lineRule="exact"/>
        <w:jc w:val="both"/>
      </w:pPr>
      <w:r>
        <w:rPr>
          <w:rFonts w:ascii="함초롬돋움" w:eastAsia="함초롬돋움" w:hAnsi="함초롬돋움" w:cs="함초롬돋움"/>
          <w:b w:val="0"/>
          <w:i w:val="0"/>
          <w:sz w:val="20"/>
        </w:rPr>
        <w:t>평가 자료는 기존 사례 17건(문서형 12건, 그래프형 5건)과 링크 기반 생성 사례 20건(문서형 5건, 그래프형 15건)으로 구성했다. 신규 그래프 질의는 서로 다른 링크를 먼저 고른 다음 양쪽 문서에서 작성했으며, 검색 결과는 작성에 사용하지 않았다. 철도 운영기관 현업 전문가 1인이 신규 20건을 비맹검 체크리스트로 검토해 질문의 현실성, 정답 근거와 참조 답변의 정확성, 링크의 필요성을 확인했다. 20건 모두 적합 판정을 받아 수정하거나 삭제한 사례는 없었다.</w:t>
      </w:r>
    </w:p>
    <w:p>
      <w:pPr>
        <w:wordWrap/>
        <w:spacing w:before="0" w:after="0" w:line="300" w:lineRule="exact"/>
        <w:jc w:val="both"/>
      </w:pPr>
      <w:r>
        <w:rPr>
          <w:rFonts w:ascii="함초롬돋움" w:eastAsia="함초롬돋움" w:hAnsi="함초롬돋움" w:cs="함초롬돋움"/>
          <w:b w:val="0"/>
          <w:i w:val="0"/>
          <w:sz w:val="20"/>
        </w:rPr>
        <w:t>각 방법은 37개 질의를 세 차례 검색했다. K3의 답변 평가는 첫 번째 실행(r1)에만 RAGAS[10]로 수행하고, 두 번째와 세 번째 실행(r2·r3)은 검색 성능 측정에 사용했다. 검색 지표는 세 차례 실행의 평균이며, K3의 답변 지표는 r1 결과만을 대상으로 비교했다. 생성과 자동 평가에는 gpt-5.6-luna를 사용했고, 검색 및 평가 임베딩에는 각각 text-embedding-3-small과 text-embedding-3-large를 사용했다. 평가에 사용한 승인 링크 36개는 2026년 10월 17일 상태로 스냅샷을 남겼으나, 실행 시점이 서로 달라 모든 실행에서 같은 링크 상태를 사용했는지는 확인하지 못했다. 링크를 통해 회수한 정답 구간은 링크 정답 근거로 별도 표시했다.</w:t>
      </w:r>
    </w:p>
    <w:p>
      <w:pPr>
        <w:keepNext/>
        <w:wordWrap/>
        <w:spacing w:before="80" w:after="40" w:line="240" w:lineRule="auto"/>
        <w:jc w:val="center"/>
      </w:pPr>
      <w:r>
        <w:rPr>
          <w:rFonts w:ascii="함초롬돋움" w:eastAsia="함초롬돋움" w:hAnsi="함초롬돋움" w:cs="함초롬돋움"/>
          <w:b w:val="0"/>
          <w:i w:val="0"/>
          <w:sz w:val="18"/>
        </w:rPr>
        <w:t>표 1. 그래프형 질의의 검색 결과(n=20). 3회 반복 평균±표준편차. H+RR=hybrid_rerank, K3=hybrid_rerank_k3.</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Pr>
      <w:tblGrid>
        <w:gridCol w:w="1073"/>
        <w:gridCol w:w="1268"/>
        <w:gridCol w:w="1268"/>
        <w:gridCol w:w="1268"/>
      </w:tblGrid>
      <w:tr>
        <w:trPr>
          <w:cantSplit/>
          <w:tblHeader/>
        </w:trPr>
        <w:tc>
          <w:tcPr>
            <w:tcW w:type="dxa" w:w="1073"/>
            <w:vAlign w:val="center"/>
          </w:tcPr>
          <w:p>
            <w:pPr>
              <w:keepNext/>
              <w:wordWrap/>
              <w:spacing w:before="0" w:after="0" w:line="240" w:lineRule="auto"/>
              <w:jc w:val="left"/>
            </w:pPr>
            <w:r>
              <w:rPr>
                <w:rFonts w:ascii="함초롬돋움" w:eastAsia="함초롬돋움" w:hAnsi="함초롬돋움" w:cs="함초롬돋움"/>
                <w:b/>
                <w:i w:val="0"/>
                <w:sz w:val="18"/>
              </w:rPr>
              <w:t>변형</w:t>
            </w:r>
          </w:p>
        </w:tc>
        <w:tc>
          <w:tcPr>
            <w:tcW w:type="dxa" w:w="1268"/>
            <w:vAlign w:val="center"/>
          </w:tcPr>
          <w:p>
            <w:pPr>
              <w:keepNext/>
              <w:wordWrap/>
              <w:spacing w:before="0" w:after="0" w:line="240" w:lineRule="auto"/>
              <w:jc w:val="center"/>
            </w:pPr>
            <w:r>
              <w:rPr>
                <w:rFonts w:ascii="함초롬돋움" w:eastAsia="함초롬돋움" w:hAnsi="함초롬돋움" w:cs="함초롬돋움"/>
                <w:b/>
                <w:i w:val="0"/>
                <w:sz w:val="18"/>
              </w:rPr>
              <w:t>Recall</w:t>
            </w:r>
          </w:p>
        </w:tc>
        <w:tc>
          <w:tcPr>
            <w:tcW w:type="dxa" w:w="1268"/>
            <w:vAlign w:val="center"/>
          </w:tcPr>
          <w:p>
            <w:pPr>
              <w:keepNext/>
              <w:wordWrap/>
              <w:spacing w:before="0" w:after="0" w:line="240" w:lineRule="auto"/>
              <w:jc w:val="center"/>
            </w:pPr>
            <w:r>
              <w:rPr>
                <w:rFonts w:ascii="함초롬돋움" w:eastAsia="함초롬돋움" w:hAnsi="함초롬돋움" w:cs="함초롬돋움"/>
                <w:b/>
                <w:i w:val="0"/>
                <w:sz w:val="18"/>
              </w:rPr>
              <w:t>링크 정답</w:t>
            </w:r>
            <w:r>
              <w:br/>
            </w:r>
            <w:r>
              <w:rPr>
                <w:rFonts w:ascii="함초롬돋움" w:eastAsia="함초롬돋움" w:hAnsi="함초롬돋움" w:cs="함초롬돋움"/>
                <w:b/>
                <w:i w:val="0"/>
                <w:sz w:val="18"/>
              </w:rPr>
              <w:t>Recall</w:t>
            </w:r>
          </w:p>
        </w:tc>
        <w:tc>
          <w:tcPr>
            <w:tcW w:type="dxa" w:w="1268"/>
            <w:vAlign w:val="center"/>
          </w:tcPr>
          <w:p>
            <w:pPr>
              <w:keepNext/>
              <w:wordWrap/>
              <w:spacing w:before="0" w:after="0" w:line="240" w:lineRule="auto"/>
              <w:jc w:val="center"/>
            </w:pPr>
            <w:r>
              <w:rPr>
                <w:rFonts w:ascii="함초롬돋움" w:eastAsia="함초롬돋움" w:hAnsi="함초롬돋움" w:cs="함초롬돋움"/>
                <w:b/>
                <w:i w:val="0"/>
                <w:sz w:val="18"/>
              </w:rPr>
              <w:t>근거 수</w:t>
            </w:r>
            <w:r>
              <w:br/>
            </w:r>
            <w:r>
              <w:rPr>
                <w:rFonts w:ascii="함초롬돋움" w:eastAsia="함초롬돋움" w:hAnsi="함초롬돋움" w:cs="함초롬돋움"/>
                <w:b/>
                <w:i w:val="0"/>
                <w:sz w:val="18"/>
              </w:rPr>
              <w:t>/질의</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BM25</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0.592±.000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0.275±.000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5.00±.00</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Dense</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0.383±.000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0.000±.000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5.00±.00</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Hybrid</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0.521±.000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0.150±.000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5.00±.00</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H+RR</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0.586±.019</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0.233±.014</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2.08±.06</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K3</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0.618±.017</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0.225±.043</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3.15±.05</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link_all</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0.850±.014</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0.750±.000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3.08±.03</w:t>
            </w:r>
          </w:p>
        </w:tc>
      </w:tr>
      <w:tr>
        <w:trPr>
          <w:cantSplit/>
        </w:trPr>
        <w:tc>
          <w:tcPr>
            <w:tcW w:type="dxa" w:w="1073"/>
            <w:vAlign w:val="center"/>
          </w:tcPr>
          <w:p>
            <w:pPr>
              <w:keepNext w:val="0"/>
              <w:wordWrap/>
              <w:spacing w:before="0" w:after="0" w:line="240" w:lineRule="auto"/>
              <w:jc w:val="left"/>
            </w:pPr>
            <w:r>
              <w:rPr>
                <w:rFonts w:ascii="함초롬돋움" w:eastAsia="함초롬돋움" w:hAnsi="함초롬돋움" w:cs="함초롬돋움"/>
                <w:b w:val="0"/>
                <w:i w:val="0"/>
                <w:sz w:val="18"/>
              </w:rPr>
              <w:t>proposed</w:t>
            </w:r>
          </w:p>
        </w:tc>
        <w:tc>
          <w:tcPr>
            <w:tcW w:type="dxa" w:w="1268"/>
            <w:vAlign w:val="center"/>
          </w:tcPr>
          <w:p>
            <w:pPr>
              <w:keepNext w:val="0"/>
              <w:wordWrap/>
              <w:spacing w:before="0" w:after="0" w:line="240" w:lineRule="auto"/>
              <w:jc w:val="center"/>
            </w:pPr>
            <w:r>
              <w:rPr>
                <w:rFonts w:ascii="함초롬돋움" w:eastAsia="함초롬돋움" w:hAnsi="함초롬돋움" w:cs="함초롬돋움"/>
                <w:b w:val="0"/>
                <w:i w:val="0"/>
                <w:sz w:val="18"/>
              </w:rPr>
              <w:t>0.839±.046</w:t>
            </w:r>
          </w:p>
        </w:tc>
        <w:tc>
          <w:tcPr>
            <w:tcW w:type="dxa" w:w="1268"/>
            <w:vAlign w:val="center"/>
          </w:tcPr>
          <w:p>
            <w:pPr>
              <w:keepNext w:val="0"/>
              <w:wordWrap/>
              <w:spacing w:before="0" w:after="0" w:line="240" w:lineRule="auto"/>
              <w:jc w:val="center"/>
            </w:pPr>
            <w:r>
              <w:rPr>
                <w:rFonts w:ascii="함초롬돋움" w:eastAsia="함초롬돋움" w:hAnsi="함초롬돋움" w:cs="함초롬돋움"/>
                <w:b w:val="0"/>
                <w:i w:val="0"/>
                <w:sz w:val="18"/>
              </w:rPr>
              <w:t>0.708±.063</w:t>
            </w:r>
          </w:p>
        </w:tc>
        <w:tc>
          <w:tcPr>
            <w:tcW w:type="dxa" w:w="1268"/>
            <w:vAlign w:val="center"/>
          </w:tcPr>
          <w:p>
            <w:pPr>
              <w:keepNext w:val="0"/>
              <w:wordWrap/>
              <w:spacing w:before="0" w:after="0" w:line="240" w:lineRule="auto"/>
              <w:jc w:val="center"/>
            </w:pPr>
            <w:r>
              <w:rPr>
                <w:rFonts w:ascii="함초롬돋움" w:eastAsia="함초롬돋움" w:hAnsi="함초롬돋움" w:cs="함초롬돋움"/>
                <w:b w:val="0"/>
                <w:i w:val="0"/>
                <w:sz w:val="18"/>
              </w:rPr>
              <w:t>3.00±.17</w:t>
            </w:r>
          </w:p>
        </w:tc>
      </w:tr>
    </w:tbl>
    <w:p>
      <w:pPr>
        <w:wordWrap/>
        <w:spacing w:before="0" w:after="0" w:line="120" w:lineRule="exact"/>
      </w:pPr>
    </w:p>
    <w:p>
      <w:pPr>
        <w:keepNext/>
        <w:wordWrap/>
        <w:spacing w:before="80" w:after="40" w:line="240" w:lineRule="auto"/>
        <w:jc w:val="center"/>
      </w:pPr>
      <w:r>
        <w:rPr>
          <w:rFonts w:ascii="함초롬돋움" w:eastAsia="함초롬돋움" w:hAnsi="함초롬돋움" w:cs="함초롬돋움"/>
          <w:b w:val="0"/>
          <w:i w:val="0"/>
          <w:sz w:val="18"/>
        </w:rPr>
        <w:t>표 2. 방법 간 Recall 차이와 링크 정답 Recall 차이. 대괄호는 끝점 군집 부트스트랩 95% 기술 민감도 구간(10,000회). H+RR=hybrid_rerank, L=link_all, P=proposed, K3=hybrid_rerank_k3.</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Pr>
      <w:tblGrid>
        <w:gridCol w:w="1365"/>
        <w:gridCol w:w="1755"/>
        <w:gridCol w:w="1755"/>
      </w:tblGrid>
      <w:tr>
        <w:trPr>
          <w:cantSplit/>
          <w:tblHeader/>
        </w:trPr>
        <w:tc>
          <w:tcPr>
            <w:tcW w:type="dxa" w:w="1365"/>
            <w:vAlign w:val="center"/>
          </w:tcPr>
          <w:p>
            <w:pPr>
              <w:keepNext/>
              <w:wordWrap/>
              <w:spacing w:before="0" w:after="0" w:line="240" w:lineRule="auto"/>
              <w:jc w:val="left"/>
            </w:pPr>
            <w:r>
              <w:rPr>
                <w:rFonts w:ascii="함초롬돋움" w:eastAsia="함초롬돋움" w:hAnsi="함초롬돋움" w:cs="함초롬돋움"/>
                <w:b/>
                <w:i w:val="0"/>
                <w:sz w:val="18"/>
              </w:rPr>
              <w:t>비교</w:t>
            </w:r>
          </w:p>
        </w:tc>
        <w:tc>
          <w:tcPr>
            <w:tcW w:type="dxa" w:w="1755"/>
            <w:vAlign w:val="center"/>
          </w:tcPr>
          <w:p>
            <w:pPr>
              <w:keepNext/>
              <w:wordWrap/>
              <w:spacing w:before="0" w:after="0" w:line="240" w:lineRule="auto"/>
              <w:jc w:val="center"/>
            </w:pPr>
            <w:r>
              <w:rPr>
                <w:rFonts w:ascii="함초롬돋움" w:eastAsia="함초롬돋움" w:hAnsi="함초롬돋움" w:cs="함초롬돋움"/>
                <w:b/>
                <w:i w:val="0"/>
                <w:sz w:val="18"/>
              </w:rPr>
              <w:t>ΔRecall</w:t>
            </w:r>
          </w:p>
        </w:tc>
        <w:tc>
          <w:tcPr>
            <w:tcW w:type="dxa" w:w="1755"/>
            <w:vAlign w:val="center"/>
          </w:tcPr>
          <w:p>
            <w:pPr>
              <w:keepNext/>
              <w:wordWrap/>
              <w:spacing w:before="0" w:after="0" w:line="240" w:lineRule="auto"/>
              <w:jc w:val="center"/>
            </w:pPr>
            <w:r>
              <w:rPr>
                <w:rFonts w:ascii="함초롬돋움" w:eastAsia="함초롬돋움" w:hAnsi="함초롬돋움" w:cs="함초롬돋움"/>
                <w:b/>
                <w:i w:val="0"/>
                <w:sz w:val="18"/>
              </w:rPr>
              <w:t>Δ링크 정답 Recall</w:t>
            </w:r>
          </w:p>
        </w:tc>
      </w:tr>
      <w:tr>
        <w:trPr>
          <w:cantSplit/>
        </w:trPr>
        <w:tc>
          <w:tcPr>
            <w:tcW w:type="dxa" w:w="10773"/>
            <w:gridSpan w:val="3"/>
          </w:tcPr>
          <w:p>
            <w:pPr>
              <w:keepNext/>
              <w:wordWrap/>
              <w:spacing w:before="0" w:after="0" w:line="240" w:lineRule="auto"/>
            </w:pPr>
            <w:r>
              <w:rPr>
                <w:rFonts w:ascii="함초롬돋움" w:eastAsia="함초롬돋움" w:hAnsi="함초롬돋움" w:cs="함초롬돋움"/>
                <w:b/>
                <w:i w:val="0"/>
                <w:sz w:val="18"/>
              </w:rPr>
              <w:t>기존 사례 (사례 5/군집 5)</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L − H+RR</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+0.189</w:t>
            </w:r>
            <w:r>
              <w:br/>
            </w:r>
            <w:r>
              <w:rPr>
                <w:rFonts w:ascii="함초롬돋움" w:eastAsia="함초롬돋움" w:hAnsi="함초롬돋움" w:cs="함초롬돋움"/>
                <w:b w:val="0"/>
                <w:i w:val="0"/>
                <w:sz w:val="18"/>
              </w:rPr>
              <w:t>[+0.072, +0.283]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+0.333</w:t>
            </w:r>
            <w:r>
              <w:br/>
            </w:r>
            <w:r>
              <w:rPr>
                <w:rFonts w:ascii="함초롬돋움" w:eastAsia="함초롬돋움" w:hAnsi="함초롬돋움" w:cs="함초롬돋움"/>
                <w:b w:val="0"/>
                <w:i w:val="0"/>
                <w:sz w:val="18"/>
              </w:rPr>
              <w:t>[+0.033, +0.700]</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P − H+RR</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+0.211</w:t>
            </w:r>
            <w:r>
              <w:br/>
            </w:r>
            <w:r>
              <w:rPr>
                <w:rFonts w:ascii="함초롬돋움" w:eastAsia="함초롬돋움" w:hAnsi="함초롬돋움" w:cs="함초롬돋움"/>
                <w:b w:val="0"/>
                <w:i w:val="0"/>
                <w:sz w:val="18"/>
              </w:rPr>
              <w:t>[+0.100, +0.294]</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+0.367</w:t>
            </w:r>
            <w:r>
              <w:br/>
            </w:r>
            <w:r>
              <w:rPr>
                <w:rFonts w:ascii="함초롬돋움" w:eastAsia="함초롬돋움" w:hAnsi="함초롬돋움" w:cs="함초롬돋움"/>
                <w:b w:val="0"/>
                <w:i w:val="0"/>
                <w:sz w:val="18"/>
              </w:rPr>
              <w:t>[+0.067, +0.700]</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L − K3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+0.128</w:t>
            </w:r>
            <w:r>
              <w:br/>
            </w:r>
            <w:r>
              <w:rPr>
                <w:rFonts w:ascii="함초롬돋움" w:eastAsia="함초롬돋움" w:hAnsi="함초롬돋움" w:cs="함초롬돋움"/>
                <w:b w:val="0"/>
                <w:i w:val="0"/>
                <w:sz w:val="18"/>
              </w:rPr>
              <w:t>[+0.017, +0.244]</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+0.367</w:t>
            </w:r>
            <w:r>
              <w:br/>
            </w:r>
            <w:r>
              <w:rPr>
                <w:rFonts w:ascii="함초롬돋움" w:eastAsia="함초롬돋움" w:hAnsi="함초롬돋움" w:cs="함초롬돋움"/>
                <w:b w:val="0"/>
                <w:i w:val="0"/>
                <w:sz w:val="18"/>
              </w:rPr>
              <w:t>[+0.067, +0.700]</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P − K3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+0.150</w:t>
            </w:r>
            <w:r>
              <w:br/>
            </w:r>
            <w:r>
              <w:rPr>
                <w:rFonts w:ascii="함초롬돋움" w:eastAsia="함초롬돋움" w:hAnsi="함초롬돋움" w:cs="함초롬돋움"/>
                <w:b w:val="0"/>
                <w:i w:val="0"/>
                <w:sz w:val="18"/>
              </w:rPr>
              <w:t>[+0.017, +0.283]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+0.400</w:t>
            </w:r>
            <w:r>
              <w:br/>
            </w:r>
            <w:r>
              <w:rPr>
                <w:rFonts w:ascii="함초롬돋움" w:eastAsia="함초롬돋움" w:hAnsi="함초롬돋움" w:cs="함초롬돋움"/>
                <w:b w:val="0"/>
                <w:i w:val="0"/>
                <w:sz w:val="18"/>
              </w:rPr>
              <w:t>[+0.100, +0.700]</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P − L</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+0.022</w:t>
            </w:r>
            <w:r>
              <w:br/>
            </w:r>
            <w:r>
              <w:rPr>
                <w:rFonts w:ascii="함초롬돋움" w:eastAsia="함초롬돋움" w:hAnsi="함초롬돋움" w:cs="함초롬돋움"/>
                <w:b w:val="0"/>
                <w:i w:val="0"/>
                <w:sz w:val="18"/>
              </w:rPr>
              <w:t>[+0.000, +0.067]</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+0.033</w:t>
            </w:r>
            <w:r>
              <w:br/>
            </w:r>
            <w:r>
              <w:rPr>
                <w:rFonts w:ascii="함초롬돋움" w:eastAsia="함초롬돋움" w:hAnsi="함초롬돋움" w:cs="함초롬돋움"/>
                <w:b w:val="0"/>
                <w:i w:val="0"/>
                <w:sz w:val="18"/>
              </w:rPr>
              <w:t>[+0.000, +0.100]</w:t>
            </w:r>
          </w:p>
        </w:tc>
      </w:tr>
      <w:tr>
        <w:trPr>
          <w:cantSplit/>
        </w:trPr>
        <w:tc>
          <w:tcPr>
            <w:tcW w:type="dxa" w:w="10773"/>
            <w:gridSpan w:val="3"/>
          </w:tcPr>
          <w:p>
            <w:pPr>
              <w:keepNext/>
              <w:wordWrap/>
              <w:spacing w:before="0" w:after="0" w:line="240" w:lineRule="auto"/>
            </w:pPr>
            <w:r>
              <w:rPr>
                <w:rFonts w:ascii="함초롬돋움" w:eastAsia="함초롬돋움" w:hAnsi="함초롬돋움" w:cs="함초롬돋움"/>
                <w:b/>
                <w:i w:val="0"/>
                <w:sz w:val="18"/>
              </w:rPr>
              <w:t>링크 기반 생성 사례 (사례 15/군집 6)</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L − H+RR</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+0.289</w:t>
            </w:r>
            <w:r>
              <w:br/>
            </w:r>
            <w:r>
              <w:rPr>
                <w:rFonts w:ascii="함초롬돋움" w:eastAsia="함초롬돋움" w:hAnsi="함초롬돋움" w:cs="함초롬돋움"/>
                <w:b w:val="0"/>
                <w:i w:val="0"/>
                <w:sz w:val="18"/>
              </w:rPr>
              <w:t>[+0.115, +0.462]</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+0.578</w:t>
            </w:r>
            <w:r>
              <w:br/>
            </w:r>
            <w:r>
              <w:rPr>
                <w:rFonts w:ascii="함초롬돋움" w:eastAsia="함초롬돋움" w:hAnsi="함초롬돋움" w:cs="함초롬돋움"/>
                <w:b w:val="0"/>
                <w:i w:val="0"/>
                <w:sz w:val="18"/>
              </w:rPr>
              <w:t>[+0.286, +0.881]</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P − H+RR</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+0.267</w:t>
            </w:r>
            <w:r>
              <w:br/>
            </w:r>
            <w:r>
              <w:rPr>
                <w:rFonts w:ascii="함초롬돋움" w:eastAsia="함초롬돋움" w:hAnsi="함초롬돋움" w:cs="함초롬돋움"/>
                <w:b w:val="0"/>
                <w:i w:val="0"/>
                <w:sz w:val="18"/>
              </w:rPr>
              <w:t>[+0.133, +0.417]</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+0.511</w:t>
            </w:r>
            <w:r>
              <w:br/>
            </w:r>
            <w:r>
              <w:rPr>
                <w:rFonts w:ascii="함초롬돋움" w:eastAsia="함초롬돋움" w:hAnsi="함초롬돋움" w:cs="함초롬돋움"/>
                <w:b w:val="0"/>
                <w:i w:val="0"/>
                <w:sz w:val="18"/>
              </w:rPr>
              <w:t>[+0.250, +0.800]</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L − K3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+0.267</w:t>
            </w:r>
            <w:r>
              <w:br/>
            </w:r>
            <w:r>
              <w:rPr>
                <w:rFonts w:ascii="함초롬돋움" w:eastAsia="함초롬돋움" w:hAnsi="함초롬돋움" w:cs="함초롬돋움"/>
                <w:b w:val="0"/>
                <w:i w:val="0"/>
                <w:sz w:val="18"/>
              </w:rPr>
              <w:t>[+0.083, +0.440]</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+0.578</w:t>
            </w:r>
            <w:r>
              <w:br/>
            </w:r>
            <w:r>
              <w:rPr>
                <w:rFonts w:ascii="함초롬돋움" w:eastAsia="함초롬돋움" w:hAnsi="함초롬돋움" w:cs="함초롬돋움"/>
                <w:b w:val="0"/>
                <w:i w:val="0"/>
                <w:sz w:val="18"/>
              </w:rPr>
              <w:t>[+0.271, +0.889]</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P − K3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+0.244</w:t>
            </w:r>
            <w:r>
              <w:br/>
            </w:r>
            <w:r>
              <w:rPr>
                <w:rFonts w:ascii="함초롬돋움" w:eastAsia="함초롬돋움" w:hAnsi="함초롬돋움" w:cs="함초롬돋움"/>
                <w:b w:val="0"/>
                <w:i w:val="0"/>
                <w:sz w:val="18"/>
              </w:rPr>
              <w:t>[+0.098, +0.400]</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+0.511</w:t>
            </w:r>
            <w:r>
              <w:br/>
            </w:r>
            <w:r>
              <w:rPr>
                <w:rFonts w:ascii="함초롬돋움" w:eastAsia="함초롬돋움" w:hAnsi="함초롬돋움" w:cs="함초롬돋움"/>
                <w:b w:val="0"/>
                <w:i w:val="0"/>
                <w:sz w:val="18"/>
              </w:rPr>
              <w:t>[+0.246, +0.806]</w:t>
            </w:r>
          </w:p>
        </w:tc>
      </w:tr>
      <w:tr>
        <w:trPr>
          <w:cantSplit/>
        </w:trPr>
        <w:tc>
          <w:tcPr>
            <w:tcW w:type="dxa" w:w="1365"/>
            <w:vAlign w:val="center"/>
          </w:tcPr>
          <w:p>
            <w:pPr>
              <w:keepNext w:val="0"/>
              <w:wordWrap/>
              <w:spacing w:before="0" w:after="0" w:line="240" w:lineRule="auto"/>
              <w:jc w:val="left"/>
            </w:pPr>
            <w:r>
              <w:rPr>
                <w:rFonts w:ascii="함초롬돋움" w:eastAsia="함초롬돋움" w:hAnsi="함초롬돋움" w:cs="함초롬돋움"/>
                <w:b w:val="0"/>
                <w:i w:val="0"/>
                <w:sz w:val="18"/>
              </w:rPr>
              <w:t>P − L</w:t>
            </w:r>
          </w:p>
        </w:tc>
        <w:tc>
          <w:tcPr>
            <w:tcW w:type="dxa" w:w="1755"/>
            <w:vAlign w:val="center"/>
          </w:tcPr>
          <w:p>
            <w:pPr>
              <w:keepNext w:val="0"/>
              <w:wordWrap/>
              <w:spacing w:before="0" w:after="0" w:line="240" w:lineRule="auto"/>
              <w:jc w:val="center"/>
            </w:pPr>
            <w:r>
              <w:rPr>
                <w:rFonts w:ascii="함초롬돋움" w:eastAsia="함초롬돋움" w:hAnsi="함초롬돋움" w:cs="함초롬돋움"/>
                <w:b w:val="0"/>
                <w:i w:val="0"/>
                <w:sz w:val="18"/>
              </w:rPr>
              <w:t>−0.022</w:t>
            </w:r>
            <w:r>
              <w:br/>
            </w:r>
            <w:r>
              <w:rPr>
                <w:rFonts w:ascii="함초롬돋움" w:eastAsia="함초롬돋움" w:hAnsi="함초롬돋움" w:cs="함초롬돋움"/>
                <w:b w:val="0"/>
                <w:i w:val="0"/>
                <w:sz w:val="18"/>
              </w:rPr>
              <w:t>[−0.083, +0.026]</w:t>
            </w:r>
          </w:p>
        </w:tc>
        <w:tc>
          <w:tcPr>
            <w:tcW w:type="dxa" w:w="1755"/>
            <w:vAlign w:val="center"/>
          </w:tcPr>
          <w:p>
            <w:pPr>
              <w:keepNext w:val="0"/>
              <w:wordWrap/>
              <w:spacing w:before="0" w:after="0" w:line="240" w:lineRule="auto"/>
              <w:jc w:val="center"/>
            </w:pPr>
            <w:r>
              <w:rPr>
                <w:rFonts w:ascii="함초롬돋움" w:eastAsia="함초롬돋움" w:hAnsi="함초롬돋움" w:cs="함초롬돋움"/>
                <w:b w:val="0"/>
                <w:i w:val="0"/>
                <w:sz w:val="18"/>
              </w:rPr>
              <w:t>−0.067</w:t>
            </w:r>
            <w:r>
              <w:br/>
            </w:r>
            <w:r>
              <w:rPr>
                <w:rFonts w:ascii="함초롬돋움" w:eastAsia="함초롬돋움" w:hAnsi="함초롬돋움" w:cs="함초롬돋움"/>
                <w:b w:val="0"/>
                <w:i w:val="0"/>
                <w:sz w:val="18"/>
              </w:rPr>
              <w:t>[−0.167, 0.000]</w:t>
            </w:r>
          </w:p>
        </w:tc>
      </w:tr>
    </w:tbl>
    <w:p>
      <w:pPr>
        <w:wordWrap/>
        <w:spacing w:before="0" w:after="0" w:line="120" w:lineRule="exact"/>
      </w:pPr>
    </w:p>
    <w:p>
      <w:pPr>
        <w:wordWrap/>
        <w:spacing w:before="0" w:after="0" w:line="300" w:lineRule="exact"/>
        <w:jc w:val="both"/>
      </w:pPr>
      <w:r>
        <w:rPr>
          <w:rFonts w:ascii="함초롬돋움" w:eastAsia="함초롬돋움" w:hAnsi="함초롬돋움" w:cs="함초롬돋움"/>
          <w:b w:val="0"/>
          <w:i w:val="0"/>
          <w:sz w:val="20"/>
        </w:rPr>
        <w:t>동일한 문서 버전과 조항을 링크 정답 끝점으로 공유하는 질의끼리 묶어 끝점 군집 단위로 재표집했다. 원자료에 링크 ID가 없어 끝점 공유 여부를 군집 기준으로 삼았다.</w:t>
      </w:r>
    </w:p>
    <w:p>
      <w:pPr>
        <w:keepNext/>
        <w:wordWrap/>
        <w:spacing w:before="80" w:after="40" w:line="240" w:lineRule="auto"/>
        <w:jc w:val="center"/>
      </w:pPr>
      <w:r>
        <w:rPr>
          <w:rFonts w:ascii="함초롬돋움" w:eastAsia="함초롬돋움" w:hAnsi="함초롬돋움" w:cs="함초롬돋움"/>
          <w:b w:val="0"/>
          <w:i w:val="0"/>
          <w:sz w:val="18"/>
        </w:rPr>
        <w:t>표 3. proposed와 link_all의 출처별 문맥·답변·지연 차이 (proposed − link_all). 끝점 군집 부트스트랩 95% 구간.</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Pr>
      <w:tblGrid>
        <w:gridCol w:w="1365"/>
        <w:gridCol w:w="1755"/>
        <w:gridCol w:w="1755"/>
      </w:tblGrid>
      <w:tr>
        <w:trPr>
          <w:cantSplit/>
          <w:tblHeader/>
        </w:trPr>
        <w:tc>
          <w:tcPr>
            <w:tcW w:type="dxa" w:w="1365"/>
            <w:vAlign w:val="center"/>
          </w:tcPr>
          <w:p>
            <w:pPr>
              <w:keepNext/>
              <w:wordWrap/>
              <w:spacing w:before="0" w:after="0" w:line="240" w:lineRule="auto"/>
              <w:jc w:val="left"/>
            </w:pPr>
            <w:r>
              <w:rPr>
                <w:rFonts w:ascii="함초롬돋움" w:eastAsia="함초롬돋움" w:hAnsi="함초롬돋움" w:cs="함초롬돋움"/>
                <w:b/>
                <w:i w:val="0"/>
                <w:sz w:val="18"/>
              </w:rPr>
              <w:t>지표</w:t>
            </w:r>
          </w:p>
        </w:tc>
        <w:tc>
          <w:tcPr>
            <w:tcW w:type="dxa" w:w="1755"/>
            <w:vAlign w:val="center"/>
          </w:tcPr>
          <w:p>
            <w:pPr>
              <w:keepNext/>
              <w:wordWrap/>
              <w:spacing w:before="0" w:after="0" w:line="240" w:lineRule="auto"/>
              <w:jc w:val="center"/>
            </w:pPr>
            <w:r>
              <w:rPr>
                <w:rFonts w:ascii="함초롬돋움" w:eastAsia="함초롬돋움" w:hAnsi="함초롬돋움" w:cs="함초롬돋움"/>
                <w:b/>
                <w:i w:val="0"/>
                <w:sz w:val="18"/>
              </w:rPr>
              <w:t>기존 사례</w:t>
            </w:r>
            <w:r>
              <w:br/>
            </w:r>
            <w:r>
              <w:rPr>
                <w:rFonts w:ascii="함초롬돋움" w:eastAsia="함초롬돋움" w:hAnsi="함초롬돋움" w:cs="함초롬돋움"/>
                <w:b/>
                <w:i w:val="0"/>
                <w:sz w:val="18"/>
              </w:rPr>
              <w:t>(5/5)</w:t>
            </w:r>
          </w:p>
        </w:tc>
        <w:tc>
          <w:tcPr>
            <w:tcW w:type="dxa" w:w="1755"/>
            <w:vAlign w:val="center"/>
          </w:tcPr>
          <w:p>
            <w:pPr>
              <w:keepNext/>
              <w:wordWrap/>
              <w:spacing w:before="0" w:after="0" w:line="240" w:lineRule="auto"/>
              <w:jc w:val="center"/>
            </w:pPr>
            <w:r>
              <w:rPr>
                <w:rFonts w:ascii="함초롬돋움" w:eastAsia="함초롬돋움" w:hAnsi="함초롬돋움" w:cs="함초롬돋움"/>
                <w:b/>
                <w:i w:val="0"/>
                <w:sz w:val="18"/>
              </w:rPr>
              <w:t>링크 기반</w:t>
            </w:r>
            <w:r>
              <w:br/>
            </w:r>
            <w:r>
              <w:rPr>
                <w:rFonts w:ascii="함초롬돋움" w:eastAsia="함초롬돋움" w:hAnsi="함초롬돋움" w:cs="함초롬돋움"/>
                <w:b/>
                <w:i w:val="0"/>
                <w:sz w:val="18"/>
              </w:rPr>
              <w:t>생성 사례 (15/6)</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ΔContext</w:t>
            </w:r>
            <w:r>
              <w:br/>
            </w:r>
            <w:r>
              <w:rPr>
                <w:rFonts w:ascii="함초롬돋움" w:eastAsia="함초롬돋움" w:hAnsi="함초롬돋움" w:cs="함초롬돋움"/>
                <w:b w:val="0"/>
                <w:i w:val="0"/>
                <w:sz w:val="18"/>
              </w:rPr>
              <w:t>Precision</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+0.109</w:t>
            </w:r>
            <w:r>
              <w:br/>
            </w:r>
            <w:r>
              <w:rPr>
                <w:rFonts w:ascii="함초롬돋움" w:eastAsia="함초롬돋움" w:hAnsi="함초롬돋움" w:cs="함초롬돋움"/>
                <w:b w:val="0"/>
                <w:i w:val="0"/>
                <w:sz w:val="18"/>
              </w:rPr>
              <w:t>[+0.002, +0.220]</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+0.025</w:t>
            </w:r>
            <w:r>
              <w:br/>
            </w:r>
            <w:r>
              <w:rPr>
                <w:rFonts w:ascii="함초롬돋움" w:eastAsia="함초롬돋움" w:hAnsi="함초롬돋움" w:cs="함초롬돋움"/>
                <w:b w:val="0"/>
                <w:i w:val="0"/>
                <w:sz w:val="18"/>
              </w:rPr>
              <w:t>[+0.008, +0.042]</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ΔAnswer</w:t>
            </w:r>
            <w:r>
              <w:br/>
            </w:r>
            <w:r>
              <w:rPr>
                <w:rFonts w:ascii="함초롬돋움" w:eastAsia="함초롬돋움" w:hAnsi="함초롬돋움" w:cs="함초롬돋움"/>
                <w:b w:val="0"/>
                <w:i w:val="0"/>
                <w:sz w:val="18"/>
              </w:rPr>
              <w:t>Correctness</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−0.003</w:t>
            </w:r>
            <w:r>
              <w:br/>
            </w:r>
            <w:r>
              <w:rPr>
                <w:rFonts w:ascii="함초롬돋움" w:eastAsia="함초롬돋움" w:hAnsi="함초롬돋움" w:cs="함초롬돋움"/>
                <w:b w:val="0"/>
                <w:i w:val="0"/>
                <w:sz w:val="18"/>
              </w:rPr>
              <w:t>[−0.040, +0.042]</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−0.001</w:t>
            </w:r>
            <w:r>
              <w:br/>
            </w:r>
            <w:r>
              <w:rPr>
                <w:rFonts w:ascii="함초롬돋움" w:eastAsia="함초롬돋움" w:hAnsi="함초롬돋움" w:cs="함초롬돋움"/>
                <w:b w:val="0"/>
                <w:i w:val="0"/>
                <w:sz w:val="18"/>
              </w:rPr>
              <w:t>[−0.019, +0.018]</w:t>
            </w:r>
          </w:p>
        </w:tc>
      </w:tr>
      <w:tr>
        <w:trPr>
          <w:cantSplit/>
        </w:trPr>
        <w:tc>
          <w:tcPr>
            <w:tcW w:type="dxa" w:w="1365"/>
            <w:vAlign w:val="center"/>
          </w:tcPr>
          <w:p>
            <w:pPr>
              <w:keepNext w:val="0"/>
              <w:wordWrap/>
              <w:spacing w:before="0" w:after="0" w:line="240" w:lineRule="auto"/>
              <w:jc w:val="left"/>
            </w:pPr>
            <w:r>
              <w:rPr>
                <w:rFonts w:ascii="함초롬돋움" w:eastAsia="함초롬돋움" w:hAnsi="함초롬돋움" w:cs="함초롬돋움"/>
                <w:b w:val="0"/>
                <w:i w:val="0"/>
                <w:sz w:val="18"/>
              </w:rPr>
              <w:t>Δ지연</w:t>
            </w:r>
            <w:r>
              <w:br/>
            </w:r>
            <w:r>
              <w:rPr>
                <w:rFonts w:ascii="함초롬돋움" w:eastAsia="함초롬돋움" w:hAnsi="함초롬돋움" w:cs="함초롬돋움"/>
                <w:b w:val="0"/>
                <w:i w:val="0"/>
                <w:sz w:val="18"/>
              </w:rPr>
              <w:t>(초/질의)</w:t>
            </w:r>
          </w:p>
        </w:tc>
        <w:tc>
          <w:tcPr>
            <w:tcW w:type="dxa" w:w="1755"/>
            <w:vAlign w:val="center"/>
          </w:tcPr>
          <w:p>
            <w:pPr>
              <w:keepNext w:val="0"/>
              <w:wordWrap/>
              <w:spacing w:before="0" w:after="0" w:line="240" w:lineRule="auto"/>
              <w:jc w:val="center"/>
            </w:pPr>
            <w:r>
              <w:rPr>
                <w:rFonts w:ascii="함초롬돋움" w:eastAsia="함초롬돋움" w:hAnsi="함초롬돋움" w:cs="함초롬돋움"/>
                <w:b w:val="0"/>
                <w:i w:val="0"/>
                <w:sz w:val="18"/>
              </w:rPr>
              <w:t>+1.057</w:t>
            </w:r>
            <w:r>
              <w:br/>
            </w:r>
            <w:r>
              <w:rPr>
                <w:rFonts w:ascii="함초롬돋움" w:eastAsia="함초롬돋움" w:hAnsi="함초롬돋움" w:cs="함초롬돋움"/>
                <w:b w:val="0"/>
                <w:i w:val="0"/>
                <w:sz w:val="18"/>
              </w:rPr>
              <w:t>[+0.904, +1.211]</w:t>
            </w:r>
          </w:p>
        </w:tc>
        <w:tc>
          <w:tcPr>
            <w:tcW w:type="dxa" w:w="1755"/>
            <w:vAlign w:val="center"/>
          </w:tcPr>
          <w:p>
            <w:pPr>
              <w:keepNext w:val="0"/>
              <w:wordWrap/>
              <w:spacing w:before="0" w:after="0" w:line="240" w:lineRule="auto"/>
              <w:jc w:val="center"/>
            </w:pPr>
            <w:r>
              <w:rPr>
                <w:rFonts w:ascii="함초롬돋움" w:eastAsia="함초롬돋움" w:hAnsi="함초롬돋움" w:cs="함초롬돋움"/>
                <w:b w:val="0"/>
                <w:i w:val="0"/>
                <w:sz w:val="18"/>
              </w:rPr>
              <w:t>+0.343</w:t>
            </w:r>
            <w:r>
              <w:br/>
            </w:r>
            <w:r>
              <w:rPr>
                <w:rFonts w:ascii="함초롬돋움" w:eastAsia="함초롬돋움" w:hAnsi="함초롬돋움" w:cs="함초롬돋움"/>
                <w:b w:val="0"/>
                <w:i w:val="0"/>
                <w:sz w:val="18"/>
              </w:rPr>
              <w:t>[−0.761, +1.066]</w:t>
            </w:r>
          </w:p>
        </w:tc>
      </w:tr>
    </w:tbl>
    <w:p>
      <w:pPr>
        <w:wordWrap/>
        <w:spacing w:before="0" w:after="0" w:line="120" w:lineRule="exact"/>
      </w:pPr>
    </w:p>
    <w:p>
      <w:pPr>
        <w:wordWrap/>
        <w:spacing w:before="0" w:after="0" w:line="300" w:lineRule="exact"/>
        <w:jc w:val="both"/>
      </w:pPr>
      <w:r>
        <w:rPr>
          <w:rFonts w:ascii="함초롬돋움" w:eastAsia="함초롬돋움" w:hAnsi="함초롬돋움" w:cs="함초롬돋움"/>
          <w:b w:val="0"/>
          <w:i w:val="0"/>
          <w:sz w:val="20"/>
        </w:rPr>
        <w:t>proposed와 K3의 답변 지표는 첫 번째 실행(r1)의 결과끼리 비교했다. 기존 사례에서 Context Precision 차이는 −0.266 [−0.478, −0.099], Answer Correctness 차이는 −0.022 [−0.120, +0.077]이었다. 링크 기반 생성 사례에서는 두 지표의 차이가 각각 +0.020 [−0.047, +0.078], +0.031 [−0.043, +0.136]으로 나타났다.</w:t>
      </w:r>
    </w:p>
    <w:p>
      <w:pPr>
        <w:wordWrap/>
        <w:spacing w:before="0" w:after="0" w:line="300" w:lineRule="exact"/>
        <w:jc w:val="both"/>
      </w:pPr>
      <w:r>
        <w:rPr>
          <w:rFonts w:ascii="함초롬돋움" w:eastAsia="함초롬돋움" w:hAnsi="함초롬돋움" w:cs="함초롬돋움"/>
          <w:b w:val="0"/>
          <w:i w:val="0"/>
          <w:sz w:val="20"/>
        </w:rPr>
        <w:t>그래프형 질의의 평균 지연은 K3 1.446초, link_all 2.157초, proposed 2.678초였다. 토큰 사용 기록이 일관되지 않아 비용은 비교하지 않았다.</w:t>
      </w:r>
    </w:p>
    <w:p>
      <w:pPr>
        <w:keepNext/>
        <w:wordWrap/>
        <w:spacing w:before="120" w:after="0" w:line="300" w:lineRule="exact"/>
      </w:pPr>
      <w:r>
        <w:rPr>
          <w:rFonts w:ascii="함초롬돋움" w:eastAsia="함초롬돋움" w:hAnsi="함초롬돋움" w:cs="함초롬돋움"/>
          <w:b/>
          <w:i w:val="0"/>
          <w:sz w:val="20"/>
        </w:rPr>
        <w:t>4. 논의 및 결론</w:t>
      </w:r>
    </w:p>
    <w:p>
      <w:pPr>
        <w:wordWrap/>
        <w:spacing w:before="0" w:after="0" w:line="300" w:lineRule="exact"/>
        <w:jc w:val="both"/>
      </w:pPr>
      <w:r>
        <w:rPr>
          <w:rFonts w:ascii="함초롬돋움" w:eastAsia="함초롬돋움" w:hAnsi="함초롬돋움" w:cs="함초롬돋움"/>
          <w:b w:val="0"/>
          <w:i w:val="0"/>
          <w:sz w:val="20"/>
        </w:rPr>
        <w:t>기존 그래프형 5건은 개발 자료이고, 평가 링크를 먼저 정해 작성한 신규 15건도 독립 현장 평가 자료가 아니다. 전문가 검토는 라벨 적합성 확인에 그쳤다. 끝점 군집도 5개와 6개뿐이므로 표의 구간은 효과 확정이 아닌 민감도 기술로 해석해야 한다.</w:t>
      </w:r>
    </w:p>
    <w:p>
      <w:pPr>
        <w:wordWrap/>
        <w:spacing w:before="0" w:after="0" w:line="300" w:lineRule="exact"/>
        <w:jc w:val="both"/>
      </w:pPr>
      <w:r>
        <w:rPr>
          <w:rFonts w:ascii="함초롬돋움" w:eastAsia="함초롬돋움" w:hAnsi="함초롬돋움" w:cs="함초롬돋움"/>
          <w:b w:val="0"/>
          <w:i w:val="0"/>
          <w:sz w:val="20"/>
        </w:rPr>
        <w:t>link_all·proposed와 H+RR·K3의 비교는 검색 절차 전체를 대상으로 한다. 평균 근거 수(H+RR 2.08, K3 3.15, link_all 3.08, proposed 3.00건)가 달라 출력 수와 토큰 예산을 통제한 비교가 아니다. 승인 상태는 운영 메타데이터지만, 승인 기준과 문서 개정·폐기 절차는 확인하지 못했다.</w:t>
      </w:r>
    </w:p>
    <w:p>
      <w:pPr>
        <w:wordWrap/>
        <w:spacing w:before="0" w:after="0" w:line="300" w:lineRule="exact"/>
        <w:jc w:val="both"/>
      </w:pPr>
      <w:r>
        <w:rPr>
          <w:rFonts w:ascii="함초롬돋움" w:eastAsia="함초롬돋움" w:hAnsi="함초롬돋움" w:cs="함초롬돋움"/>
          <w:b w:val="0"/>
          <w:i w:val="0"/>
          <w:sz w:val="20"/>
        </w:rPr>
        <w:t>링크 확장은 정답 근거 회수를 늘렸지만 승인 절차의 품질이나 현장 효용을 입증하지는 않는다. 블라인드 사람 평가는 없었고, 연결 근거가 없어도 경고 없이 답한다. 독립 답변 평가와 누락 경고 검증 전에는 운전 판단에 활용할 수 없다.</w:t>
      </w:r>
    </w:p>
    <w:p>
      <w:pPr>
        <w:keepNext/>
        <w:wordWrap/>
        <w:spacing w:before="120" w:after="0" w:line="300" w:lineRule="exact"/>
      </w:pPr>
      <w:r>
        <w:rPr>
          <w:rFonts w:ascii="함초롬돋움" w:eastAsia="함초롬돋움" w:hAnsi="함초롬돋움" w:cs="함초롬돋움"/>
          <w:b/>
          <w:i w:val="0"/>
          <w:sz w:val="20"/>
        </w:rPr>
        <w:t>참고문헌</w:t>
      </w:r>
    </w:p>
    <w:p>
      <w:pPr>
        <w:wordWrap/>
        <w:spacing w:before="0" w:after="20" w:line="240" w:lineRule="exact"/>
        <w:ind w:left="340" w:hanging="340"/>
      </w:pPr>
      <w:r>
        <w:rPr>
          <w:rFonts w:ascii="함초롬돋움" w:eastAsia="함초롬돋움" w:hAnsi="함초롬돋움" w:cs="함초롬돋움"/>
          <w:b w:val="0"/>
          <w:i w:val="0"/>
          <w:sz w:val="18"/>
        </w:rPr>
        <w:t xml:space="preserve">[1] P. Lewis, E. Perez, A. Piktus, F. Petroni, V. Karpukhin, N. Goyal, H. Küttler, M. Lewis, W. Yih, T. Rocktäschel, S. Riedel, and D. Kiela, “Retrieval-Augmented Generation for Knowledge-Intensive NLP Tasks,” </w:t>
      </w:r>
      <w:r>
        <w:rPr>
          <w:rFonts w:ascii="함초롬돋움" w:eastAsia="함초롬돋움" w:hAnsi="함초롬돋움" w:cs="함초롬돋움"/>
          <w:b w:val="0"/>
          <w:i/>
          <w:sz w:val="18"/>
        </w:rPr>
        <w:t>Advances in Neural Information Processing Systems</w:t>
      </w:r>
      <w:r>
        <w:rPr>
          <w:rFonts w:ascii="함초롬돋움" w:eastAsia="함초롬돋움" w:hAnsi="함초롬돋움" w:cs="함초롬돋움"/>
          <w:b w:val="0"/>
          <w:i w:val="0"/>
          <w:sz w:val="18"/>
        </w:rPr>
        <w:t>, vol. 33, pp. 9459–9474, 2020.</w:t>
      </w:r>
    </w:p>
    <w:p>
      <w:pPr>
        <w:wordWrap/>
        <w:spacing w:before="0" w:after="20" w:line="240" w:lineRule="exact"/>
        <w:ind w:left="340" w:hanging="340"/>
      </w:pPr>
      <w:r>
        <w:rPr>
          <w:rFonts w:ascii="함초롬돋움" w:eastAsia="함초롬돋움" w:hAnsi="함초롬돋움" w:cs="함초롬돋움"/>
          <w:b w:val="0"/>
          <w:i w:val="0"/>
          <w:sz w:val="18"/>
        </w:rPr>
        <w:t xml:space="preserve">[2] W. Sun, L. Yan, X. Ma, S. Wang, P. Ren, Z. Chen, D. Yin, and Z. Ren, “Is ChatGPT Good at Search? Investigating Large Language Models as Re-Ranking Agents,” in </w:t>
      </w:r>
      <w:r>
        <w:rPr>
          <w:rFonts w:ascii="함초롬돋움" w:eastAsia="함초롬돋움" w:hAnsi="함초롬돋움" w:cs="함초롬돋움"/>
          <w:b w:val="0"/>
          <w:i/>
          <w:sz w:val="18"/>
        </w:rPr>
        <w:t>Proceedings of EMNLP 2023</w:t>
      </w:r>
      <w:r>
        <w:rPr>
          <w:rFonts w:ascii="함초롬돋움" w:eastAsia="함초롬돋움" w:hAnsi="함초롬돋움" w:cs="함초롬돋움"/>
          <w:b w:val="0"/>
          <w:i w:val="0"/>
          <w:sz w:val="18"/>
        </w:rPr>
        <w:t>, pp. 14918–14937, 2023.</w:t>
      </w:r>
    </w:p>
    <w:p>
      <w:pPr>
        <w:wordWrap/>
        <w:spacing w:before="0" w:after="20" w:line="240" w:lineRule="exact"/>
        <w:ind w:left="340" w:hanging="340"/>
      </w:pPr>
      <w:r>
        <w:rPr>
          <w:rFonts w:ascii="함초롬돋움" w:eastAsia="함초롬돋움" w:hAnsi="함초롬돋움" w:cs="함초롬돋움"/>
          <w:b w:val="0"/>
          <w:i w:val="0"/>
          <w:sz w:val="18"/>
        </w:rPr>
        <w:t>[3] D. Edge, H. Trinh, N. Cheng, J. Bradley, A. Chao, A. Mody, S. Truitt, D. Metropolitansky, R. O. Ness, and J. Larson, “From Local to Global: A Graph RAG Approach to Query-Focused Summarization,” arXiv:2404.16130, 2024.</w:t>
      </w:r>
    </w:p>
    <w:p>
      <w:pPr>
        <w:wordWrap/>
        <w:spacing w:before="0" w:after="20" w:line="240" w:lineRule="exact"/>
        <w:ind w:left="340" w:hanging="340"/>
      </w:pPr>
      <w:r>
        <w:rPr>
          <w:rFonts w:ascii="함초롬돋움" w:eastAsia="함초롬돋움" w:hAnsi="함초롬돋움" w:cs="함초롬돋움"/>
          <w:b w:val="0"/>
          <w:i w:val="0"/>
          <w:sz w:val="18"/>
        </w:rPr>
        <w:t xml:space="preserve">[4] Z. Guo, L. Xia, Y. Yu, T. Ao, and C. Huang, “LightRAG: Simple and Fast Retrieval-Augmented Generation,” in </w:t>
      </w:r>
      <w:r>
        <w:rPr>
          <w:rFonts w:ascii="함초롬돋움" w:eastAsia="함초롬돋움" w:hAnsi="함초롬돋움" w:cs="함초롬돋움"/>
          <w:b w:val="0"/>
          <w:i/>
          <w:sz w:val="18"/>
        </w:rPr>
        <w:t>Findings of EMNLP 2025</w:t>
      </w:r>
      <w:r>
        <w:rPr>
          <w:rFonts w:ascii="함초롬돋움" w:eastAsia="함초롬돋움" w:hAnsi="함초롬돋움" w:cs="함초롬돋움"/>
          <w:b w:val="0"/>
          <w:i w:val="0"/>
          <w:sz w:val="18"/>
        </w:rPr>
        <w:t>, pp. 10746–10761, 2025.</w:t>
      </w:r>
    </w:p>
    <w:p>
      <w:pPr>
        <w:wordWrap/>
        <w:spacing w:before="0" w:after="20" w:line="240" w:lineRule="exact"/>
        <w:ind w:left="340" w:hanging="340"/>
      </w:pPr>
      <w:r>
        <w:rPr>
          <w:rFonts w:ascii="함초롬돋움" w:eastAsia="함초롬돋움" w:hAnsi="함초롬돋움" w:cs="함초롬돋움"/>
          <w:b w:val="0"/>
          <w:i w:val="0"/>
          <w:sz w:val="18"/>
        </w:rPr>
        <w:t xml:space="preserve">[5] X. Zhu, Y. Xie, Y. Liu, Y. Li, and W. Hu, “Knowledge Graph-Guided Retrieval Augmented Generation,” in </w:t>
      </w:r>
      <w:r>
        <w:rPr>
          <w:rFonts w:ascii="함초롬돋움" w:eastAsia="함초롬돋움" w:hAnsi="함초롬돋움" w:cs="함초롬돋움"/>
          <w:b w:val="0"/>
          <w:i/>
          <w:sz w:val="18"/>
        </w:rPr>
        <w:t>Proceedings of NAACL 2025: Human Language Technologies</w:t>
      </w:r>
      <w:r>
        <w:rPr>
          <w:rFonts w:ascii="함초롬돋움" w:eastAsia="함초롬돋움" w:hAnsi="함초롬돋움" w:cs="함초롬돋움"/>
          <w:b w:val="0"/>
          <w:i w:val="0"/>
          <w:sz w:val="18"/>
        </w:rPr>
        <w:t>, vol. 1, pp. 8912–8924, 2025.</w:t>
      </w:r>
    </w:p>
    <w:p>
      <w:pPr>
        <w:wordWrap/>
        <w:spacing w:before="0" w:after="20" w:line="240" w:lineRule="exact"/>
        <w:ind w:left="340" w:hanging="340"/>
      </w:pPr>
      <w:r>
        <w:rPr>
          <w:rFonts w:ascii="함초롬돋움" w:eastAsia="함초롬돋움" w:hAnsi="함초롬돋움" w:cs="함초롬돋움"/>
          <w:b w:val="0"/>
          <w:i w:val="0"/>
          <w:sz w:val="18"/>
        </w:rPr>
        <w:t xml:space="preserve">[6] W. Zheng, M. Yang, Y. Ren, H. Wang, C. Zeng, and Y. Zhang, “CARAG: Context-Aware Retrieval-Augmented Generation for Railway Operation and Maintenance Question Answering over Spatial Knowledge Graph,” </w:t>
      </w:r>
      <w:r>
        <w:rPr>
          <w:rFonts w:ascii="함초롬돋움" w:eastAsia="함초롬돋움" w:hAnsi="함초롬돋움" w:cs="함초롬돋움"/>
          <w:b w:val="0"/>
          <w:i/>
          <w:sz w:val="18"/>
        </w:rPr>
        <w:t>ISPRS International Journal of Geo-Information</w:t>
      </w:r>
      <w:r>
        <w:rPr>
          <w:rFonts w:ascii="함초롬돋움" w:eastAsia="함초롬돋움" w:hAnsi="함초롬돋움" w:cs="함초롬돋움"/>
          <w:b w:val="0"/>
          <w:i w:val="0"/>
          <w:sz w:val="18"/>
        </w:rPr>
        <w:t>, vol. 15, no. 2, Article 78, 2026.</w:t>
      </w:r>
    </w:p>
    <w:p>
      <w:pPr>
        <w:wordWrap/>
        <w:spacing w:before="0" w:after="20" w:line="240" w:lineRule="exact"/>
        <w:ind w:left="340" w:hanging="340"/>
      </w:pPr>
      <w:r>
        <w:rPr>
          <w:rFonts w:ascii="함초롬돋움" w:eastAsia="함초롬돋움" w:hAnsi="함초롬돋움" w:cs="함초롬돋움"/>
          <w:b w:val="0"/>
          <w:i w:val="0"/>
          <w:sz w:val="18"/>
        </w:rPr>
        <w:t xml:space="preserve">[7] L. Huang, Z. Liu, C. Yu, T. Zhu, and B. Yan, “Emergency Operation Scheme Generation for Urban Rail Transit Train Door Systems Using Retrieval-Augmented Large Language Models,” </w:t>
      </w:r>
      <w:r>
        <w:rPr>
          <w:rFonts w:ascii="함초롬돋움" w:eastAsia="함초롬돋움" w:hAnsi="함초롬돋움" w:cs="함초롬돋움"/>
          <w:b w:val="0"/>
          <w:i/>
          <w:sz w:val="18"/>
        </w:rPr>
        <w:t>Sensors</w:t>
      </w:r>
      <w:r>
        <w:rPr>
          <w:rFonts w:ascii="함초롬돋움" w:eastAsia="함초롬돋움" w:hAnsi="함초롬돋움" w:cs="함초롬돋움"/>
          <w:b w:val="0"/>
          <w:i w:val="0"/>
          <w:sz w:val="18"/>
        </w:rPr>
        <w:t>, vol. 26, no. 6, Article 2006, 2026.</w:t>
      </w:r>
    </w:p>
    <w:p>
      <w:pPr>
        <w:wordWrap/>
        <w:spacing w:before="0" w:after="20" w:line="240" w:lineRule="exact"/>
        <w:ind w:left="340" w:hanging="340"/>
      </w:pPr>
      <w:r>
        <w:rPr>
          <w:rFonts w:ascii="함초롬돋움" w:eastAsia="함초롬돋움" w:hAnsi="함초롬돋움" w:cs="함초롬돋움"/>
          <w:b w:val="0"/>
          <w:i w:val="0"/>
          <w:sz w:val="18"/>
        </w:rPr>
        <w:t>[8] N. Pipitone and G. H. Alami, “LegalBench-RAG: A Benchmark for Retrieval-Augmented Generation in the Legal Domain,” arXiv:2408.10343, 2024.</w:t>
      </w:r>
    </w:p>
    <w:p>
      <w:pPr>
        <w:wordWrap/>
        <w:spacing w:before="0" w:after="20" w:line="240" w:lineRule="exact"/>
        <w:ind w:left="340" w:hanging="340"/>
      </w:pPr>
      <w:r>
        <w:rPr>
          <w:rFonts w:ascii="함초롬돋움" w:eastAsia="함초롬돋움" w:hAnsi="함초롬돋움" w:cs="함초롬돋움"/>
          <w:b w:val="0"/>
          <w:i w:val="0"/>
          <w:sz w:val="18"/>
        </w:rPr>
        <w:t xml:space="preserve">[9] 서준원, 민정혜, “한국어 법률 QA를 위한 하이브리드 RAG 시스템 최적화,” </w:t>
      </w:r>
      <w:r>
        <w:rPr>
          <w:rFonts w:ascii="함초롬돋움" w:eastAsia="함초롬돋움" w:hAnsi="함초롬돋움" w:cs="함초롬돋움"/>
          <w:b w:val="0"/>
          <w:i/>
          <w:sz w:val="18"/>
        </w:rPr>
        <w:t>한국컴퓨터정보학회논문지</w:t>
      </w:r>
      <w:r>
        <w:rPr>
          <w:rFonts w:ascii="함초롬돋움" w:eastAsia="함초롬돋움" w:hAnsi="함초롬돋움" w:cs="함초롬돋움"/>
          <w:b w:val="0"/>
          <w:i w:val="0"/>
          <w:sz w:val="18"/>
        </w:rPr>
        <w:t>, 제30권, 제8호, pp. 53–63, 2025.</w:t>
      </w:r>
    </w:p>
    <w:p>
      <w:pPr>
        <w:wordWrap/>
        <w:spacing w:before="0" w:after="20" w:line="240" w:lineRule="exact"/>
        <w:ind w:left="340" w:hanging="340"/>
      </w:pPr>
      <w:r>
        <w:rPr>
          <w:rFonts w:ascii="함초롬돋움" w:eastAsia="함초롬돋움" w:hAnsi="함초롬돋움" w:cs="함초롬돋움"/>
          <w:b w:val="0"/>
          <w:i w:val="0"/>
          <w:sz w:val="18"/>
        </w:rPr>
        <w:t xml:space="preserve">[10] S. Es, J. James, L. Espinosa Anke, and S. Schockaert, “RAGAs: Automated Evaluation of Retrieval Augmented Generation,” in </w:t>
      </w:r>
      <w:r>
        <w:rPr>
          <w:rFonts w:ascii="함초롬돋움" w:eastAsia="함초롬돋움" w:hAnsi="함초롬돋움" w:cs="함초롬돋움"/>
          <w:b w:val="0"/>
          <w:i/>
          <w:sz w:val="18"/>
        </w:rPr>
        <w:t>Proceedings of EACL 2024: System Demonstrations</w:t>
      </w:r>
      <w:r>
        <w:rPr>
          <w:rFonts w:ascii="함초롬돋움" w:eastAsia="함초롬돋움" w:hAnsi="함초롬돋움" w:cs="함초롬돋움"/>
          <w:b w:val="0"/>
          <w:i w:val="0"/>
          <w:sz w:val="18"/>
        </w:rPr>
        <w:t>, pp. 150–158, 2024.</w:t>
      </w:r>
    </w:p>
    <w:sectPr w:rsidR="00D31B16">
      <w:type w:val="continuous"/>
      <w:pgSz w:w="11906" w:h="16838" w:code="9"/>
      <w:pgMar w:top="1701" w:right="567" w:bottom="1134" w:left="567" w:header="0" w:footer="0" w:gutter="0"/>
      <w:cols w:num="2" w:space="720"/>
      <w:docGrid w:type="lines" w:linePitch="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함초롬돋움">
    <w:panose1 w:val="02030504000101010101"/>
    <w:charset w:val="81"/>
    <w:family w:val="modern"/>
    <w:pitch w:val="variable"/>
    <w:sig w:usb0="F7002EFF" w:usb1="19DFFFFF" w:usb2="001BFDD7" w:usb3="00000000" w:csb0="001F007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B16"/>
    <w:rsid w:val="00B90911"/>
    <w:rsid w:val="00D31B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kiise.or.kr/conference02/data/sample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iise.or.kr/conference02/data/sample1.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1604</Characters>
  <Application>Microsoft Office Word</Application>
  <DocSecurity>0</DocSecurity>
  <Lines>13</Lines>
  <Paragraphs>3</Paragraphs>
  <ScaleCrop>false</ScaleCrop>
  <Manager/>
  <Company/>
  <LinksUpToDate>false</LinksUpToDate>
  <CharactersWithSpaces>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철도 규정 질의응답을 위한&lt;br&gt;승인 기반 교차문서 근거 검색</dc:title>
  <dc:subject/>
  <dc:creator/>
  <cp:keywords/>
  <dc:description/>
  <cp:lastModifiedBy/>
  <cp:revision>1</cp:revision>
  <dcterms:created xsi:type="dcterms:W3CDTF">2025-09-22T02:05:00Z</dcterms:created>
  <dcterms:modified xsi:type="dcterms:W3CDTF">2026-09-04T08:52:00Z</dcterms:modified>
  <cp:version>1300.0100.01</cp:version>
</cp:coreProperties>
</file>