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Malgun Gothic" w:hAnsi="Malgun Gothic" w:eastAsia="Malgun Gothic" w:cs="Malgun Gothic"/>
          <w:b/>
          <w:i w:val="0"/>
          <w:sz w:val="26"/>
        </w:rPr>
        <w:t>교차 문서 그래프 링크 구성을 위한 Jev와 대규모 언어 모델의 비교</w:t>
      </w:r>
    </w:p>
    <w:p>
      <w:pPr>
        <w:spacing w:before="0" w:after="80" w:line="240" w:lineRule="auto"/>
        <w:jc w:val="center"/>
      </w:pPr>
      <w:r>
        <w:rPr>
          <w:rFonts w:ascii="Malgun Gothic" w:hAnsi="Malgun Gothic" w:eastAsia="Malgun Gothic" w:cs="Malgun Gothic"/>
          <w:b w:val="0"/>
          <w:i/>
          <w:sz w:val="18"/>
        </w:rPr>
        <w:t>Comparing Jev and Large Language Models for Cross-Document Graph Link Construction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요약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그래프 검색 증강 생성(Graph RAG)의 문서 간 링크 판정에서 TypeSafe Jev와 gpt-5.6-luna 기반 LLM, 두 모델을 잇는 cascade를 같은 후보로 비교했다. 승인 링크 36건의 96개 목표 엣지를 평가한 결과, K=10에서 Jev choice는 LLM pair보다 정밀도(0.247 대 0.146)와 결정 일치율(0.996 대 0.945)이 높고 비용(USD 0.121470 대 0.726212)과 누적 지연(129.75초 대 668.05초)이 낮았으나 재현율은 낮았다(0.062 대 0.222). K=50 Jev choice는 후보가 덮은 49/96 엣지에서 정밀도 0.674, ECE 0.004였지만 전체 재현율은 0.115에 그쳤다. K=10 cascade는 LLM pair보다 F1이 높고 비용·지연이 낮았으나, K=50에서는 Jev choice의 F1이 더 높았다. 후보 누락, 불완전한 gold, 소규모·단일 도메인 자료를 고려하면 어느 판정기가 우월하다고 결론 내릴 수 없다.</w:t>
      </w:r>
    </w:p>
    <w:p w:rsidR="00D31B16" w:rsidRDefault="00D31B16">
      <w:pPr>
        <w:rPr>
          <w:rFonts w:hAnsi="바탕"/>
        </w:rPr>
        <w:sectPr w:rsidR="00D31B16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1. 서론 및 관련 연구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검색 증강 생성(RAG)은 검색 근거를 언어 모델 응답에 연결하고[1], GraphRAG와 KG²RAG는 문서 관계를 그래프로 구성하거나 검색 seed에서 관련 근거를 확장한다[2,3]. 의존 구문 기반 그래프 구성은 LLM 호출을 줄이는 대안이며[4], 법률 문서 상호참조 해소는 문서 구조와 참조 표현을 사용한다[5]. 본 연구는 새 그래프 검색 알고리즘을 제안하지 않는다. 철도 현장 안내 슬라이드와 규정 조항 사이의 링크 후보를 만드는 동일 조건에서 Jev와 범용 LLM의 판정 품질·확률 보정·호출 비용을 비교한다.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Jev의 구조화 판단 API는 선택지별 확률을 반환하고[6,7], 확률을 신뢰도처럼 사용하는 경우 보정도 품질과 별도로 평가해야 한다[8]. 불확실한 요청만 상위 모델로 전달하는 cascade는 비용과 품질의 절충 방법이다[9]. 여기서는 동일 후보에 대한 pair, choice, list 판단과 cascade를 측정해, 정밀도와 재현율·비용 사이의 절충이 실제 링크 구성에서 성립하는지 살핀다.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2. 방법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모든 판정기는 저장된 임베딩 유사도(가중치 0.6)와 BM25(0.4)를 결합한 순위에서 얻은 동일 후보를 사용한다. 규정 말뭉치는 재구성한 354개 조항 단위다. K=10을 주 비교로 하고 후속 비교는 K=50까지 확장했다. Jev pair는 슬라이드–조항 쌍마다 이진 판정하고, Jev choice는 슬라이드마다 후보 중 조항 하나 또는 없음(거절)을 선택한다. LLM pair는 gpt-5.6-luna에 쌍별 판정을 요청하고, LLM list는 한 요청에서 선택 조항 ID와 긍정 확률을 반환한다. Cascade는 Jev 확률이 0.20 이상 0.80 이하인 쌍만 같은 LLM pair 판정으로 넘긴다.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3. 실험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3.1 설정 및 후보 포괄률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평가 gold는 안내 자료에서 규정으로 연결된 사람 승인 `REFERENCES` 링크 36건, 목표 조항 범위 96개이며, 긍정 안내 슬라이드 80쪽에 해당한다. 비교를 위해 미연결 슬라이드 77쪽에서 복원추출한 80건을 더해 총 160쪽을 평가했다. 각 링크–조항 목표의 점수는 승인된 원본 선택에 포함된 슬라이드들의 최대 확률이다. 후보는 임베딩 API 호출 없이 기존 벡터와 BM25로 계산했다. 표 1에서 K=100도 gold 엣지 96개 중 69개만 포괄한다.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1. 후보 수에 따른 승인 gold 포괄률</w:t>
      </w:r>
    </w:p>
    <w:tbl>
      <w:tblPr>
        <w:tblW w:type="dxa" w:w="4763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1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K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후보/슬라이드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엣지 재현율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전체 조항 포괄 링크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10.0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26/96 (0.271)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6/36 (0.167)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20.0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35/96 (0.365)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9/36 (0.250)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50.0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49/96 (0.510)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11/36 (0.306)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100.0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69/96 (0.719)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19/36 (0.528)</w:t>
            </w:r>
          </w:p>
        </w:tc>
      </w:tr>
    </w:tbl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3.2 엣지 품질, 보정 및 비용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주 비교의 모든 판정기는 슬라이드마다 동일한 상위 10개 후보를 받았다. precision(P), recall(R), F1은 확률 임계값 0.5에서 계산했으며, 점수 기준선만 원래 하이브리드 점수를 사용한다. 표 2의 확률 지표는 세 반복의 평균±표본 표준편차다. 기대 보정 오차(ECE)는 10개 균등 구간을 쓰고 누락 gold에는 확률 0을 부여했다. 결정 일치율은 세 반복에서 동일한 임계값 판정이 나온 후보 엣지 비율이다. 비용은 3회 실행 합계이며, 총 지연은 순차 API 호출 시간의 합으로 로컬 처리 시간은 제외한다.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표 2. K=10 엣지 판정 및 호출 결과</w:t>
      </w:r>
    </w:p>
    <w:tbl>
      <w:tblPr>
        <w:tblW w:type="dxa" w:w="4763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1"/>
        <w:gridCol w:w="1134"/>
        <w:gridCol w:w="1134"/>
        <w:gridCol w:w="1134"/>
      </w:tblGrid>
      <w:tr>
        <w:trPr>
          <w:cantSplit/>
          <w:tblHeader w:val="true"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판정기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P / R / F1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ECE / 일치율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i w:val="0"/>
                <w:sz w:val="18"/>
              </w:rPr>
              <w:t>USD / 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하이브리드 점수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0.000 / 0.000 / 0.000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해당 없음 / 1.000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0.000000 / 0.00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Jev pair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0.123±0.009 / 0.087±0.006 / 0.102±0.007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0.079±0.001 / 0.991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0.236291 / 148.94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Jev choice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0.247±0.015 / 0.062±0.000 / 0.100±0.001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0.064±0.001 / 0.996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0.121470 / 129.75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LLM pair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0.146±0.010 / 0.222±0.006 / 0.176±0.009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0.122±0.005 / 0.945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0.726212 / 668.05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LLM list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0.126±0.012 / 0.160±0.006 / 0.140±0.010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0.101±0.006 / 0.963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0.254104 / 284.13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Cascade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0.177±0.047 / 0.205±0.012 / 0.187±0.023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0.096±0.026 / 0.936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8"/>
              </w:rPr>
              <w:t>0.392360 / 221.49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K=10에서는 LLM pair가 Jev choice보다 재현율이 높지만(0.222 대 0.062), 정밀도는 낮고 비용은 약 6배, 총 지연은 약 5배였다. Cascade는 LLM pair보다 F1이 높고 비용과 지연이 낮았으나, Jev choice보다 정밀도가 낮고 보정 오차가 컸다. K=50에서 Jev choice의 후보 포괄률은 49/96 (0.510)이었다. 포괄된 gold만 분모에 둔 조건부 지표는 P=0.674±0.023, R=0.224±0.000, F1=0.337±0.003, ECE=0.004±0.000이었다. 후보에서 빠진 gold를 false negative로 포함하면 R=0.115±0.000, F1=0.196±0.001이다. 같은 K의 Cascade는 조건부 R=0.578±0.139로 더 높지만 P=0.106±0.025, F1=0.179±0.043, ECE=0.088±0.002였고, 전체 R/F1은 0.295±0.071/0.156±0.037이었다. K=50 3회 비용은 Jev choice USD 0.395796, Jev 호출 재사용을 포함한 Cascade USD 1.601804였으며, 이 후속 비교의 지연은 집계되지 않았다. 따라서 cascade는 K=10에서 LLM pair보다 유리한 비용–F1 점을 보였지만, K=50에서 최선의 절충은 아니었다.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18"/>
        </w:rPr>
        <w:t>3.3 후속 검색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K=10 링크로 평가한 전체 37개 질의에서 retrieval recall/MRR/nDCG@10/링크 gold 재현율은 링크 없음 0.773/0.986/0.815/0.200, Jev pair 0.818/0.986/0.851/0.350, LLM pair 0.813/0.968/0.840/0.400, Cascade 0.840/0.986/0.869/0.450이었다. 정답 링크 집합은 0.912/0.982/0.919/0.750이었다. 링크 gold 재현율은 `via_link` 정답이 정의된 질의만 평균했다. K=50 최선 Jev choice와 Cascade의 downstream 평가는 API 크레딧 소진으로 실행되지 않았다. K=100 Jev 판정은 3회 중 1회만 완료했고, LLM pair는 할당량 부족으로 800개 중 302개 호출 뒤 중단되어 성능값을 산출하지 않았다.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4. 결론 및 한계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관측 범위에서 Jev choice는 낮은 비용·지연, 높은 결정 일치율과 높은 정밀도를 보이는 대신 재현율을 잃었다. LLM pair는 K=10에서 더 많은 승인 엣지를 찾았지만 false positive가 늘고 비용·지연이 컸다. Cascade는 K=10에서 LLM pair보다 비용과 F1의 절충이 나았지만, K=50 Jev choice를 앞서지 못했다. 가장 큰 병목은 판정기보다 후보 생성이며, K=50에도 승인 엣지의 0.510만 후보에 들어왔다.</w:t>
      </w:r>
    </w:p>
    <w:p>
      <w:pPr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8"/>
        </w:rPr>
        <w:t>gold는 승인 링크만 양성으로 둔 불완전 라벨이므로, 미승인 엣지는 오답이 아니라 미검토일 수 있고 precision은 현재 승인과의 일치도를 뜻한다. 평가는 한 도메인의 승인 링크 36건에 한정되며, 예측 엣지의 전문가 재판정이나 독립 답변 품질 검증은 수행하지 않았다. ECE와 임계값 결과 역시 작은 동일 자료에 대한 기술 통계이지 일반화 성능 보장이 아니다. K=50 최선 링크 세트의 downstream 결과와 완결된 대규모 LLM 비교는 없으므로, cascade의 보편적 우위를 주장하지 않는다. 결과는 문서 링크 구성 가능성의 파일럿 비교로 해석해야 한다.</w:t>
      </w:r>
    </w:p>
    <w:p>
      <w:pPr>
        <w:keepNext/>
        <w:spacing w:before="0" w:after="40" w:line="240" w:lineRule="auto"/>
        <w:jc w:val="left"/>
      </w:pPr>
      <w:r>
        <w:rPr>
          <w:rFonts w:ascii="Malgun Gothic" w:hAnsi="Malgun Gothic" w:eastAsia="Malgun Gothic" w:cs="Malgun Gothic"/>
          <w:b/>
          <w:i w:val="0"/>
          <w:sz w:val="20"/>
        </w:rPr>
        <w:t>참고문헌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[1] P. Lewis, E. Perez, A. Piktus, F. Petroni, V. Karpukhin, N. Goyal, H. Küttler, M. Lewis, W. Yih, T. Rocktäschel, S. Riedel, and D. Kiela, “Retrieval-Augmented Generation for Knowledge-Intensive NLP Tasks,” </w:t>
      </w:r>
      <w:r>
        <w:rPr>
          <w:rFonts w:ascii="Malgun Gothic" w:hAnsi="Malgun Gothic" w:eastAsia="Malgun Gothic" w:cs="Malgun Gothic"/>
          <w:b w:val="0"/>
          <w:i/>
          <w:sz w:val="15"/>
        </w:rPr>
        <w:t>Advances in Neural Information Processing Systems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vol. 33, pp. 9459–9474, 2020.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[2] D. Edge, H. Trinh, N. Cheng, J. Bradley, A. Chao, A. Mody, S. Truitt, D. Metropolitansky, R. O. Ness, and J. Larson, “From Local to Global: A Graph RAG Approach to Query-Focused Summarization,” arXiv:2404.16130, 2024.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[3] X. Zhu, Y. Xie, Y. Liu, Y. Li, and W. Hu, “Knowledge Graph-Guided Retrieval Augmented Generation,” in </w:t>
      </w:r>
      <w:r>
        <w:rPr>
          <w:rFonts w:ascii="Malgun Gothic" w:hAnsi="Malgun Gothic" w:eastAsia="Malgun Gothic" w:cs="Malgun Gothic"/>
          <w:b w:val="0"/>
          <w:i/>
          <w:sz w:val="15"/>
        </w:rPr>
        <w:t>Proceedings of NAACL-HLT 2025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pp. 8912–8924, 2025.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[4] C. Min, R. Mathew, J. Pan, S. Bansal, A. Keshavarzi, and A. V. Kannan, “Efficient Knowledge Graph Construction and Retrieval from Unstructured Text for Large-Scale RAG Systems,” arXiv:2507.03226, 2025.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[5] N. Sannier, M. Adedjouma, M. Sabetzadeh, and L. Briand, “An Automated Framework for Detection and Resolution of Cross References in Legal Texts,” </w:t>
      </w:r>
      <w:r>
        <w:rPr>
          <w:rFonts w:ascii="Malgun Gothic" w:hAnsi="Malgun Gothic" w:eastAsia="Malgun Gothic" w:cs="Malgun Gothic"/>
          <w:b w:val="0"/>
          <w:i/>
          <w:sz w:val="15"/>
        </w:rPr>
        <w:t>Requirements Engineering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vol. 22, no. 2, pp. 215–237, 2017.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[6] D. Almeida, “Introducing System One Models &amp; Jev,” TypeSafe AI, company blog.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[7] TypeSafe AI, “System One API documentation,” https://docs.typesafe.ai/llms.txt, accessed 2026.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 xml:space="preserve">[8] C. Guo, G. Pleiss, Y. Sun, and K. Q. Weinberger, “On Calibration of Modern Neural Networks,” in </w:t>
      </w:r>
      <w:r>
        <w:rPr>
          <w:rFonts w:ascii="Malgun Gothic" w:hAnsi="Malgun Gothic" w:eastAsia="Malgun Gothic" w:cs="Malgun Gothic"/>
          <w:b w:val="0"/>
          <w:i/>
          <w:sz w:val="15"/>
        </w:rPr>
        <w:t>Proceedings of the 34th International Conference on Machine Learning</w:t>
      </w:r>
      <w:r>
        <w:rPr>
          <w:rFonts w:ascii="Malgun Gothic" w:hAnsi="Malgun Gothic" w:eastAsia="Malgun Gothic" w:cs="Malgun Gothic"/>
          <w:b w:val="0"/>
          <w:i w:val="0"/>
          <w:sz w:val="15"/>
        </w:rPr>
        <w:t>, PMLR 70, pp. 1321–1330, 2017.</w:t>
      </w:r>
    </w:p>
    <w:p>
      <w:pPr>
        <w:spacing w:before="0" w:after="0" w:line="240" w:lineRule="auto"/>
        <w:jc w:val="left"/>
      </w:pPr>
      <w:r>
        <w:rPr>
          <w:rFonts w:ascii="Malgun Gothic" w:hAnsi="Malgun Gothic" w:eastAsia="Malgun Gothic" w:cs="Malgun Gothic"/>
          <w:b w:val="0"/>
          <w:i w:val="0"/>
          <w:sz w:val="15"/>
        </w:rPr>
        <w:t>[9] L. Chen, M. Zaharia, and J. Zou, “FrugalGPT: How to Use Large Language Models While Reducing Cost and Improving Performance,” arXiv:2305.05176, 2023.</w:t>
      </w:r>
    </w:p>
    <w:sectPr w:rsidR="00D31B16">
      <w:type w:val="continuous"/>
      <w:pgSz w:w="11906" w:h="16838" w:code="9"/>
      <w:pgMar w:top="1701" w:right="567" w:bottom="1134" w:left="567" w:header="0" w:footer="0" w:gutter="0"/>
      <w:cols w:num="2" w:space="720"/>
      <w:docGrid w:type="lines" w:linePitch="2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함초롬돋움">
    <w:panose1 w:val="02030504000101010101"/>
    <w:charset w:val="81"/>
    <w:family w:val="modern"/>
    <w:pitch w:val="variable"/>
    <w:sig w:usb0="F7002EFF" w:usb1="19DFFFFF" w:usb2="001BFDD7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CC4F8A"/>
    <w:multiLevelType w:val="hybridMultilevel"/>
    <w:tmpl w:val="E6029D4A"/>
    <w:lvl w:ilvl="0" w:tplc="182A811E">
      <w:start w:val="1"/>
      <w:numFmt w:val="decimalEnclosedCircle"/>
      <w:lvlText w:val="%1"/>
      <w:lvlJc w:val="left"/>
      <w:pPr>
        <w:ind w:left="760" w:hanging="360"/>
      </w:pPr>
      <w:rPr>
        <w:rFonts w:cs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B16"/>
    <w:rsid w:val="00B90911"/>
    <w:rsid w:val="00D3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/>
    <w:lsdException w:name="No Spacing" w:uiPriority="1" w:qFormat="1"/>
    <w:lsdException w:name="Revision" w:semiHidden="1"/>
    <w:lsdException w:name="List Paragraph" w:qFormat="1"/>
    <w:lsdException w:name="Quote" w:qFormat="1"/>
    <w:lsdException w:name="Intense Quote" w:qFormat="1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기본 단락 글꼴1"/>
    <w:uiPriority w:val="1"/>
    <w:semiHidden/>
    <w:unhideWhenUsed/>
  </w:style>
  <w:style w:type="table" w:customStyle="1" w:styleId="11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2">
    <w:name w:val="목록 없음1"/>
    <w:uiPriority w:val="99"/>
    <w:semiHidden/>
    <w:unhideWhenUsed/>
  </w:style>
  <w:style w:type="character" w:customStyle="1" w:styleId="13">
    <w:name w:val="하이퍼링크1"/>
    <w:rPr>
      <w:color w:val="0000FF"/>
      <w:u w:val="single"/>
    </w:rPr>
  </w:style>
  <w:style w:type="paragraph" w:styleId="a3">
    <w:name w:val="caption"/>
    <w:basedOn w:val="a"/>
    <w:next w:val="a"/>
    <w:qFormat/>
    <w:rPr>
      <w:b/>
      <w:bCs/>
    </w:rPr>
  </w:style>
  <w:style w:type="paragraph" w:customStyle="1" w:styleId="14">
    <w:name w:val="머리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15">
    <w:name w:val="바닥글1"/>
    <w:basedOn w:val="a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customStyle="1" w:styleId="16">
    <w:name w:val="표 구분선1"/>
    <w:basedOn w:val="11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pPr>
      <w:wordWrap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5">
    <w:name w:val="참고문헌(내용)"/>
    <w:basedOn w:val="a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customStyle="1" w:styleId="17">
    <w:name w:val="각주 참조1"/>
    <w:semiHidden/>
    <w:rPr>
      <w:vertAlign w:val="superscript"/>
    </w:rPr>
  </w:style>
  <w:style w:type="paragraph" w:customStyle="1" w:styleId="18">
    <w:name w:val="일반 (웹)1"/>
    <w:basedOn w:val="a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9">
    <w:name w:val="열어본 하이퍼링크1"/>
    <w:rPr>
      <w:color w:val="800080"/>
      <w:u w:val="single"/>
    </w:rPr>
  </w:style>
  <w:style w:type="character" w:styleId="a6">
    <w:name w:val="Emphasis"/>
    <w:qFormat/>
    <w:rPr>
      <w:i/>
      <w:iCs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기본 단락 글꼴2"/>
    <w:uiPriority w:val="1"/>
    <w:semiHidden/>
    <w:unhideWhenUsed/>
  </w:style>
  <w:style w:type="numbering" w:customStyle="1" w:styleId="21">
    <w:name w:val="목록 없음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kiise.or.kr/conference02/data/sample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iise.or.kr/conference02/data/sample1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1604</Characters>
  <Application>Microsoft Office Word</Application>
  <DocSecurity>0</DocSecurity>
  <Lines>13</Lines>
  <Paragraphs>3</Paragraphs>
  <ScaleCrop>false</ScaleCrop>
  <Manager/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교차 문서 그래프 링크 구성을 위한 Jev와 대규모 언어 모델의 비교</dc:title>
  <dc:subject/>
  <dc:creator/>
  <cp:keywords/>
  <dc:description/>
  <cp:lastModifiedBy/>
  <cp:revision>1</cp:revision>
  <dcterms:created xsi:type="dcterms:W3CDTF">2025-09-22T02:05:00Z</dcterms:created>
  <dcterms:modified xsi:type="dcterms:W3CDTF">2026-09-04T08:52:00Z</dcterms:modified>
  <cp:version>1300.0100.01</cp:version>
</cp:coreProperties>
</file>