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 xml:space="preserve">Revisión metodológica del sondeo</w:t>
      </w:r>
    </w:p>
    <w:p>
      <w:pPr>
        <w:jc w:val="center"/>
      </w:pPr>
      <w:r>
        <w:t xml:space="preserve">AM Taller Autocentro</w:t>
      </w:r>
      <w:r>
        <w:br/>
        <w:t xml:space="preserve">Actividad 10 Resultados de la investigación de mercados</w:t>
      </w:r>
      <w:r>
        <w:br/>
        <w:t xml:space="preserve">Pendiente integrar respuestas reales</w:t>
      </w:r>
    </w:p>
    <w:p>
      <w:pPr>
        <w:jc w:val="center"/>
      </w:pPr>
      <w:r>
        <w:t>Martín Jonathan de la Cruz Muñoz</w:t>
        <w:br/>
        <w:t>Matrícula 26130503</w:t>
        <w:br/>
        <w:t>Docente Celia Velázquez Reyna</w:t>
      </w:r>
    </w:p>
    <w:p>
      <w:pPr>
        <w:jc w:val="center"/>
      </w:pPr>
      <w:r>
        <w:t xml:space="preserve">Monterrey, Nuevo León</w:t>
      </w:r>
      <w:r>
        <w:br/>
        <w:t xml:space="preserve">30 de septiembre de 2026</w:t>
      </w:r>
    </w:p>
    <w:p>
      <w:r>
        <w:br w:type="page"/>
      </w:r>
    </w:p>
    <w:p>
      <w:pPr>
        <w:pStyle w:val="Heading1"/>
        <w:keepNext/>
      </w:pPr>
      <w:r>
        <w:t xml:space="preserve">Propósito de la revisión</w:t>
      </w:r>
    </w:p>
    <w:p>
      <w:pPr>
        <w:widowControl/>
        <w:spacing w:after="140"/>
      </w:pPr>
      <w:r>
        <w:t xml:space="preserve">Esta revisión organiza el sondeo real que falta integrar al estudio de AM Taller Autocentro. La observación documental de cuatro oferentes y dos modalidades alternativas se conserva como antecedente de oferta. Para completar la demanda se requiere preguntar a personas residentes en Monterrey qué servicios utilizan, con qué frecuencia, cuánto gastan y qué tan satisfechas quedan. Todavía no se dispone de sus respuestas; esta copia es de trabajo y no acredita una corrección concluida.</w:t>
      </w:r>
    </w:p>
    <w:p>
      <w:pPr>
        <w:widowControl/>
        <w:spacing w:after="140"/>
      </w:pPr>
      <w:r>
        <w:t xml:space="preserve">Se mantiene la continuidad con los instrumentos de la actividad 5 y la delimitación municipal de la actividad 7. Se retoman sus códigos sin fusionar preguntas. Se agrega D03R para residencia, porque D03 pregunta dónde se utiliza principalmente el vehículo y no demuestra por sí sola que la persona resida en Monterrey.</w:t>
      </w:r>
    </w:p>
    <w:p>
      <w:pPr>
        <w:pStyle w:val="Heading1"/>
        <w:keepNext/>
      </w:pPr>
      <w:r>
        <w:t xml:space="preserve">Método y alcance del sondeo</w:t>
      </w:r>
    </w:p>
    <w:p>
      <w:pPr>
        <w:widowControl/>
        <w:spacing w:after="140"/>
      </w:pPr>
      <w:r>
        <w:t>El 28 de septiembre de 2026 se revisaron páginas de los propios prestadores y el servicio estadístico oficial de INEGI. La selección fue intencional: establecimientos publicados en Monterrey con mantenimiento, reparación o diagnóstico automotriz. Se registraron ubicación, servicios anunciados, recepción, cotización y disponibilidad de precios comparables. La observación corresponde a publicaciones comerciales; no se realizaron visitas, llamadas, reservas ni solicitudes de cotización.</w:t>
      </w:r>
    </w:p>
    <w:p>
      <w:pPr>
        <w:widowControl/>
        <w:spacing w:after="140"/>
      </w:pPr>
      <w:r>
        <w:t xml:space="preserve">El sondeo se aplicará por conveniencia a personas disponibles que acepten participar, tengan 18 años o más, residan en el municipio de Monterrey y decidan o compartan la atención de un vehículo ligero. Se registrarán las fechas y zonas generales reales de aplicación; aún están por registrar. No se requiere selección aleatoria para esta exploración. Se describirá a quienes respondan, sin generalizar sus porcentajes a todo Monterrey. La consigna previa solicita Google Forms y enviarlo al menos a 30 personas; la distribución y las respuestas se documentarán por separado. La investigación documental no reemplaza este sondeo.</w:t>
      </w:r>
    </w:p>
    <w:p>
      <w:r>
        <w:br w:type="page"/>
      </w:r>
    </w:p>
    <w:p>
      <w:pPr>
        <w:pStyle w:val="Heading1"/>
        <w:keepNext/>
      </w:pPr>
      <w:r>
        <w:t>Contexto territorial y oferta observada</w:t>
      </w:r>
    </w:p>
    <w:p>
      <w:pPr>
        <w:widowControl/>
        <w:spacing w:after="140"/>
      </w:pPr>
      <w:r>
        <w:t xml:space="preserve">El municipio de Monterrey, clave 19039, registró 1,142,994 habitantes y 329,095 viviendas habitadas en el Censo 2020 (INEGI, 2020). Son unidades y fecha históricas; no representan vehículos, compradores o demanda de 2026. Para este sondeo se verificará residencia en Monterrey mediante D03R y se conservará por separado D03, municipio de uso principal del vehículo.</w:t>
      </w:r>
    </w:p>
    <w:tbl>
      <w:tblPr>
        <w:tblW w:type="auto" w:w="0"/>
        <w:jc w:val="center"/>
        <w:tblLayout w:type="fixed"/>
        <w:tblLook w:firstColumn="1" w:firstRow="1" w:lastColumn="0" w:lastRow="0" w:noHBand="0" w:noVBand="1" w:val="04A0"/>
      </w:tblPr>
      <w:tblGrid>
        <w:gridCol w:w="2880"/>
        <w:gridCol w:w="3744"/>
        <w:gridCol w:w="2736"/>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Oferente y ubicación publicada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Servicios pertinentes</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Acceso anunciado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Grease Monkey by Automart</w:t>
              <w:br/>
              <w:t>Obispado</w:t>
              <w:br/>
              <w:t>Francisco Garza Sada 2806, Deportivo Obispado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Aceite, afinación, frenos, suspensión, diagnóstico y mantenimiento preventivo. Catálogo de la red.</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Sin cita; contacto por WhatsApp. Horarios por sucursal.</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Midas Ruiz Cortines</w:t>
              <w:br/>
              <w:t>Ruiz Cortines 306 Pte., Mitras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Diagnóstico por computadora, prevención, aceite, llantas, frenos y transmisión.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Formulario; proceso de diagnóstico, cotización, servicio y entrega.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AutoCenter MTY Centro</w:t>
              <w:br/>
              <w:t>José María Arteaga 1450,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Mecánica de gasolina y diésel, prevención, diagnóstico, refaccionaria y flotillas. Oferta del grupo.</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Contacto web; anuncia recolección a domicilio.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Pronto Autoservicio Gonzalitos</w:t>
              <w:br/>
              <w:t>Gonzalitos 108, Vista Hermosa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Ficha de mantenimiento preventivo; la red anuncia afinación, frenos, llantas y reparación.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Reserva web y pago en sucursal; confirmar servicio en la sede.</w:t>
            </w:r>
          </w:p>
        </w:tc>
      </w:tr>
    </w:tbl>
    <w:p>
      <w:pPr>
        <w:spacing w:after="40"/>
      </w:pPr>
    </w:p>
    <w:p>
      <w:pPr>
        <w:widowControl/>
        <w:spacing w:after="140"/>
      </w:pPr>
      <w:r>
        <w:t>Fuentes: Automart (s. f.), Midas México (s. f.), AutoCenter MTY (s. f.) y Pronto Autoservicio (s. f.-a, s. f.-c). Consulta del 28/09/2026. El catálogo de una red no garantiza disponibilidad de cada servicio en cada establecimiento. La selección no constituye un censo de talleres ni permite estimar participación de mercado.</w:t>
      </w:r>
    </w:p>
    <w:p>
      <w:r>
        <w:br w:type="page"/>
      </w:r>
    </w:p>
    <w:p>
      <w:pPr>
        <w:pStyle w:val="Heading1"/>
        <w:keepNext/>
      </w:pPr>
      <w:r>
        <w:t>Competencia y alternativas de atención</w:t>
      </w:r>
    </w:p>
    <w:p>
      <w:pPr>
        <w:widowControl/>
        <w:spacing w:after="140"/>
      </w:pPr>
      <w:r>
        <w:t>La superposición de mantenimiento, diagnóstico y reparación indica que ofrecer esas categorías por sí solo no acredita una ventaja competitiva. El contacto digital también aparece en la oferta revisada. La agenda propuesta para AM Taller puede facilitar la operación, pero su utilidad para atraer clientes deberá comprobarse con usuarios y tiempos reales de respuesta. La comparación pertinente debe incluir alcance técnico, autorización del trabajo y claridad de la entrega.</w:t>
      </w:r>
    </w:p>
    <w:tbl>
      <w:tblPr>
        <w:tblW w:type="auto" w:w="0"/>
        <w:jc w:val="center"/>
        <w:tblLayout w:type="fixed"/>
        <w:tblLook w:firstColumn="1" w:firstRow="1" w:lastColumn="0" w:lastRow="0" w:noHBand="0" w:noVBand="1" w:val="04A0"/>
      </w:tblPr>
      <w:tblGrid>
        <w:gridCol w:w="2160"/>
        <w:gridCol w:w="3600"/>
        <w:gridCol w:w="3600"/>
      </w:tblGrid>
      <w:tr>
        <w:trPr>
          <w:cantSplit/>
          <w:tblHeader/>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Alternativa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Interpretación</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Agencia por marca</w:t>
              <w:br/>
              <w:t>Mazda Gonzalitos</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Distribuidor en Gonzalitos 296 Sur, San Jerónimo; cuenta con citas y mantenimiento programado.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Para propietarios de Mazda es una alternativa al taller independiente. No representa todo el parque vehicular.</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Taller móvil para flotillas</w:t>
              <w:br/>
              <w:t>Pronto Autoservicio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Publica atención en instalaciones del cliente y rutas que incluyen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Puede reemplazar el traslado al taller fijo. Es otra modalidad del mismo oferente, no una empresa adicional.</w:t>
            </w:r>
          </w:p>
        </w:tc>
      </w:tr>
    </w:tbl>
    <w:p>
      <w:pPr>
        <w:spacing w:after="40"/>
      </w:pPr>
    </w:p>
    <w:p>
      <w:pPr>
        <w:widowControl/>
        <w:spacing w:after="140"/>
      </w:pPr>
      <w:r>
        <w:t>Fuentes: Mazda Motor de México (s. f.-a, s. f.-b) y Pronto Autoservicio (s. f.-b). La clasificación como sustitutos es una interpretación por modalidad de atención. No se observó qué alternativa prefieren los clientes ni con qué frecuencia la contratan.</w:t>
      </w:r>
    </w:p>
    <w:p>
      <w:pPr>
        <w:widowControl/>
        <w:spacing w:after="140"/>
      </w:pPr>
      <w:r>
        <w:t>No se identificó una tarifa homogénea para el diagnóstico definido en D18 y O06–O07 del instrumento previo. La inspección de cortesía asociada a un servicio no equivale a un diagnóstico independiente gratuito. Tampoco el tiempo asignado a una reserva prueba la duración del trabajo. Por ello, no se calcula precio promedio ni se afirma que AM Taller será más económico.</w:t>
      </w:r>
    </w:p>
    <w:p>
      <w:r>
        <w:br w:type="page"/>
      </w:r>
    </w:p>
    <w:p>
      <w:pPr>
        <w:pStyle w:val="Heading1"/>
        <w:keepNext/>
      </w:pPr>
      <w:r>
        <w:t xml:space="preserve">Resultados del sondeo</w:t>
      </w:r>
    </w:p>
    <w:p>
      <w:pPr>
        <w:widowControl/>
        <w:spacing w:after="140"/>
      </w:pPr>
      <w:r>
        <w:t xml:space="preserve">Pendiente de integrar respuestas reales. No se han calculado indicadores ni se presenta cero como resultado de una base vacía. Se registrarán periodo y zonas generales de aplicación, invitaciones efectivamente enviadas, respuestas recibidas, casos elegibles y casos válidos. El número de invitaciones no equivale al de respuestas. La siguiente tabla especifica el formato que se completará al contar con registros verificables.</w:t>
      </w:r>
    </w:p>
    <w:tbl>
      <w:tblPr>
        <w:tblW w:type="auto" w:w="0"/>
        <w:jc w:val="center"/>
        <w:tblLayout w:type="fixed"/>
        <w:tblLook w:firstColumn="1" w:firstRow="1" w:lastColumn="0" w:lastRow="0" w:noHBand="0" w:noVBand="1" w:val="04A0"/>
      </w:tblPr>
      <w:tblGrid>
        <w:gridCol w:w="2376"/>
        <w:gridCol w:w="4032"/>
        <w:gridCol w:w="2952"/>
      </w:tblGrid>
      <w:tr>
        <w:trPr>
          <w:cantSplit/>
          <w:tblHeader/>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Indicador</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Presentación al integrar los datos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Estado</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Servicio</w:t>
            </w:r>
            <w:r>
              <w:rPr>
                <w:rFonts w:ascii="Arial" w:hAnsi="Arial"/>
                <w:b w:val="0"/>
                <w:color w:val="000000"/>
                <w:sz w:val="21"/>
              </w:rPr>
              <w:br/>
              <w:t xml:space="preserve">D07 y D09</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D07: frecuencia y porcentaje por categoría requerida. D09: frecuencia y porcentaje del servicio principal más reciente, entre casos a los que aplica.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n válidas, f y %</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Frecuencia de uso</w:t>
            </w:r>
            <w:r>
              <w:rPr>
                <w:rFonts w:ascii="Arial" w:hAnsi="Arial"/>
                <w:b w:val="0"/>
                <w:color w:val="000000"/>
                <w:sz w:val="21"/>
              </w:rPr>
              <w:br/>
              <w:t xml:space="preserve">D08</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Distribución del número de ocasiones en doce meses, con f, % y n válidas; mediana de ocasiones como resumen.</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Respuestas reales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Gasto</w:t>
            </w:r>
            <w:r>
              <w:rPr>
                <w:rFonts w:ascii="Arial" w:hAnsi="Arial"/>
                <w:b w:val="0"/>
                <w:color w:val="000000"/>
                <w:sz w:val="21"/>
              </w:rPr>
              <w:br/>
              <w:t xml:space="preserve">D10</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Mediana en MXN y n de importes válidos, por categoría D09 y por alcance: sólo servicio, sólo piezas o ambos.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Importes comparables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Satisfacción</w:t>
            </w:r>
            <w:r>
              <w:rPr>
                <w:rFonts w:ascii="Arial" w:hAnsi="Arial"/>
                <w:b w:val="0"/>
                <w:color w:val="000000"/>
                <w:sz w:val="21"/>
              </w:rPr>
              <w:br/>
              <w:t xml:space="preserve">D11</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Frecuencia y porcentaje de cada una de las cinco categorías, con su n válida.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Respuestas reales</w:t>
            </w:r>
          </w:p>
        </w:tc>
      </w:tr>
    </w:tbl>
    <w:p>
      <w:pPr>
        <w:spacing w:after="40"/>
      </w:pPr>
    </w:p>
    <w:p>
      <w:pPr>
        <w:widowControl/>
        <w:spacing w:after="140"/>
      </w:pPr>
      <w:r>
        <w:t xml:space="preserve">Para cada indicador se informará su n válida y se calculará porcentaje = 100 × f / n válida. No sabe, no responde y no aplica se contarán por separado; no se convertirán en ceros. D07 tendrá denominador por categoría y sus porcentajes no tienen que sumar 100. En D08, cero se admitirá sólo si fue una respuesta válida. D09–D11 se analizarán únicamente cuando corresponda por los saltos del instrumento. D10 no mezclará tipos de servicio ni alcances distintos; no se imputarán importes faltantes.</w:t>
      </w:r>
    </w:p>
    <w:p>
      <w:r>
        <w:br w:type="page"/>
      </w:r>
    </w:p>
    <w:p>
      <w:pPr>
        <w:pStyle w:val="Heading1"/>
        <w:keepNext/>
      </w:pPr>
      <w:r>
        <w:t>Conclusiones y recomendaciones</w:t>
      </w:r>
    </w:p>
    <w:p>
      <w:pPr>
        <w:widowControl/>
        <w:spacing w:after="140"/>
      </w:pPr>
      <w:r>
        <w:t>La oferta documentada muestra alternativas de mantenimiento general, especialización por marca y atención móvil. Este resultado justifica comparar modalidades y definir el segmento inicial de AM Taller. No permite concluir que el mercado esté saturado o desatendido, ni que la propuesta sea rentable. La demanda sólo podrá estimarse con evidencia de compradores compatibles con el territorio y con el servicio definido.</w:t>
      </w:r>
    </w:p>
    <w:p>
      <w:pPr>
        <w:widowControl/>
        <w:spacing w:after="140"/>
      </w:pPr>
      <w:r>
        <w:t>Se recomienda especificar un paquete de entrada que distinga diagnóstico, mano de obra, refacciones, autorización y entrega. Para una futura comparación de precios deben mantenerse constantes tipo de vehículo, alcance, impuestos, vigencia y condiciones. Las afirmaciones sobre rapidez o garantía deberán corresponder a recursos y procedimientos que el proyecto pueda demostrar.</w:t>
      </w:r>
    </w:p>
    <w:p>
      <w:pPr>
        <w:widowControl/>
        <w:spacing w:after="140"/>
      </w:pPr>
      <w:r>
        <w:t xml:space="preserve">El siguiente paso es aplicar el sondeo breve por conveniencia y capturar las respuestas con folio anónimo. Se comprobarán residencia, elegibilidad y saltos, se revisarán duplicados y se tabularán servicio, frecuencia, gasto y satisfacción. La intención futura se analizará por separado. Las conclusiones de demanda deberán redactarse después de observar los datos, sin atribuir a todos los habitantes lo expresado por las personas consultadas.</w:t>
      </w:r>
    </w:p>
    <w:p>
      <w:pPr>
        <w:widowControl/>
        <w:spacing w:after="140"/>
      </w:pPr>
      <w:r>
        <w:t xml:space="preserve">La revisión conserva los resultados documentales de competidores y sustitutos y precisa cómo obtener la información de demanda solicitada. El sondeo, su análisis y la integración final continúan pendientes. Hasta incorporarlos no se presentará esta copia como corrección completa ni se afirmará demanda suficiente, apertura comercial o rentabilidad.</w:t>
      </w:r>
    </w:p>
    <w:p>
      <w:pPr>
        <w:pStyle w:val="Heading1"/>
        <w:keepNext/>
      </w:pPr>
      <w:r>
        <w:t>Transparencia del trabajo</w:t>
      </w:r>
    </w:p>
    <w:p>
      <w:pPr>
        <w:widowControl/>
        <w:spacing w:after="140"/>
      </w:pPr>
      <w:r>
        <w:t xml:space="preserve">Se utilizó asistencia de inteligencia artificial para organizar fuentes y revisar la redacción. La evidencia documental conserva su fecha y procedencia. El sondeo se integrará únicamente con respuestas reales.</w:t>
      </w:r>
    </w:p>
    <w:p>
      <w:r>
        <w:br w:type="page"/>
      </w:r>
    </w:p>
    <w:p>
      <w:pPr>
        <w:pStyle w:val="Heading1"/>
        <w:keepNext/>
      </w:pPr>
      <w:r>
        <w:t xml:space="preserve">Instrumento separado para la aplicación</w:t>
      </w:r>
    </w:p>
    <w:p>
      <w:pPr>
        <w:widowControl/>
        <w:spacing w:after="140" w:line="264" w:lineRule="auto"/>
      </w:pPr>
      <w:r>
        <w:rPr>
          <w:sz w:val="21"/>
        </w:rPr>
        <w:t xml:space="preserve">El cuestionario se presenta por separado en Sondeo-AM-Taller-Aplicacion.docx. Esta síntesis describe sus códigos; no sustituye los reactivos, opciones ni saltos del instrumento. Las preguntas de observación de competidores se mantienen fuera del cuestionario a consumidores.</w:t>
      </w:r>
    </w:p>
    <w:p>
      <w:pPr>
        <w:pStyle w:val="Heading2"/>
        <w:spacing w:before="100"/>
      </w:pPr>
      <w:r>
        <w:t xml:space="preserve">Elegibilidad y territorio</w:t>
      </w:r>
    </w:p>
    <w:p>
      <w:pPr>
        <w:spacing w:line="252" w:lineRule="auto" w:after="60"/>
      </w:pPr>
      <w:r>
        <w:rPr>
          <w:sz w:val="21"/>
        </w:rPr>
        <w:t xml:space="preserve">D01 verifica mayoría de edad y D02 participación en la decisión de contratar. Si no se cumplen los criterios, se termina sin continuar.</w:t>
      </w:r>
    </w:p>
    <w:p>
      <w:pPr>
        <w:spacing w:line="252" w:lineRule="auto" w:after="60"/>
      </w:pPr>
      <w:r>
        <w:rPr>
          <w:sz w:val="21"/>
        </w:rPr>
        <w:t xml:space="preserve">D03 conserva el municipio de uso principal del vehículo. D03R se añade para preguntar residencia actual en el municipio de Monterrey; ambas respuestas se registran en campos distintos.</w:t>
      </w:r>
    </w:p>
    <w:p>
      <w:pPr>
        <w:spacing w:line="252" w:lineRule="auto" w:after="60"/>
      </w:pPr>
      <w:r>
        <w:rPr>
          <w:sz w:val="21"/>
        </w:rPr>
        <w:t xml:space="preserve">D04 verifica el tipo de vehículo ligero al que se referirán todas las respuestas. Se mantendrá un solo vehículo de referencia por persona.</w:t>
      </w:r>
    </w:p>
    <w:p>
      <w:pPr>
        <w:pStyle w:val="Heading2"/>
        <w:spacing w:before="100"/>
      </w:pPr>
      <w:r>
        <w:t xml:space="preserve">Experiencia de servicio</w:t>
      </w:r>
    </w:p>
    <w:p>
      <w:pPr>
        <w:spacing w:line="252" w:lineRule="auto" w:after="60"/>
      </w:pPr>
      <w:r>
        <w:rPr>
          <w:sz w:val="21"/>
        </w:rPr>
        <w:t xml:space="preserve">D07 registra por separado mantenimiento preventivo, diagnóstico o reparación, llantas y compra independiente de refacciones durante los últimos doce meses.</w:t>
      </w:r>
    </w:p>
    <w:p>
      <w:pPr>
        <w:spacing w:line="252" w:lineRule="auto" w:after="60"/>
      </w:pPr>
      <w:r>
        <w:rPr>
          <w:sz w:val="21"/>
        </w:rPr>
        <w:t xml:space="preserve">D08 pregunta cuántas ocasiones se contrataron esas atenciones, contando una visita o compra una sola vez. Sus saltos determinan si corresponde responder D09–D11.</w:t>
      </w:r>
    </w:p>
    <w:p>
      <w:pPr>
        <w:spacing w:line="252" w:lineRule="auto" w:after="60"/>
      </w:pPr>
      <w:r>
        <w:rPr>
          <w:sz w:val="21"/>
        </w:rPr>
        <w:t xml:space="preserve">D09 identifica la atención principal más reciente. D10 registra su gasto en MXN y distingue sólo servicio, sólo piezas o ambos, con impuestos. D11 recoge satisfacción en cinco categorías.</w:t>
      </w:r>
    </w:p>
    <w:p>
      <w:pPr>
        <w:pStyle w:val="Heading2"/>
        <w:spacing w:before="100"/>
      </w:pPr>
      <w:r>
        <w:t xml:space="preserve">Necesidad futura y mejora</w:t>
      </w:r>
    </w:p>
    <w:p>
      <w:pPr>
        <w:spacing w:line="252" w:lineRule="auto" w:after="60"/>
      </w:pPr>
      <w:r>
        <w:rPr>
          <w:sz w:val="21"/>
        </w:rPr>
        <w:t xml:space="preserve">D19 pregunta por atención prevista en los próximos tres meses. D20 recoge la disposición a considerar un establecimiento no utilizado; no presupone compra a AM Taller. D22 permite describir mejoras deseadas sin datos personales.</w:t>
      </w:r>
    </w:p>
    <w:p>
      <w:pPr>
        <w:widowControl/>
        <w:spacing w:after="140" w:line="264" w:lineRule="auto"/>
      </w:pPr>
      <w:r>
        <w:rPr>
          <w:sz w:val="21"/>
        </w:rPr>
        <w:t xml:space="preserve">Antes de aplicar, registrar la fecha real y los límites del periodo de referencia. La participación será voluntaria; se usarán folios anónimos y ubicación general. Conservar las omisiones, las respuestas no sabe o no responde y los saltos no aplica. No solicitar nombres, placas ni domicilios exactos.</w:t>
      </w:r>
    </w:p>
    <w:p>
      <w:r>
        <w:br w:type="page"/>
      </w:r>
    </w:p>
    <w:p>
      <w:pPr>
        <w:pStyle w:val="Heading1"/>
        <w:keepNext/>
      </w:pPr>
      <w:r>
        <w:t>Referencias</w:t>
      </w:r>
    </w:p>
    <w:p>
      <w:pPr>
        <w:spacing w:line="252" w:lineRule="auto" w:after="160"/>
        <w:ind w:left="432" w:hanging="432"/>
      </w:pPr>
      <w:r>
        <w:rPr>
          <w:sz w:val="21"/>
        </w:rPr>
        <w:t xml:space="preserve">AutoCenter MTY (s. f.). </w:t>
      </w:r>
      <w:r>
        <w:rPr>
          <w:i/>
          <w:sz w:val="21"/>
        </w:rPr>
        <w:t>Inicio</w:t>
      </w:r>
      <w:r>
        <w:rPr>
          <w:sz w:val="21"/>
        </w:rPr>
        <w:t>. Recuperado el 28 de septiembre de 2026, de https://autocentermty.com.mx/</w:t>
      </w:r>
    </w:p>
    <w:p>
      <w:pPr>
        <w:spacing w:line="252" w:lineRule="auto" w:after="160"/>
        <w:ind w:left="432" w:hanging="432"/>
      </w:pPr>
      <w:r>
        <w:rPr>
          <w:sz w:val="21"/>
        </w:rPr>
        <w:t xml:space="preserve">Automart (s. f.). </w:t>
      </w:r>
      <w:r>
        <w:rPr>
          <w:i/>
          <w:sz w:val="21"/>
        </w:rPr>
        <w:t>Grease Monkey by Automart</w:t>
      </w:r>
      <w:r>
        <w:rPr>
          <w:sz w:val="21"/>
        </w:rPr>
        <w:t>. Recuperado el 28 de septiembre de 2026, de https://www.automartgp.com/</w:t>
      </w:r>
    </w:p>
    <w:p>
      <w:pPr>
        <w:spacing w:line="252" w:lineRule="auto" w:after="160"/>
        <w:ind w:left="432" w:hanging="432"/>
      </w:pPr>
      <w:r>
        <w:rPr>
          <w:sz w:val="21"/>
        </w:rPr>
        <w:t xml:space="preserve">Instituto Nacional de Estadística y Geografía (2020). </w:t>
      </w:r>
      <w:r>
        <w:rPr>
          <w:i/>
          <w:sz w:val="21"/>
        </w:rPr>
        <w:t>Censo de Población y Vivienda 2020 Indicadores del municipio de Monterrey clave 19039</w:t>
      </w:r>
      <w:r>
        <w:rPr>
          <w:sz w:val="21"/>
        </w:rPr>
        <w:t>. Recuperado el 28 de septiembre de 2026, de https://gaia.inegi.org.mx/wscatgeo/v2/mgem/19/039</w:t>
      </w:r>
    </w:p>
    <w:p>
      <w:pPr>
        <w:spacing w:line="252" w:lineRule="auto" w:after="160"/>
        <w:ind w:left="432" w:hanging="432"/>
      </w:pPr>
      <w:r>
        <w:rPr>
          <w:sz w:val="21"/>
        </w:rPr>
        <w:t xml:space="preserve">Mazda Motor de México (s. f.-a). </w:t>
      </w:r>
      <w:r>
        <w:rPr>
          <w:i/>
          <w:sz w:val="21"/>
        </w:rPr>
        <w:t>Mazda Gonzalitos</w:t>
      </w:r>
      <w:r>
        <w:rPr>
          <w:sz w:val="21"/>
        </w:rPr>
        <w:t>. Recuperado el 28 de septiembre de 2026, de https://www.mazda.mx/distribuidores/mazda-gonzalitos</w:t>
      </w:r>
    </w:p>
    <w:p>
      <w:pPr>
        <w:spacing w:line="252" w:lineRule="auto" w:after="160"/>
        <w:ind w:left="432" w:hanging="432"/>
      </w:pPr>
      <w:r>
        <w:rPr>
          <w:sz w:val="21"/>
        </w:rPr>
        <w:t xml:space="preserve">Mazda Motor de México (s. f.-b). </w:t>
      </w:r>
      <w:r>
        <w:rPr>
          <w:i/>
          <w:sz w:val="21"/>
        </w:rPr>
        <w:t>Servicios y mantenimiento Mazda Gonzalitos</w:t>
      </w:r>
      <w:r>
        <w:rPr>
          <w:sz w:val="21"/>
        </w:rPr>
        <w:t>. Recuperado el 28 de septiembre de 2026, de https://www.mazda.mx/distribuidores/mazda-gonzalitos/servicios/servicios-y-mantenimiento</w:t>
      </w:r>
    </w:p>
    <w:p>
      <w:pPr>
        <w:spacing w:line="252" w:lineRule="auto" w:after="160"/>
        <w:ind w:left="432" w:hanging="432"/>
      </w:pPr>
      <w:r>
        <w:rPr>
          <w:sz w:val="21"/>
        </w:rPr>
        <w:t xml:space="preserve">Midas México (s. f.). </w:t>
      </w:r>
      <w:r>
        <w:rPr>
          <w:i/>
          <w:sz w:val="21"/>
        </w:rPr>
        <w:t>Ruiz Cortinez</w:t>
      </w:r>
      <w:r>
        <w:rPr>
          <w:sz w:val="21"/>
        </w:rPr>
        <w:t>. Recuperado el 28 de septiembre de 2026, de https://www.midas.com.mx/ruiz-cortinez</w:t>
      </w:r>
    </w:p>
    <w:p>
      <w:pPr>
        <w:spacing w:line="252" w:lineRule="auto" w:after="160"/>
        <w:ind w:left="432" w:hanging="432"/>
      </w:pPr>
      <w:r>
        <w:rPr>
          <w:sz w:val="21"/>
        </w:rPr>
        <w:t xml:space="preserve">Pronto Autoservicio (s. f.-a). </w:t>
      </w:r>
      <w:r>
        <w:rPr>
          <w:i/>
          <w:sz w:val="21"/>
        </w:rPr>
        <w:t>Mantenimiento preventivo</w:t>
      </w:r>
      <w:r>
        <w:rPr>
          <w:sz w:val="21"/>
        </w:rPr>
        <w:t>. Recuperado el 28 de septiembre de 2026, de https://www.pronto-autoservicio.com/service-page/mantenimiento-preventivo-1</w:t>
      </w:r>
    </w:p>
    <w:p>
      <w:pPr>
        <w:spacing w:line="252" w:lineRule="auto" w:after="160"/>
        <w:ind w:left="432" w:hanging="432"/>
      </w:pPr>
      <w:r>
        <w:rPr>
          <w:sz w:val="21"/>
        </w:rPr>
        <w:t xml:space="preserve">Pronto Autoservicio (s. f.-b). </w:t>
      </w:r>
      <w:r>
        <w:rPr>
          <w:i/>
          <w:sz w:val="21"/>
        </w:rPr>
        <w:t>Taller móvil</w:t>
      </w:r>
      <w:r>
        <w:rPr>
          <w:sz w:val="21"/>
        </w:rPr>
        <w:t>. Recuperado el 28 de septiembre de 2026, de https://www.pronto-autoservicio.com/taller-movil</w:t>
      </w:r>
    </w:p>
    <w:p>
      <w:pPr>
        <w:spacing w:line="252" w:lineRule="auto" w:after="160"/>
        <w:ind w:left="432" w:hanging="432"/>
      </w:pPr>
      <w:r>
        <w:rPr>
          <w:sz w:val="21"/>
        </w:rPr>
        <w:t xml:space="preserve">Pronto Autoservicio (s. f.-c). </w:t>
      </w:r>
      <w:r>
        <w:rPr>
          <w:i/>
          <w:sz w:val="21"/>
        </w:rPr>
        <w:t>Taller tradicional</w:t>
      </w:r>
      <w:r>
        <w:rPr>
          <w:sz w:val="21"/>
        </w:rPr>
        <w:t>. Recuperado el 28 de septiembre de 2026, de https://www.pronto-autoservicio.com/taller-tradicional</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AM Taller Autocentro</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