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r>
        <w:drawing>
          <wp:inline>
            <wp:extent cx="1920240" cy="611164"/>
            <wp:docPr id="1" name="Picture 1"/>
            <wp:cNvGraphicFramePr>
              <a:graphicFrameLocks noChangeAspect="1"/>
            </wp:cNvGraphicFramePr>
            <a:graphic>
              <a:graphicData uri="http://schemas.openxmlformats.org/drawingml/2006/picture">
                <pic:pic>
                  <pic:nvPicPr>
                    <pic:cNvPr id="0" name="logo-itesca-contorno.png"/>
                    <pic:cNvPicPr/>
                  </pic:nvPicPr>
                  <pic:blipFill>
                    <a:blip r:embed="rId9"/>
                    <a:stretch>
                      <a:fillRect/>
                    </a:stretch>
                  </pic:blipFill>
                  <pic:spPr>
                    <a:xfrm>
                      <a:off x="0" y="0"/>
                      <a:ext cx="1920240" cy="611164"/>
                    </a:xfrm>
                    <a:prstGeom prst="rect"/>
                  </pic:spPr>
                </pic:pic>
              </a:graphicData>
            </a:graphic>
          </wp:inline>
        </w:drawing>
      </w:r>
    </w:p>
    <w:p>
      <w:r>
        <w:t>Instituto Tecnológico Superior de Cajeme</w:t>
      </w:r>
    </w:p>
    <w:p>
      <w:r>
        <w:t>Maestría en Gestión Administrativa</w:t>
      </w:r>
    </w:p>
    <w:p>
      <w:r>
        <w:t>Plan de Negocios · GGPN01 · Periodo 2026-II</w:t>
      </w:r>
    </w:p>
    <w:p>
      <w:pPr>
        <w:pStyle w:val="Title"/>
      </w:pPr>
      <w:r>
        <w:rPr>
          <w:b/>
          <w:color w:val="000000"/>
          <w:sz w:val="38"/>
        </w:rPr>
        <w:t>Resultados del examen de Mercadotecnia e Imagen</w:t>
      </w:r>
    </w:p>
    <w:p>
      <w:r>
        <w:t>Capítulo 2 · Plan de Negocios</w:t>
      </w:r>
    </w:p>
    <w:p>
      <w:r>
        <w:t>Martín Jonathan de la Cruz Muñoz</w:t>
        <w:br/>
        <w:t>Matrícula 26130503</w:t>
        <w:br/>
        <w:t>Docente Celia Velázquez Reyna</w:t>
      </w:r>
    </w:p>
    <w:p>
      <w:r>
        <w:t>Monterrey, Nuevo León · 28 de septiembre de 2026</w:t>
      </w:r>
    </w:p>
    <w:p>
      <w:r>
        <w:br w:type="page"/>
      </w:r>
    </w:p>
    <w:p>
      <w:pPr>
        <w:pStyle w:val="Heading1"/>
      </w:pPr>
      <w:r>
        <w:t>Resultado registrado en el aula</w:t>
      </w:r>
    </w:p>
    <w:p>
      <w:r>
        <w:t>El examen del Capítulo 2 Mercadotecnia e Imagen quedó finalizado el 28 de septiembre de 2026. El aula registra 100 de 100 como calificación más alta y confirma los requisitos de tres intentos y recepción de una calificación. Este reporte reúne el resultado y una explicación de los conceptos evaluados para su aplicación al plan de negocios.</w:t>
      </w:r>
    </w:p>
    <w:tbl>
      <w:tblPr>
        <w:tblW w:type="auto" w:w="0"/>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1152"/>
        <w:gridCol w:w="2016"/>
        <w:gridCol w:w="3168"/>
        <w:gridCol w:w="3024"/>
      </w:tblGrid>
      <w:tr>
        <w:trPr>
          <w:cantSplit/>
        </w:trPr>
        <w:tc>
          <w:tcPr>
            <w:tcW w:type="dxa" w:w="1152"/>
            <w:shd w:fill="E7EDF2"/>
          </w:tcPr>
          <w:p>
            <w:pPr>
              <w:spacing w:after="120" w:before="120"/>
            </w:pPr>
            <w:r>
              <w:rPr>
                <w:b/>
                <w:sz w:val="20"/>
              </w:rPr>
              <w:t>Intento</w:t>
            </w:r>
          </w:p>
        </w:tc>
        <w:tc>
          <w:tcPr>
            <w:tcW w:type="dxa" w:w="2016"/>
            <w:shd w:fill="E7EDF2"/>
          </w:tcPr>
          <w:p>
            <w:pPr>
              <w:spacing w:after="120" w:before="120"/>
            </w:pPr>
            <w:r>
              <w:rPr>
                <w:b/>
                <w:sz w:val="20"/>
              </w:rPr>
              <w:t>Estado</w:t>
            </w:r>
          </w:p>
        </w:tc>
        <w:tc>
          <w:tcPr>
            <w:tcW w:type="dxa" w:w="3168"/>
            <w:shd w:fill="E7EDF2"/>
          </w:tcPr>
          <w:p>
            <w:pPr>
              <w:spacing w:after="120" w:before="120"/>
            </w:pPr>
            <w:r>
              <w:rPr>
                <w:b/>
                <w:sz w:val="20"/>
              </w:rPr>
              <w:t>Inicio y fin en el aula</w:t>
            </w:r>
          </w:p>
        </w:tc>
        <w:tc>
          <w:tcPr>
            <w:tcW w:type="dxa" w:w="3024"/>
            <w:shd w:fill="E7EDF2"/>
          </w:tcPr>
          <w:p>
            <w:pPr>
              <w:spacing w:after="120" w:before="120"/>
            </w:pPr>
            <w:r>
              <w:rPr>
                <w:b/>
                <w:sz w:val="20"/>
              </w:rPr>
              <w:t>Calificación</w:t>
            </w:r>
          </w:p>
        </w:tc>
      </w:tr>
      <w:tr>
        <w:trPr>
          <w:cantSplit/>
        </w:trPr>
        <w:tc>
          <w:tcPr>
            <w:tcW w:type="dxa" w:w="1152"/>
          </w:tcPr>
          <w:p>
            <w:pPr>
              <w:spacing w:after="120" w:before="120"/>
            </w:pPr>
            <w:r>
              <w:rPr>
                <w:b w:val="0"/>
                <w:sz w:val="20"/>
              </w:rPr>
              <w:t>1</w:t>
            </w:r>
          </w:p>
        </w:tc>
        <w:tc>
          <w:tcPr>
            <w:tcW w:type="dxa" w:w="2016"/>
          </w:tcPr>
          <w:p>
            <w:pPr>
              <w:spacing w:after="120" w:before="120"/>
            </w:pPr>
            <w:r>
              <w:rPr>
                <w:b w:val="0"/>
                <w:sz w:val="20"/>
              </w:rPr>
              <w:t>Finalizado</w:t>
            </w:r>
          </w:p>
        </w:tc>
        <w:tc>
          <w:tcPr>
            <w:tcW w:type="dxa" w:w="3168"/>
          </w:tcPr>
          <w:p>
            <w:pPr>
              <w:spacing w:after="120" w:before="120"/>
            </w:pPr>
            <w:r>
              <w:rPr>
                <w:b w:val="0"/>
                <w:sz w:val="20"/>
              </w:rPr>
              <w:t>06:08 a 06:23</w:t>
            </w:r>
          </w:p>
        </w:tc>
        <w:tc>
          <w:tcPr>
            <w:tcW w:type="dxa" w:w="3024"/>
          </w:tcPr>
          <w:p>
            <w:pPr>
              <w:spacing w:after="120" w:before="120"/>
            </w:pPr>
            <w:r>
              <w:rPr>
                <w:b w:val="0"/>
                <w:sz w:val="20"/>
              </w:rPr>
              <w:t>100 de 100</w:t>
            </w:r>
          </w:p>
        </w:tc>
      </w:tr>
      <w:tr>
        <w:trPr>
          <w:cantSplit/>
        </w:trPr>
        <w:tc>
          <w:tcPr>
            <w:tcW w:type="dxa" w:w="1152"/>
          </w:tcPr>
          <w:p>
            <w:pPr>
              <w:spacing w:after="120" w:before="120"/>
            </w:pPr>
            <w:r>
              <w:rPr>
                <w:b w:val="0"/>
                <w:sz w:val="20"/>
              </w:rPr>
              <w:t>2</w:t>
            </w:r>
          </w:p>
        </w:tc>
        <w:tc>
          <w:tcPr>
            <w:tcW w:type="dxa" w:w="2016"/>
          </w:tcPr>
          <w:p>
            <w:pPr>
              <w:spacing w:after="120" w:before="120"/>
            </w:pPr>
            <w:r>
              <w:rPr>
                <w:b w:val="0"/>
                <w:sz w:val="20"/>
              </w:rPr>
              <w:t>Finalizado</w:t>
            </w:r>
          </w:p>
        </w:tc>
        <w:tc>
          <w:tcPr>
            <w:tcW w:type="dxa" w:w="3168"/>
          </w:tcPr>
          <w:p>
            <w:pPr>
              <w:spacing w:after="120" w:before="120"/>
            </w:pPr>
            <w:r>
              <w:rPr>
                <w:b w:val="0"/>
                <w:sz w:val="20"/>
              </w:rPr>
              <w:t>17:27 a 17:29</w:t>
            </w:r>
          </w:p>
        </w:tc>
        <w:tc>
          <w:tcPr>
            <w:tcW w:type="dxa" w:w="3024"/>
          </w:tcPr>
          <w:p>
            <w:pPr>
              <w:spacing w:after="120" w:before="120"/>
            </w:pPr>
            <w:r>
              <w:rPr>
                <w:b w:val="0"/>
                <w:sz w:val="20"/>
              </w:rPr>
              <w:t>100 de 100</w:t>
            </w:r>
          </w:p>
        </w:tc>
      </w:tr>
      <w:tr>
        <w:trPr>
          <w:cantSplit/>
        </w:trPr>
        <w:tc>
          <w:tcPr>
            <w:tcW w:type="dxa" w:w="1152"/>
          </w:tcPr>
          <w:p>
            <w:pPr>
              <w:spacing w:after="120" w:before="120"/>
            </w:pPr>
            <w:r>
              <w:rPr>
                <w:b w:val="0"/>
                <w:sz w:val="20"/>
              </w:rPr>
              <w:t>3</w:t>
            </w:r>
          </w:p>
        </w:tc>
        <w:tc>
          <w:tcPr>
            <w:tcW w:type="dxa" w:w="2016"/>
          </w:tcPr>
          <w:p>
            <w:pPr>
              <w:spacing w:after="120" w:before="120"/>
            </w:pPr>
            <w:r>
              <w:rPr>
                <w:b w:val="0"/>
                <w:sz w:val="20"/>
              </w:rPr>
              <w:t>Finalizado</w:t>
            </w:r>
          </w:p>
        </w:tc>
        <w:tc>
          <w:tcPr>
            <w:tcW w:type="dxa" w:w="3168"/>
          </w:tcPr>
          <w:p>
            <w:pPr>
              <w:spacing w:after="120" w:before="120"/>
            </w:pPr>
            <w:r>
              <w:rPr>
                <w:b w:val="0"/>
                <w:sz w:val="20"/>
              </w:rPr>
              <w:t>17:30 a 17:30</w:t>
            </w:r>
          </w:p>
        </w:tc>
        <w:tc>
          <w:tcPr>
            <w:tcW w:type="dxa" w:w="3024"/>
          </w:tcPr>
          <w:p>
            <w:pPr>
              <w:spacing w:after="120" w:before="120"/>
            </w:pPr>
            <w:r>
              <w:rPr>
                <w:b w:val="0"/>
                <w:sz w:val="20"/>
              </w:rPr>
              <w:t>100 de 100</w:t>
            </w:r>
          </w:p>
        </w:tc>
      </w:tr>
    </w:tbl>
    <w:p>
      <w:r>
        <w:t>Nota. Los tres intentos corresponden al 28 de septiembre de 2026. Las horas se transcriben como aparecen en el aula; no se realiza conversión de zona horaria. El método de calificación es la calificación más alta.</w:t>
      </w:r>
    </w:p>
    <w:p>
      <w:pPr>
        <w:pStyle w:val="Heading1"/>
      </w:pPr>
      <w:r>
        <w:t>Conceptos y fundamentos de las respuestas</w:t>
      </w:r>
    </w:p>
    <w:p>
      <w:r>
        <w:t>Los enunciados siguientes sintetizan los doce conceptos abordados. La explicación distingue definiciones próximas para evitar confundir una meta de la empresa con su visión o una acción de distribución con la demanda del mercado.</w:t>
      </w:r>
    </w:p>
    <w:p>
      <w:pPr>
        <w:pStyle w:val="Heading2"/>
      </w:pPr>
      <w:r>
        <w:t>1 Producto</w:t>
      </w:r>
    </w:p>
    <w:p>
      <w:r>
        <w:t>Respuesta seleccionada: Producto. Integra atributos tangibles e intangibles destinados a satisfacer necesidades.</w:t>
      </w:r>
    </w:p>
    <w:p>
      <w:pPr>
        <w:pStyle w:val="Heading2"/>
      </w:pPr>
      <w:r>
        <w:t>2 Descripción de la empresa</w:t>
      </w:r>
    </w:p>
    <w:p>
      <w:r>
        <w:t>Respuesta seleccionada: Descripción de la Empresa. La semblanza reúne historia, objetivos, industria y rasgos distintivos de la empresa.</w:t>
      </w:r>
    </w:p>
    <w:p>
      <w:pPr>
        <w:pStyle w:val="Heading2"/>
      </w:pPr>
      <w:r>
        <w:t>3 Nombre de la empresa</w:t>
      </w:r>
    </w:p>
    <w:p>
      <w:r>
        <w:t>Respuesta seleccionada: Definición del nombre. El nombre identifica la empresa y genera una primera impresión; no exige describir literalmente su giro.</w:t>
      </w:r>
    </w:p>
    <w:p>
      <w:pPr>
        <w:pStyle w:val="Heading2"/>
      </w:pPr>
      <w:r>
        <w:t>4 Fuentes de información</w:t>
      </w:r>
    </w:p>
    <w:p>
      <w:r>
        <w:t>Respuesta seleccionada: Falso. La descripción corresponde a documentos primarios, no a fuentes secundarias.</w:t>
      </w:r>
    </w:p>
    <w:p>
      <w:pPr>
        <w:pStyle w:val="Heading2"/>
      </w:pPr>
      <w:r>
        <w:t>5 Mercadotecnia</w:t>
      </w:r>
    </w:p>
    <w:p>
      <w:r>
        <w:t>Respuesta seleccionada: Verdadero. La mercadotecnia identifica y satisface necesidades, mediante estrategias que contribuyen a ventas y participación.</w:t>
      </w:r>
    </w:p>
    <w:p>
      <w:pPr>
        <w:pStyle w:val="Heading2"/>
      </w:pPr>
      <w:r>
        <w:t>6 Misión</w:t>
      </w:r>
    </w:p>
    <w:p>
      <w:r>
        <w:t>Respuesta seleccionada: Verdadero. La misión expresa la razón de ser, actividad y destinatarios de la organización.</w:t>
      </w:r>
    </w:p>
    <w:p>
      <w:pPr>
        <w:pStyle w:val="Heading2"/>
      </w:pPr>
      <w:r>
        <w:t>7 Plan de promoción</w:t>
      </w:r>
    </w:p>
    <w:p>
      <w:r>
        <w:t>Respuesta seleccionada: Plan de promoción. Coordina ventas personales, publicidad, promoción de ventas y relaciones públicas.</w:t>
      </w:r>
    </w:p>
    <w:p>
      <w:pPr>
        <w:pStyle w:val="Heading2"/>
      </w:pPr>
      <w:r>
        <w:t>8 Análisis de mercado</w:t>
      </w:r>
    </w:p>
    <w:p>
      <w:r>
        <w:t>Respuesta seleccionada: Análisis de Mercado. Es la opción que corresponde a la recopilación y análisis de información comercial; el concepto también se denomina investigación de mercados.</w:t>
      </w:r>
    </w:p>
    <w:p>
      <w:pPr>
        <w:pStyle w:val="Heading2"/>
      </w:pPr>
      <w:r>
        <w:t>9 Objetivos y visión</w:t>
      </w:r>
    </w:p>
    <w:p>
      <w:r>
        <w:t>Respuesta seleccionada: Falso. El rumbo y la aspiración de largo plazo describen la visión; los objetivos son resultados a alcanzar.</w:t>
      </w:r>
    </w:p>
    <w:p>
      <w:pPr>
        <w:pStyle w:val="Heading2"/>
      </w:pPr>
      <w:r>
        <w:t>10 Análisis FODA</w:t>
      </w:r>
    </w:p>
    <w:p>
      <w:r>
        <w:t>Respuesta seleccionada: Verdadero. El FODA considera fortalezas y debilidades internas y oportunidades y amenazas del entorno.</w:t>
      </w:r>
    </w:p>
    <w:p>
      <w:pPr>
        <w:pStyle w:val="Heading2"/>
      </w:pPr>
      <w:r>
        <w:t>11 Demanda y comercialización</w:t>
      </w:r>
    </w:p>
    <w:p>
      <w:r>
        <w:t>Respuesta seleccionada: Falso. Introducir productos en la distribución describe comercialización, no demanda.</w:t>
      </w:r>
    </w:p>
    <w:p>
      <w:pPr>
        <w:pStyle w:val="Heading2"/>
      </w:pPr>
      <w:r>
        <w:t>12 Factores claves de éxito</w:t>
      </w:r>
    </w:p>
    <w:p>
      <w:r>
        <w:t>Respuesta seleccionada: Factores Claves de Éxito. Son elementos determinantes para lograr objetivos y diferenciarse de competidores.</w:t>
      </w:r>
    </w:p>
    <w:p>
      <w:pPr>
        <w:pStyle w:val="Heading1"/>
        <w:pageBreakBefore/>
      </w:pPr>
      <w:r>
        <w:t>Aplicación al plan de negocios</w:t>
      </w:r>
    </w:p>
    <w:p>
      <w:r>
        <w:t>En AM Taller, el producto comprende el servicio mecánico, la información del diagnóstico, la atención y la confianza en la reparación. En Industrial Revolucionaria, la oferta comprende mantenimiento industrial y la evidencia del trabajo realizado. En ambos casos, describir el servicio exige precisar el alcance, el destinatario y el beneficio que se propone, sin prometer resultados aún no comprobados.</w:t>
      </w:r>
    </w:p>
    <w:p>
      <w:r>
        <w:t>La mercadotecnia permite contrastar esa propuesta con las necesidades de los clientes. Para la actividad de investigación de mercados, las páginas de proveedores y los registros estadísticos ofrecen evidencia documental del entorno y de la oferta. Una encuesta aplicada a clientes potenciales genera información específica del proyecto: ambas fuentes deben identificarse y sus resultados no pueden sustituirse entre sí.</w:t>
      </w:r>
    </w:p>
    <w:p>
      <w:r>
        <w:t>La misión expresa el propósito de la empresa; la visión describe la situación futura deseada y los objetivos fijan resultados verificables. El FODA organiza condiciones internas y externas, mientras el plan de promoción coordina los mensajes y canales. Esta distinción ayuda a formular acciones congruentes con el mercado y con los recursos disponibles.</w:t>
      </w:r>
    </w:p>
    <w:p>
      <w:pPr>
        <w:pStyle w:val="Heading1"/>
      </w:pPr>
      <w:r>
        <w:t>Fuente del resultado</w:t>
      </w:r>
    </w:p>
    <w:p>
      <w:r>
        <w:t>Instituto Tecnológico Superior de Cajeme. (2026). Examen Capítulo 2 Mercadotecnia e Imagen [Cuestionario y resumen de intentos de Plan de Negocios]. Aula virtual ITESCA. https://cursos3.e-itesca.edu.mx/mod/quiz/view.php?id=6552</w:t>
      </w:r>
    </w:p>
    <w:p>
      <w:r>
        <w:t>Consulta del resumen personal de intentos realizada el 28 de septiembre de 2026. El comprobante del aula se conserva en el expediente de evidencias del curso. Este reporte complementa el cuestionario ya finalizado.</w:t>
      </w:r>
    </w:p>
    <w:sectPr>
      <w:footnotePr>
        <w:numRestart w:val="eachSect"/>
      </w:footnotePr>
      <w:pgSz w:w="12240" w:h="15840"/>
      <w:pgMar w:top="1440" w:bottom="1440" w:left="1440" w:right="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276" w:lineRule="auto" w:after="140"/>
    </w:pPr>
    <w:rPr>
      <w:rFonts w:ascii="Arial" w:hAnsi="Arial"/>
      <w:color w:val="000000"/>
      <w:sz w:val="22"/>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ascii="Arial" w:hAnsi="Arial"/>
      <w:color w:val="000000"/>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ascii="Arial" w:hAnsi="Arial"/>
      <w:color w:val="000000"/>
      <w:sz w:val="40"/>
      <w:szCs w:val="40"/>
    </w:rPr>
  </w:style>
  <w:style w:styleId="Heading2" w:type="paragraph">
    <w:name w:val="heading 2"/>
    <w:basedOn w:val="Normal"/>
    <w:next w:val="BodyText"/>
    <w:link w:val="Heading2Char"/>
    <w:uiPriority w:val="9"/>
    <w:semiHidden/>
    <w:unhideWhenUsed/>
    <w:qFormat/>
    <w:rsid w:val="00A10FD9"/>
    <w:pPr>
      <w:keepNext/>
      <w:keepLines/>
      <w:spacing w:after="100" w:before="200"/>
      <w:outlineLvl w:val="1"/>
    </w:pPr>
    <w:rPr>
      <w:rFonts w:asciiTheme="majorHAnsi" w:cstheme="majorBidi" w:eastAsiaTheme="majorEastAsia" w:hAnsiTheme="majorHAnsi" w:ascii="Arial" w:hAnsi="Arial"/>
      <w:color w:val="000000"/>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Resultados del examen de Mercadotecnia e Imagen</dc:title>
  <dc:creator>Martín Jonathan de la Cruz Muñoz</dc:creator>
  <cp:keywords/>
  <dcterms:created xsi:type="dcterms:W3CDTF">2026-09-21T02:44:06Z</dcterms:created>
  <dcterms:modified xsi:type="dcterms:W3CDTF">2026-09-21T02:44:06Z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C:\Users\Sysx\Documents\AulaTeX-Academico\ITESCA\maestria-en-gestion-administrativa\plan-de-negocios-mga\plan-de-negocios.bib</vt:lpwstr>
  </property>
  <property fmtid="{D5CDD505-2E9C-101B-9397-08002B2CF9AE}" pid="3" name="reference-section-title">
    <vt:lpwstr>Referencias</vt:lpwstr>
  </property>
</Properties>
</file>