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ectPr>
          <w:headerReference w:type="default" r:id="rId10"/>
          <w:footerReference w:type="default" r:id="rId11"/>
          <w:footnotePr>
            <w:numRestart w:val="eachSect"/>
          </w:footnotePr>
          <w:pgSz w:w="12240" w:h="15840"/>
          <w:pgMar w:top="0" w:bottom="0" w:left="0" w:right="0" w:header="0" w:footer="0"/>
        </w:sectPr>
        <w:spacing w:before="0" w:after="0"/>
      </w:pPr>
    </w:p>
    <w:p>
      <w:pPr>
        <w:pStyle w:val="FirstParagraph"/>
      </w:pPr>
      <w:r>
        <w:rPr>
          <w:b/>
          <w:bCs/>
        </w:rPr>
        <w:t xml:space="preserve">Borrador hipotético pendiente de confirmación.</w:t>
      </w:r>
      <w:r>
        <w:t xml:space="preserve"> </w:t>
      </w:r>
      <w:r>
        <w:t xml:space="preserve">Este documento presenta una estructura de análisis para comunicar los resultados de la investigación de mercados de AM Taller Autocentro. Debido a que todavía no se dispone del trabajo de campo, la base de respuestas ni la identificación verificada de oferentes, no se reportan cifras, porcentajes, participantes, competidores o conclusiones sobre la demanda. El contenido deberá actualizarse con evidencia real antes de considerarse un resultado definitivo.</w:t>
      </w:r>
    </w:p>
    <w:bookmarkStart w:id="20" w:name="propósito-de-la-investigación"/>
    <w:p>
      <w:pPr>
        <w:pStyle w:val="Heading1"/>
      </w:pPr>
      <w:r>
        <w:t xml:space="preserve">Propósito de la investigación</w:t>
      </w:r>
    </w:p>
    <w:p>
      <w:pPr>
        <w:pStyle w:val="FirstParagraph"/>
      </w:pPr>
      <w:r>
        <w:t xml:space="preserve">La investigación tiene como propósito reunir evidencia para valorar la demanda potencial de los servicios propuestos por AM Taller Autocentro, proyecto local concebido como taller, llantera y refaccionaria. El estudio deberá examinar necesidades relacionadas con mantenimiento y reparación mecánica, adquisición o instalación de llantas y búsqueda de refacciones. Asimismo, deberá identificar oferentes de productos o servicios similares y alternativas sustitutas dentro del ámbito geográfico que se confirme.</w:t>
      </w:r>
    </w:p>
    <w:p>
      <w:pPr>
        <w:pStyle w:val="BodyText"/>
      </w:pPr>
      <w:r>
        <w:t xml:space="preserve">Los objetivos específicos son:</w:t>
      </w:r>
    </w:p>
    <w:p>
      <w:pPr>
        <w:numPr>
          <w:ilvl w:val="0"/>
          <w:numId w:val="1001"/>
        </w:numPr>
      </w:pPr>
      <w:r>
        <w:t xml:space="preserve">Describir las características relevantes de las personas consultadas y los criterios utilizados para seleccionarlas.</w:t>
      </w:r>
    </w:p>
    <w:p>
      <w:pPr>
        <w:numPr>
          <w:ilvl w:val="0"/>
          <w:numId w:val="1001"/>
        </w:numPr>
      </w:pPr>
      <w:r>
        <w:t xml:space="preserve">Analizar necesidades, hábitos de búsqueda y factores de elección vinculados con la atención automotriz.</w:t>
      </w:r>
    </w:p>
    <w:p>
      <w:pPr>
        <w:numPr>
          <w:ilvl w:val="0"/>
          <w:numId w:val="1001"/>
        </w:numPr>
      </w:pPr>
      <w:r>
        <w:t xml:space="preserve">Identificar indicios de demanda potencial mediante respuestas verificables.</w:t>
      </w:r>
    </w:p>
    <w:p>
      <w:pPr>
        <w:numPr>
          <w:ilvl w:val="0"/>
          <w:numId w:val="1001"/>
        </w:numPr>
      </w:pPr>
      <w:r>
        <w:t xml:space="preserve">Reconocer oferentes directos, indirectos, especializados y sustitutos.</w:t>
      </w:r>
    </w:p>
    <w:p>
      <w:pPr>
        <w:numPr>
          <w:ilvl w:val="0"/>
          <w:numId w:val="1001"/>
        </w:numPr>
      </w:pPr>
      <w:r>
        <w:t xml:space="preserve">Formular oportunidades y riesgos comerciales sin presentar las hipótesis del proyecto como hechos comprobados.</w:t>
      </w:r>
    </w:p>
    <w:bookmarkEnd w:id="20"/>
    <w:bookmarkStart w:id="21" w:name="metodología-y-alcance-pendiente"/>
    <w:p>
      <w:pPr>
        <w:pStyle w:val="Heading1"/>
      </w:pPr>
      <w:r>
        <w:t xml:space="preserve">Metodología y alcance pendiente</w:t>
      </w:r>
    </w:p>
    <w:p>
      <w:pPr>
        <w:pStyle w:val="FirstParagraph"/>
      </w:pPr>
      <w:r>
        <w:t xml:space="preserve">La metodología deberá documentarse después de realizar el sondeo. Será necesario precisar el tipo de estudio, medio de aplicación, periodo de levantamiento, población de referencia, ámbito geográfico, criterios de inclusión y cantidad de respuestas válidas. También deberá explicarse si la selección de participantes fue probabilística o no probabilística, así como las limitaciones derivadas del procedimiento empleado.</w:t>
      </w:r>
    </w:p>
    <w:p>
      <w:pPr>
        <w:pStyle w:val="BodyText"/>
      </w:pPr>
      <w:r>
        <w:t xml:space="preserve">Actualmente están pendientes el instrumento aplicado, el tamaño de la muestra, las fechas del trabajo de campo, el número de invitaciones, las respuestas recibidas, los registros descartados y los criterios de depuración. Si se utiliza una muestra por conveniencia, los resultados deberán presentarse como indicios exploratorios y no como estimaciones representativas de todo el mercado.</w:t>
      </w:r>
    </w:p>
    <w:p>
      <w:pPr>
        <w:pStyle w:val="BodyText"/>
      </w:pPr>
      <w:r>
        <w:t xml:space="preserve">Antes del análisis será necesario revisar la integridad, pertinencia y consistencia de los registros. Las respuestas duplicadas, incompletas o ajenas al perfil definido deberán identificarse mediante criterios uniformes establecidos previamente. No deberán modificarse ni excluirse datos con el propósito de favorecer la viabilidad comercial del proyecto.</w:t>
      </w:r>
    </w:p>
    <w:bookmarkEnd w:id="21"/>
    <w:bookmarkStart w:id="25" w:name="Xfb6a972d0f7b00147816619540ddcfe0c652d03"/>
    <w:p>
      <w:pPr>
        <w:pStyle w:val="Heading1"/>
      </w:pPr>
      <w:r>
        <w:t xml:space="preserve">Presentación de los resultados del sondeo</w:t>
      </w:r>
    </w:p>
    <w:bookmarkStart w:id="22" w:name="descripción-de-participantes"/>
    <w:p>
      <w:pPr>
        <w:pStyle w:val="Heading2"/>
      </w:pPr>
      <w:r>
        <w:t xml:space="preserve">Descripción de participantes</w:t>
      </w:r>
    </w:p>
    <w:p>
      <w:pPr>
        <w:pStyle w:val="FirstParagraph"/>
      </w:pPr>
      <w:r>
        <w:t xml:space="preserve">Esta sección deberá informar solamente las características incluidas en el instrumento y pertinentes para la investigación. Podrían considerarse el tipo de usuario de vehículo, la frecuencia aproximada de mantenimiento o la zona general de residencia, siempre que tales datos hayan sido solicitados de manera adecuada. Permanecen pendientes el número de participantes y su distribución real.</w:t>
      </w:r>
    </w:p>
    <w:p>
      <w:pPr>
        <w:pStyle w:val="BodyText"/>
      </w:pPr>
      <w:r>
        <w:t xml:space="preserve">La versión final deberá distinguir entre el total de respuestas recibidas y el total de respuestas válidas. Cuando una pregunta admita omisiones o selecciones múltiples, será necesario explicar el total empleado como base de cálculo. La información personal deberá presentarse de manera agrupada para evitar la identificación de participantes.</w:t>
      </w:r>
    </w:p>
    <w:bookmarkEnd w:id="22"/>
    <w:bookmarkStart w:id="23" w:name="necesidades-y-comportamiento-de-compra"/>
    <w:p>
      <w:pPr>
        <w:pStyle w:val="Heading2"/>
      </w:pPr>
      <w:r>
        <w:t xml:space="preserve">Necesidades y comportamiento de compra</w:t>
      </w:r>
    </w:p>
    <w:p>
      <w:pPr>
        <w:pStyle w:val="FirstParagraph"/>
      </w:pPr>
      <w:r>
        <w:t xml:space="preserve">Los hallazgos podrán organizarse mediante los siguientes ejes, siempre que correspondan a preguntas efectivamente aplicadas:</w:t>
      </w:r>
    </w:p>
    <w:p>
      <w:pPr>
        <w:numPr>
          <w:ilvl w:val="0"/>
          <w:numId w:val="1002"/>
        </w:numPr>
      </w:pPr>
      <w:r>
        <w:t xml:space="preserve">Necesidades de mantenimiento, reparación, llantas o refacciones señaladas por las personas participantes.</w:t>
      </w:r>
    </w:p>
    <w:p>
      <w:pPr>
        <w:numPr>
          <w:ilvl w:val="0"/>
          <w:numId w:val="1002"/>
        </w:numPr>
      </w:pPr>
      <w:r>
        <w:t xml:space="preserve">Frecuencia con la que se busca atención automotriz o se adquieren insumos relacionados.</w:t>
      </w:r>
    </w:p>
    <w:p>
      <w:pPr>
        <w:numPr>
          <w:ilvl w:val="0"/>
          <w:numId w:val="1002"/>
        </w:numPr>
      </w:pPr>
      <w:r>
        <w:t xml:space="preserve">Medios utilizados para localizar, consultar y comparar alternativas.</w:t>
      </w:r>
    </w:p>
    <w:p>
      <w:pPr>
        <w:numPr>
          <w:ilvl w:val="0"/>
          <w:numId w:val="1002"/>
        </w:numPr>
      </w:pPr>
      <w:r>
        <w:t xml:space="preserve">Factores de elección, como confianza, claridad del diagnóstico, tiempo de atención, garantía, ubicación o disponibilidad.</w:t>
      </w:r>
    </w:p>
    <w:p>
      <w:pPr>
        <w:numPr>
          <w:ilvl w:val="0"/>
          <w:numId w:val="1002"/>
        </w:numPr>
      </w:pPr>
      <w:r>
        <w:t xml:space="preserve">Dificultades experimentadas al solicitar servicios o buscar refacciones.</w:t>
      </w:r>
    </w:p>
    <w:p>
      <w:pPr>
        <w:numPr>
          <w:ilvl w:val="0"/>
          <w:numId w:val="1002"/>
        </w:numPr>
      </w:pPr>
      <w:r>
        <w:t xml:space="preserve">Disposición declarada para conocer o solicitar una cotización de una nueva alternativa.</w:t>
      </w:r>
    </w:p>
    <w:p>
      <w:pPr>
        <w:pStyle w:val="FirstParagraph"/>
      </w:pPr>
      <w:r>
        <w:t xml:space="preserve">Cada hallazgo deberá acompañarse de su frecuencia real y, cuando corresponda, de un porcentaje calculado sobre respuestas válidas. Las respuestas abiertas requerirán categorías transparentes y una explicación del procedimiento de clasificación. Los ejemplos textuales deberán anonimizarse y proceder de respuestas reales; no se crearán testimonios ni se atribuirán opiniones a participantes inexistentes.</w:t>
      </w:r>
    </w:p>
    <w:bookmarkEnd w:id="23"/>
    <w:bookmarkStart w:id="24" w:name="interpretación-de-la-demanda-potencial"/>
    <w:p>
      <w:pPr>
        <w:pStyle w:val="Heading2"/>
      </w:pPr>
      <w:r>
        <w:t xml:space="preserve">Interpretación de la demanda potencial</w:t>
      </w:r>
    </w:p>
    <w:p>
      <w:pPr>
        <w:pStyle w:val="FirstParagraph"/>
      </w:pPr>
      <w:r>
        <w:t xml:space="preserve">La demanda potencial no puede sostenerse únicamente mediante expresiones generales de interés. Una interpretación favorable requeriría observar coincidencia entre necesidades concretas, frecuencia de consumo, dificultades con las alternativas actuales y disposición a solicitar información o una cotización. Incluso si aparecen estas señales, la conclusión deberá formularse como una estimación sujeta a validación.</w:t>
      </w:r>
    </w:p>
    <w:p>
      <w:pPr>
        <w:pStyle w:val="BodyText"/>
      </w:pPr>
      <w:r>
        <w:t xml:space="preserve">El análisis distinguirá entre interés declarado, intención de compra y comportamiento efectivo. Si la cantidad y calidad de los datos lo permiten, podrán compararse segmentos con necesidades diferentes. No se asignarán precios, ventas esperadas ni volúmenes de demanda sin una base empírica específica.</w:t>
      </w:r>
    </w:p>
    <w:bookmarkEnd w:id="24"/>
    <w:bookmarkEnd w:id="25"/>
    <w:bookmarkStart w:id="26" w:name="análisis-de-oferentes-y-sustitutos"/>
    <w:p>
      <w:pPr>
        <w:pStyle w:val="Heading1"/>
      </w:pPr>
      <w:r>
        <w:t xml:space="preserve">Análisis de oferentes y sustitutos</w:t>
      </w:r>
    </w:p>
    <w:p>
      <w:pPr>
        <w:pStyle w:val="FirstParagraph"/>
      </w:pPr>
      <w:r>
        <w:t xml:space="preserve">La revisión competitiva deberá realizarse en el territorio confirmado para el proyecto. Por el momento no es posible nombrar empresas ni atribuirles precios, reputación, capacidades, inventarios o participación de mercado.</w:t>
      </w:r>
    </w:p>
    <w:p>
      <w:pPr>
        <w:pStyle w:val="BodyText"/>
      </w:pPr>
      <w:r>
        <w:t xml:space="preserve">Los oferentes identificados podrán clasificarse de la siguiente manera: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Directos:</w:t>
      </w:r>
      <w:r>
        <w:t xml:space="preserve"> </w:t>
      </w:r>
      <w:r>
        <w:t xml:space="preserve">establecimientos con una combinación comparable de taller, llantas o refacciones.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Especializados:</w:t>
      </w:r>
      <w:r>
        <w:t xml:space="preserve"> </w:t>
      </w:r>
      <w:r>
        <w:t xml:space="preserve">negocios enfocados en mecánica, diagnóstico, suspensión, llantas u otra categoría particular.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Indirectos:</w:t>
      </w:r>
      <w:r>
        <w:t xml:space="preserve"> </w:t>
      </w:r>
      <w:r>
        <w:t xml:space="preserve">comercios o prestadores que atiendan solamente una parte de la necesidad.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Sustitutos:</w:t>
      </w:r>
      <w:r>
        <w:t xml:space="preserve"> </w:t>
      </w:r>
      <w:r>
        <w:t xml:space="preserve">agencias, servicios móviles, compras digitales u otras alternativas verificadas que resuelvan la necesidad de una manera distinta.</w:t>
      </w:r>
    </w:p>
    <w:p>
      <w:pPr>
        <w:pStyle w:val="FirstParagraph"/>
      </w:pPr>
      <w:r>
        <w:t xml:space="preserve">Para cada oferente se deberá registrar el nombre comercial verificable, ubicación general, categoría, servicios anunciados, atributos observables, fuente y fecha de consulta. Los precios, existencias, promociones, compatibilidades y opiniones de clientes solo deberán incorporarse cuando exista evidencia documentada y comparable. La observación deberá aplicar criterios equivalentes a todos los oferentes para evitar comparaciones parciales.</w:t>
      </w:r>
    </w:p>
    <w:bookmarkEnd w:id="26"/>
    <w:bookmarkStart w:id="27" w:name="conclusiones-provisionales"/>
    <w:p>
      <w:pPr>
        <w:pStyle w:val="Heading1"/>
      </w:pPr>
      <w:r>
        <w:t xml:space="preserve">Conclusiones provisionales</w:t>
      </w:r>
    </w:p>
    <w:p>
      <w:pPr>
        <w:pStyle w:val="FirstParagraph"/>
      </w:pPr>
      <w:r>
        <w:t xml:space="preserve">En ausencia de datos de campo, no es válido concluir que existe demanda suficiente o que AM Taller Autocentro posee una ventaja competitiva. La integración propuesta de taller, llantera y refaccionaria, junto con agenda de citas, control de inventario y revisión de proveedores, constituye una hipótesis que debe contrastarse con necesidades reales. No se afirma que estas funciones estén implementadas ni que el proyecto cuente con ventas, clientes, existencias o acuerdos comerciales.</w:t>
      </w:r>
    </w:p>
    <w:p>
      <w:pPr>
        <w:pStyle w:val="BodyText"/>
      </w:pPr>
      <w:r>
        <w:t xml:space="preserve">La valoración de la viabilidad comercial dependerá de la consistencia de los resultados, el reconocimiento de sus limitaciones y la comparación verificable con oferentes y sustitutos. Si la evidencia resulta insuficiente o contradictoria, deberá ampliarse el sondeo, revisarse el segmento o ajustarse la propuesta antes de elaborar proyecciones comerciales.</w:t>
      </w:r>
    </w:p>
    <w:bookmarkEnd w:id="27"/>
    <w:bookmarkStart w:id="28" w:name="Xb1100973fae7cede0a1a51d2ac9de8a76824124"/>
    <w:p>
      <w:pPr>
        <w:pStyle w:val="Heading1"/>
      </w:pPr>
      <w:r>
        <w:t xml:space="preserve">Datos necesarios para convertir el borrador en trabajo real</w:t>
      </w:r>
    </w:p>
    <w:p>
      <w:pPr>
        <w:pStyle w:val="FirstParagraph"/>
      </w:pPr>
      <w:r>
        <w:t xml:space="preserve">Se requieren el instrumento definitivo, la base anonimizada de respuestas, los criterios de depuración, el tamaño y las características de la muestra, las fechas y el medio de levantamiento, el territorio analizado, los resultados por pregunta y la evidencia de los oferentes identificados. También permanecen pendientes el formato oficial, la rúbrica, el peso individual y las indicaciones complementarias de la actividad de GGPN01, Plan de Negocios, de la Maestría en Gestión Administrativa del ITESCA.</w:t>
      </w:r>
    </w:p>
    <w:bookmarkEnd w:id="28"/>
    <w:sectPr>
      <w:headerReference w:type="default" r:id="rId12"/>
      <w:footerReference w:type="default" r:id="rId13"/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reporte-plan-de-negocios-Actividad-10-Resultados-Mercado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2026-09-21T02:44:06Z</dcterms:created>
  <dcterms:modified xsi:type="dcterms:W3CDTF">2026-09-21T02:44:06Z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C:\Users\Sysx\Documents\AulaTeX-Academico\ITESCA\maestria-en-gestion-administrativa\plan-de-negocios-mga\plan-de-negocios.bib</vt:lpwstr>
  </property>
  <property fmtid="{D5CDD505-2E9C-101B-9397-08002B2CF9AE}" pid="3" name="reference-section-title">
    <vt:lpwstr>Referencias</vt:lpwstr>
  </property>
</Properties>
</file>