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4E27F" w14:textId="77777777" w:rsidR="00890E97" w:rsidRDefault="00296D41">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ortada-t12.png"/>
                    <pic:cNvPicPr/>
                  </pic:nvPicPr>
                  <pic:blipFill>
                    <a:blip r:embed="rId16"/>
                    <a:stretch>
                      <a:fillRect/>
                    </a:stretch>
                  </pic:blipFill>
                  <pic:spPr>
                    <a:xfrm>
                      <a:off x="0" y="0"/>
                      <a:ext cx="7772400" cy="10058400"/>
                    </a:xfrm>
                    <a:prstGeom prst="rect"/>
                  </pic:spPr>
                </pic:pic>
              </a:graphicData>
            </a:graphic>
          </wp:anchor>
        </w:drawing>
      </w:r>
    </w:p>
    <w:p w14:paraId="43FD4B35" w14:textId="77777777" w:rsidR="00B55F17" w:rsidRDefault="00CF4059">
      <w:pPr>
        <w:pStyle w:val="APAttulondice"/>
        <w:pageBreakBefore/>
      </w:pPr>
      <w:r>
        <w:lastRenderedPageBreak/>
        <w:t>Índice</w:t>
      </w:r>
    </w:p>
    <w:p w14:paraId="23167621" w14:textId="62BBEF18" w:rsidR="00890EF2" w:rsidRDefault="00CF4059">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2807289" w:history="1">
        <w:r w:rsidR="00890EF2" w:rsidRPr="00DA2969">
          <w:rPr>
            <w:rStyle w:val="Hipervnculo"/>
            <w:noProof/>
          </w:rPr>
          <w:t>1 Antecedentes</w:t>
        </w:r>
        <w:r w:rsidR="00890EF2">
          <w:rPr>
            <w:noProof/>
            <w:webHidden/>
          </w:rPr>
          <w:tab/>
        </w:r>
        <w:r w:rsidR="00890EF2">
          <w:rPr>
            <w:noProof/>
            <w:webHidden/>
          </w:rPr>
          <w:fldChar w:fldCharType="begin"/>
        </w:r>
        <w:r w:rsidR="00890EF2">
          <w:rPr>
            <w:noProof/>
            <w:webHidden/>
          </w:rPr>
          <w:instrText xml:space="preserve"> PAGEREF _Toc242807289 \h </w:instrText>
        </w:r>
        <w:r w:rsidR="00890EF2">
          <w:rPr>
            <w:noProof/>
            <w:webHidden/>
          </w:rPr>
        </w:r>
        <w:r w:rsidR="00890EF2">
          <w:rPr>
            <w:noProof/>
            <w:webHidden/>
          </w:rPr>
          <w:fldChar w:fldCharType="separate"/>
        </w:r>
        <w:r w:rsidR="00890EF2">
          <w:rPr>
            <w:noProof/>
            <w:webHidden/>
          </w:rPr>
          <w:t>3</w:t>
        </w:r>
        <w:r w:rsidR="00890EF2">
          <w:rPr>
            <w:noProof/>
            <w:webHidden/>
          </w:rPr>
          <w:fldChar w:fldCharType="end"/>
        </w:r>
      </w:hyperlink>
    </w:p>
    <w:p w14:paraId="2FBEA064" w14:textId="64505B59"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290" w:history="1">
        <w:r w:rsidRPr="00DA2969">
          <w:rPr>
            <w:rStyle w:val="Hipervnculo"/>
            <w:noProof/>
          </w:rPr>
          <w:t>2 Planteamiento del problema</w:t>
        </w:r>
        <w:r>
          <w:rPr>
            <w:noProof/>
            <w:webHidden/>
          </w:rPr>
          <w:tab/>
        </w:r>
        <w:r>
          <w:rPr>
            <w:noProof/>
            <w:webHidden/>
          </w:rPr>
          <w:fldChar w:fldCharType="begin"/>
        </w:r>
        <w:r>
          <w:rPr>
            <w:noProof/>
            <w:webHidden/>
          </w:rPr>
          <w:instrText xml:space="preserve"> PAGEREF _Toc242807290 \h </w:instrText>
        </w:r>
        <w:r>
          <w:rPr>
            <w:noProof/>
            <w:webHidden/>
          </w:rPr>
        </w:r>
        <w:r>
          <w:rPr>
            <w:noProof/>
            <w:webHidden/>
          </w:rPr>
          <w:fldChar w:fldCharType="separate"/>
        </w:r>
        <w:r>
          <w:rPr>
            <w:noProof/>
            <w:webHidden/>
          </w:rPr>
          <w:t>8</w:t>
        </w:r>
        <w:r>
          <w:rPr>
            <w:noProof/>
            <w:webHidden/>
          </w:rPr>
          <w:fldChar w:fldCharType="end"/>
        </w:r>
      </w:hyperlink>
    </w:p>
    <w:p w14:paraId="3F1BE2FC" w14:textId="59FF7633"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1" w:history="1">
        <w:r w:rsidRPr="00DA2969">
          <w:rPr>
            <w:rStyle w:val="Hipervnculo"/>
            <w:noProof/>
          </w:rPr>
          <w:t>2.1 Enunciado del problema</w:t>
        </w:r>
        <w:r>
          <w:rPr>
            <w:noProof/>
            <w:webHidden/>
          </w:rPr>
          <w:tab/>
        </w:r>
        <w:r>
          <w:rPr>
            <w:noProof/>
            <w:webHidden/>
          </w:rPr>
          <w:fldChar w:fldCharType="begin"/>
        </w:r>
        <w:r>
          <w:rPr>
            <w:noProof/>
            <w:webHidden/>
          </w:rPr>
          <w:instrText xml:space="preserve"> PAGEREF _Toc242807291 \h </w:instrText>
        </w:r>
        <w:r>
          <w:rPr>
            <w:noProof/>
            <w:webHidden/>
          </w:rPr>
        </w:r>
        <w:r>
          <w:rPr>
            <w:noProof/>
            <w:webHidden/>
          </w:rPr>
          <w:fldChar w:fldCharType="separate"/>
        </w:r>
        <w:r>
          <w:rPr>
            <w:noProof/>
            <w:webHidden/>
          </w:rPr>
          <w:t>8</w:t>
        </w:r>
        <w:r>
          <w:rPr>
            <w:noProof/>
            <w:webHidden/>
          </w:rPr>
          <w:fldChar w:fldCharType="end"/>
        </w:r>
      </w:hyperlink>
    </w:p>
    <w:p w14:paraId="2BDFC267" w14:textId="0778468E"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2" w:history="1">
        <w:r w:rsidRPr="00DA2969">
          <w:rPr>
            <w:rStyle w:val="Hipervnculo"/>
            <w:noProof/>
          </w:rPr>
          <w:t>2.2 Formulación del problema</w:t>
        </w:r>
        <w:r>
          <w:rPr>
            <w:noProof/>
            <w:webHidden/>
          </w:rPr>
          <w:tab/>
        </w:r>
        <w:r>
          <w:rPr>
            <w:noProof/>
            <w:webHidden/>
          </w:rPr>
          <w:fldChar w:fldCharType="begin"/>
        </w:r>
        <w:r>
          <w:rPr>
            <w:noProof/>
            <w:webHidden/>
          </w:rPr>
          <w:instrText xml:space="preserve"> PAGEREF _Toc242807292 \h </w:instrText>
        </w:r>
        <w:r>
          <w:rPr>
            <w:noProof/>
            <w:webHidden/>
          </w:rPr>
        </w:r>
        <w:r>
          <w:rPr>
            <w:noProof/>
            <w:webHidden/>
          </w:rPr>
          <w:fldChar w:fldCharType="separate"/>
        </w:r>
        <w:r>
          <w:rPr>
            <w:noProof/>
            <w:webHidden/>
          </w:rPr>
          <w:t>10</w:t>
        </w:r>
        <w:r>
          <w:rPr>
            <w:noProof/>
            <w:webHidden/>
          </w:rPr>
          <w:fldChar w:fldCharType="end"/>
        </w:r>
      </w:hyperlink>
    </w:p>
    <w:p w14:paraId="4231AFA0" w14:textId="30726AB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3" w:history="1">
        <w:r w:rsidRPr="00DA2969">
          <w:rPr>
            <w:rStyle w:val="Hipervnculo"/>
            <w:noProof/>
          </w:rPr>
          <w:t>2.3 Preguntas específicas</w:t>
        </w:r>
        <w:r>
          <w:rPr>
            <w:noProof/>
            <w:webHidden/>
          </w:rPr>
          <w:tab/>
        </w:r>
        <w:r>
          <w:rPr>
            <w:noProof/>
            <w:webHidden/>
          </w:rPr>
          <w:fldChar w:fldCharType="begin"/>
        </w:r>
        <w:r>
          <w:rPr>
            <w:noProof/>
            <w:webHidden/>
          </w:rPr>
          <w:instrText xml:space="preserve"> PAGEREF _Toc242807293 \h </w:instrText>
        </w:r>
        <w:r>
          <w:rPr>
            <w:noProof/>
            <w:webHidden/>
          </w:rPr>
        </w:r>
        <w:r>
          <w:rPr>
            <w:noProof/>
            <w:webHidden/>
          </w:rPr>
          <w:fldChar w:fldCharType="separate"/>
        </w:r>
        <w:r>
          <w:rPr>
            <w:noProof/>
            <w:webHidden/>
          </w:rPr>
          <w:t>11</w:t>
        </w:r>
        <w:r>
          <w:rPr>
            <w:noProof/>
            <w:webHidden/>
          </w:rPr>
          <w:fldChar w:fldCharType="end"/>
        </w:r>
      </w:hyperlink>
    </w:p>
    <w:p w14:paraId="072B6E89" w14:textId="30359B59"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294" w:history="1">
        <w:r w:rsidRPr="00DA2969">
          <w:rPr>
            <w:rStyle w:val="Hipervnculo"/>
            <w:noProof/>
          </w:rPr>
          <w:t>3 Formulación de objetivos general y específicos</w:t>
        </w:r>
        <w:r>
          <w:rPr>
            <w:noProof/>
            <w:webHidden/>
          </w:rPr>
          <w:tab/>
        </w:r>
        <w:r>
          <w:rPr>
            <w:noProof/>
            <w:webHidden/>
          </w:rPr>
          <w:fldChar w:fldCharType="begin"/>
        </w:r>
        <w:r>
          <w:rPr>
            <w:noProof/>
            <w:webHidden/>
          </w:rPr>
          <w:instrText xml:space="preserve"> PAGEREF _Toc242807294 \h </w:instrText>
        </w:r>
        <w:r>
          <w:rPr>
            <w:noProof/>
            <w:webHidden/>
          </w:rPr>
        </w:r>
        <w:r>
          <w:rPr>
            <w:noProof/>
            <w:webHidden/>
          </w:rPr>
          <w:fldChar w:fldCharType="separate"/>
        </w:r>
        <w:r>
          <w:rPr>
            <w:noProof/>
            <w:webHidden/>
          </w:rPr>
          <w:t>11</w:t>
        </w:r>
        <w:r>
          <w:rPr>
            <w:noProof/>
            <w:webHidden/>
          </w:rPr>
          <w:fldChar w:fldCharType="end"/>
        </w:r>
      </w:hyperlink>
    </w:p>
    <w:p w14:paraId="283C3658" w14:textId="285A9A60"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5" w:history="1">
        <w:r w:rsidRPr="00DA2969">
          <w:rPr>
            <w:rStyle w:val="Hipervnculo"/>
            <w:noProof/>
          </w:rPr>
          <w:t>3.1 Objetivo general</w:t>
        </w:r>
        <w:r>
          <w:rPr>
            <w:noProof/>
            <w:webHidden/>
          </w:rPr>
          <w:tab/>
        </w:r>
        <w:r>
          <w:rPr>
            <w:noProof/>
            <w:webHidden/>
          </w:rPr>
          <w:fldChar w:fldCharType="begin"/>
        </w:r>
        <w:r>
          <w:rPr>
            <w:noProof/>
            <w:webHidden/>
          </w:rPr>
          <w:instrText xml:space="preserve"> PAGEREF _Toc242807295 \h </w:instrText>
        </w:r>
        <w:r>
          <w:rPr>
            <w:noProof/>
            <w:webHidden/>
          </w:rPr>
        </w:r>
        <w:r>
          <w:rPr>
            <w:noProof/>
            <w:webHidden/>
          </w:rPr>
          <w:fldChar w:fldCharType="separate"/>
        </w:r>
        <w:r>
          <w:rPr>
            <w:noProof/>
            <w:webHidden/>
          </w:rPr>
          <w:t>12</w:t>
        </w:r>
        <w:r>
          <w:rPr>
            <w:noProof/>
            <w:webHidden/>
          </w:rPr>
          <w:fldChar w:fldCharType="end"/>
        </w:r>
      </w:hyperlink>
    </w:p>
    <w:p w14:paraId="28FD86C4" w14:textId="3379F05A"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6" w:history="1">
        <w:r w:rsidRPr="00DA2969">
          <w:rPr>
            <w:rStyle w:val="Hipervnculo"/>
            <w:noProof/>
          </w:rPr>
          <w:t>3.2 Objetivos específicos</w:t>
        </w:r>
        <w:r>
          <w:rPr>
            <w:noProof/>
            <w:webHidden/>
          </w:rPr>
          <w:tab/>
        </w:r>
        <w:r>
          <w:rPr>
            <w:noProof/>
            <w:webHidden/>
          </w:rPr>
          <w:fldChar w:fldCharType="begin"/>
        </w:r>
        <w:r>
          <w:rPr>
            <w:noProof/>
            <w:webHidden/>
          </w:rPr>
          <w:instrText xml:space="preserve"> PAGEREF _Toc242807296 \h </w:instrText>
        </w:r>
        <w:r>
          <w:rPr>
            <w:noProof/>
            <w:webHidden/>
          </w:rPr>
        </w:r>
        <w:r>
          <w:rPr>
            <w:noProof/>
            <w:webHidden/>
          </w:rPr>
          <w:fldChar w:fldCharType="separate"/>
        </w:r>
        <w:r>
          <w:rPr>
            <w:noProof/>
            <w:webHidden/>
          </w:rPr>
          <w:t>12</w:t>
        </w:r>
        <w:r>
          <w:rPr>
            <w:noProof/>
            <w:webHidden/>
          </w:rPr>
          <w:fldChar w:fldCharType="end"/>
        </w:r>
      </w:hyperlink>
    </w:p>
    <w:p w14:paraId="2127DAE8" w14:textId="2AC8045F"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297" w:history="1">
        <w:r w:rsidRPr="00DA2969">
          <w:rPr>
            <w:rStyle w:val="Hipervnculo"/>
            <w:noProof/>
          </w:rPr>
          <w:t>4 Justificación</w:t>
        </w:r>
        <w:r>
          <w:rPr>
            <w:noProof/>
            <w:webHidden/>
          </w:rPr>
          <w:tab/>
        </w:r>
        <w:r>
          <w:rPr>
            <w:noProof/>
            <w:webHidden/>
          </w:rPr>
          <w:fldChar w:fldCharType="begin"/>
        </w:r>
        <w:r>
          <w:rPr>
            <w:noProof/>
            <w:webHidden/>
          </w:rPr>
          <w:instrText xml:space="preserve"> PAGEREF _Toc242807297 \h </w:instrText>
        </w:r>
        <w:r>
          <w:rPr>
            <w:noProof/>
            <w:webHidden/>
          </w:rPr>
        </w:r>
        <w:r>
          <w:rPr>
            <w:noProof/>
            <w:webHidden/>
          </w:rPr>
          <w:fldChar w:fldCharType="separate"/>
        </w:r>
        <w:r>
          <w:rPr>
            <w:noProof/>
            <w:webHidden/>
          </w:rPr>
          <w:t>13</w:t>
        </w:r>
        <w:r>
          <w:rPr>
            <w:noProof/>
            <w:webHidden/>
          </w:rPr>
          <w:fldChar w:fldCharType="end"/>
        </w:r>
      </w:hyperlink>
    </w:p>
    <w:p w14:paraId="1105B79F" w14:textId="353D872B"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8" w:history="1">
        <w:r w:rsidRPr="00DA2969">
          <w:rPr>
            <w:rStyle w:val="Hipervnculo"/>
            <w:noProof/>
          </w:rPr>
          <w:t>4.1 Relevancia teórica</w:t>
        </w:r>
        <w:r>
          <w:rPr>
            <w:noProof/>
            <w:webHidden/>
          </w:rPr>
          <w:tab/>
        </w:r>
        <w:r>
          <w:rPr>
            <w:noProof/>
            <w:webHidden/>
          </w:rPr>
          <w:fldChar w:fldCharType="begin"/>
        </w:r>
        <w:r>
          <w:rPr>
            <w:noProof/>
            <w:webHidden/>
          </w:rPr>
          <w:instrText xml:space="preserve"> PAGEREF _Toc242807298 \h </w:instrText>
        </w:r>
        <w:r>
          <w:rPr>
            <w:noProof/>
            <w:webHidden/>
          </w:rPr>
        </w:r>
        <w:r>
          <w:rPr>
            <w:noProof/>
            <w:webHidden/>
          </w:rPr>
          <w:fldChar w:fldCharType="separate"/>
        </w:r>
        <w:r>
          <w:rPr>
            <w:noProof/>
            <w:webHidden/>
          </w:rPr>
          <w:t>13</w:t>
        </w:r>
        <w:r>
          <w:rPr>
            <w:noProof/>
            <w:webHidden/>
          </w:rPr>
          <w:fldChar w:fldCharType="end"/>
        </w:r>
      </w:hyperlink>
    </w:p>
    <w:p w14:paraId="2362113A" w14:textId="058D4EAF"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9" w:history="1">
        <w:r w:rsidRPr="00DA2969">
          <w:rPr>
            <w:rStyle w:val="Hipervnculo"/>
            <w:noProof/>
          </w:rPr>
          <w:t>4.2 Relevancia práctica</w:t>
        </w:r>
        <w:r>
          <w:rPr>
            <w:noProof/>
            <w:webHidden/>
          </w:rPr>
          <w:tab/>
        </w:r>
        <w:r>
          <w:rPr>
            <w:noProof/>
            <w:webHidden/>
          </w:rPr>
          <w:fldChar w:fldCharType="begin"/>
        </w:r>
        <w:r>
          <w:rPr>
            <w:noProof/>
            <w:webHidden/>
          </w:rPr>
          <w:instrText xml:space="preserve"> PAGEREF _Toc242807299 \h </w:instrText>
        </w:r>
        <w:r>
          <w:rPr>
            <w:noProof/>
            <w:webHidden/>
          </w:rPr>
        </w:r>
        <w:r>
          <w:rPr>
            <w:noProof/>
            <w:webHidden/>
          </w:rPr>
          <w:fldChar w:fldCharType="separate"/>
        </w:r>
        <w:r>
          <w:rPr>
            <w:noProof/>
            <w:webHidden/>
          </w:rPr>
          <w:t>14</w:t>
        </w:r>
        <w:r>
          <w:rPr>
            <w:noProof/>
            <w:webHidden/>
          </w:rPr>
          <w:fldChar w:fldCharType="end"/>
        </w:r>
      </w:hyperlink>
    </w:p>
    <w:p w14:paraId="043B95F9" w14:textId="07EC73D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0" w:history="1">
        <w:r w:rsidRPr="00DA2969">
          <w:rPr>
            <w:rStyle w:val="Hipervnculo"/>
            <w:noProof/>
          </w:rPr>
          <w:t>4.3 Relevancia social e institucional</w:t>
        </w:r>
        <w:r>
          <w:rPr>
            <w:noProof/>
            <w:webHidden/>
          </w:rPr>
          <w:tab/>
        </w:r>
        <w:r>
          <w:rPr>
            <w:noProof/>
            <w:webHidden/>
          </w:rPr>
          <w:fldChar w:fldCharType="begin"/>
        </w:r>
        <w:r>
          <w:rPr>
            <w:noProof/>
            <w:webHidden/>
          </w:rPr>
          <w:instrText xml:space="preserve"> PAGEREF _Toc242807300 \h </w:instrText>
        </w:r>
        <w:r>
          <w:rPr>
            <w:noProof/>
            <w:webHidden/>
          </w:rPr>
        </w:r>
        <w:r>
          <w:rPr>
            <w:noProof/>
            <w:webHidden/>
          </w:rPr>
          <w:fldChar w:fldCharType="separate"/>
        </w:r>
        <w:r>
          <w:rPr>
            <w:noProof/>
            <w:webHidden/>
          </w:rPr>
          <w:t>15</w:t>
        </w:r>
        <w:r>
          <w:rPr>
            <w:noProof/>
            <w:webHidden/>
          </w:rPr>
          <w:fldChar w:fldCharType="end"/>
        </w:r>
      </w:hyperlink>
    </w:p>
    <w:p w14:paraId="7CF511E6" w14:textId="50810B6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1" w:history="1">
        <w:r w:rsidRPr="00DA2969">
          <w:rPr>
            <w:rStyle w:val="Hipervnculo"/>
            <w:noProof/>
          </w:rPr>
          <w:t>4.4 Originalidad</w:t>
        </w:r>
        <w:r>
          <w:rPr>
            <w:noProof/>
            <w:webHidden/>
          </w:rPr>
          <w:tab/>
        </w:r>
        <w:r>
          <w:rPr>
            <w:noProof/>
            <w:webHidden/>
          </w:rPr>
          <w:fldChar w:fldCharType="begin"/>
        </w:r>
        <w:r>
          <w:rPr>
            <w:noProof/>
            <w:webHidden/>
          </w:rPr>
          <w:instrText xml:space="preserve"> PAGEREF _Toc242807301 \h </w:instrText>
        </w:r>
        <w:r>
          <w:rPr>
            <w:noProof/>
            <w:webHidden/>
          </w:rPr>
        </w:r>
        <w:r>
          <w:rPr>
            <w:noProof/>
            <w:webHidden/>
          </w:rPr>
          <w:fldChar w:fldCharType="separate"/>
        </w:r>
        <w:r>
          <w:rPr>
            <w:noProof/>
            <w:webHidden/>
          </w:rPr>
          <w:t>15</w:t>
        </w:r>
        <w:r>
          <w:rPr>
            <w:noProof/>
            <w:webHidden/>
          </w:rPr>
          <w:fldChar w:fldCharType="end"/>
        </w:r>
      </w:hyperlink>
    </w:p>
    <w:p w14:paraId="60BC9758" w14:textId="6B4A76A7"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2" w:history="1">
        <w:r w:rsidRPr="00DA2969">
          <w:rPr>
            <w:rStyle w:val="Hipervnculo"/>
            <w:noProof/>
          </w:rPr>
          <w:t>4.5 Viabilidad</w:t>
        </w:r>
        <w:r>
          <w:rPr>
            <w:noProof/>
            <w:webHidden/>
          </w:rPr>
          <w:tab/>
        </w:r>
        <w:r>
          <w:rPr>
            <w:noProof/>
            <w:webHidden/>
          </w:rPr>
          <w:fldChar w:fldCharType="begin"/>
        </w:r>
        <w:r>
          <w:rPr>
            <w:noProof/>
            <w:webHidden/>
          </w:rPr>
          <w:instrText xml:space="preserve"> PAGEREF _Toc242807302 \h </w:instrText>
        </w:r>
        <w:r>
          <w:rPr>
            <w:noProof/>
            <w:webHidden/>
          </w:rPr>
        </w:r>
        <w:r>
          <w:rPr>
            <w:noProof/>
            <w:webHidden/>
          </w:rPr>
          <w:fldChar w:fldCharType="separate"/>
        </w:r>
        <w:r>
          <w:rPr>
            <w:noProof/>
            <w:webHidden/>
          </w:rPr>
          <w:t>16</w:t>
        </w:r>
        <w:r>
          <w:rPr>
            <w:noProof/>
            <w:webHidden/>
          </w:rPr>
          <w:fldChar w:fldCharType="end"/>
        </w:r>
      </w:hyperlink>
    </w:p>
    <w:p w14:paraId="3E06EF4C" w14:textId="2A414853"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03" w:history="1">
        <w:r w:rsidRPr="00DA2969">
          <w:rPr>
            <w:rStyle w:val="Hipervnculo"/>
            <w:noProof/>
          </w:rPr>
          <w:t>5 Hipótesis de trabajo</w:t>
        </w:r>
        <w:r>
          <w:rPr>
            <w:noProof/>
            <w:webHidden/>
          </w:rPr>
          <w:tab/>
        </w:r>
        <w:r>
          <w:rPr>
            <w:noProof/>
            <w:webHidden/>
          </w:rPr>
          <w:fldChar w:fldCharType="begin"/>
        </w:r>
        <w:r>
          <w:rPr>
            <w:noProof/>
            <w:webHidden/>
          </w:rPr>
          <w:instrText xml:space="preserve"> PAGEREF _Toc242807303 \h </w:instrText>
        </w:r>
        <w:r>
          <w:rPr>
            <w:noProof/>
            <w:webHidden/>
          </w:rPr>
        </w:r>
        <w:r>
          <w:rPr>
            <w:noProof/>
            <w:webHidden/>
          </w:rPr>
          <w:fldChar w:fldCharType="separate"/>
        </w:r>
        <w:r>
          <w:rPr>
            <w:noProof/>
            <w:webHidden/>
          </w:rPr>
          <w:t>17</w:t>
        </w:r>
        <w:r>
          <w:rPr>
            <w:noProof/>
            <w:webHidden/>
          </w:rPr>
          <w:fldChar w:fldCharType="end"/>
        </w:r>
      </w:hyperlink>
    </w:p>
    <w:p w14:paraId="2B1718C4" w14:textId="3EB8A609"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4" w:history="1">
        <w:r w:rsidRPr="00DA2969">
          <w:rPr>
            <w:rStyle w:val="Hipervnculo"/>
            <w:noProof/>
          </w:rPr>
          <w:t>5.1 Hipótesis general</w:t>
        </w:r>
        <w:r>
          <w:rPr>
            <w:noProof/>
            <w:webHidden/>
          </w:rPr>
          <w:tab/>
        </w:r>
        <w:r>
          <w:rPr>
            <w:noProof/>
            <w:webHidden/>
          </w:rPr>
          <w:fldChar w:fldCharType="begin"/>
        </w:r>
        <w:r>
          <w:rPr>
            <w:noProof/>
            <w:webHidden/>
          </w:rPr>
          <w:instrText xml:space="preserve"> PAGEREF _Toc242807304 \h </w:instrText>
        </w:r>
        <w:r>
          <w:rPr>
            <w:noProof/>
            <w:webHidden/>
          </w:rPr>
        </w:r>
        <w:r>
          <w:rPr>
            <w:noProof/>
            <w:webHidden/>
          </w:rPr>
          <w:fldChar w:fldCharType="separate"/>
        </w:r>
        <w:r>
          <w:rPr>
            <w:noProof/>
            <w:webHidden/>
          </w:rPr>
          <w:t>17</w:t>
        </w:r>
        <w:r>
          <w:rPr>
            <w:noProof/>
            <w:webHidden/>
          </w:rPr>
          <w:fldChar w:fldCharType="end"/>
        </w:r>
      </w:hyperlink>
    </w:p>
    <w:p w14:paraId="301DEF18" w14:textId="2846C09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5" w:history="1">
        <w:r w:rsidRPr="00DA2969">
          <w:rPr>
            <w:rStyle w:val="Hipervnculo"/>
            <w:noProof/>
          </w:rPr>
          <w:t>5.2 Hipótesis específica</w:t>
        </w:r>
        <w:r>
          <w:rPr>
            <w:noProof/>
            <w:webHidden/>
          </w:rPr>
          <w:tab/>
        </w:r>
        <w:r>
          <w:rPr>
            <w:noProof/>
            <w:webHidden/>
          </w:rPr>
          <w:fldChar w:fldCharType="begin"/>
        </w:r>
        <w:r>
          <w:rPr>
            <w:noProof/>
            <w:webHidden/>
          </w:rPr>
          <w:instrText xml:space="preserve"> PAGEREF _Toc242807305 \h </w:instrText>
        </w:r>
        <w:r>
          <w:rPr>
            <w:noProof/>
            <w:webHidden/>
          </w:rPr>
        </w:r>
        <w:r>
          <w:rPr>
            <w:noProof/>
            <w:webHidden/>
          </w:rPr>
          <w:fldChar w:fldCharType="separate"/>
        </w:r>
        <w:r>
          <w:rPr>
            <w:noProof/>
            <w:webHidden/>
          </w:rPr>
          <w:t>19</w:t>
        </w:r>
        <w:r>
          <w:rPr>
            <w:noProof/>
            <w:webHidden/>
          </w:rPr>
          <w:fldChar w:fldCharType="end"/>
        </w:r>
      </w:hyperlink>
    </w:p>
    <w:p w14:paraId="076A4809" w14:textId="7B7B16C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6" w:history="1">
        <w:r w:rsidRPr="00DA2969">
          <w:rPr>
            <w:rStyle w:val="Hipervnculo"/>
            <w:noProof/>
          </w:rPr>
          <w:t>5.3 Tipo de hipótesis</w:t>
        </w:r>
        <w:r>
          <w:rPr>
            <w:noProof/>
            <w:webHidden/>
          </w:rPr>
          <w:tab/>
        </w:r>
        <w:r>
          <w:rPr>
            <w:noProof/>
            <w:webHidden/>
          </w:rPr>
          <w:fldChar w:fldCharType="begin"/>
        </w:r>
        <w:r>
          <w:rPr>
            <w:noProof/>
            <w:webHidden/>
          </w:rPr>
          <w:instrText xml:space="preserve"> PAGEREF _Toc242807306 \h </w:instrText>
        </w:r>
        <w:r>
          <w:rPr>
            <w:noProof/>
            <w:webHidden/>
          </w:rPr>
        </w:r>
        <w:r>
          <w:rPr>
            <w:noProof/>
            <w:webHidden/>
          </w:rPr>
          <w:fldChar w:fldCharType="separate"/>
        </w:r>
        <w:r>
          <w:rPr>
            <w:noProof/>
            <w:webHidden/>
          </w:rPr>
          <w:t>19</w:t>
        </w:r>
        <w:r>
          <w:rPr>
            <w:noProof/>
            <w:webHidden/>
          </w:rPr>
          <w:fldChar w:fldCharType="end"/>
        </w:r>
      </w:hyperlink>
    </w:p>
    <w:p w14:paraId="135A2C5B" w14:textId="223269AA"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7" w:history="1">
        <w:r w:rsidRPr="00DA2969">
          <w:rPr>
            <w:rStyle w:val="Hipervnculo"/>
            <w:noProof/>
          </w:rPr>
          <w:t>5.4 Criterios de calidad y contraste documental</w:t>
        </w:r>
        <w:r>
          <w:rPr>
            <w:noProof/>
            <w:webHidden/>
          </w:rPr>
          <w:tab/>
        </w:r>
        <w:r>
          <w:rPr>
            <w:noProof/>
            <w:webHidden/>
          </w:rPr>
          <w:fldChar w:fldCharType="begin"/>
        </w:r>
        <w:r>
          <w:rPr>
            <w:noProof/>
            <w:webHidden/>
          </w:rPr>
          <w:instrText xml:space="preserve"> PAGEREF _Toc242807307 \h </w:instrText>
        </w:r>
        <w:r>
          <w:rPr>
            <w:noProof/>
            <w:webHidden/>
          </w:rPr>
        </w:r>
        <w:r>
          <w:rPr>
            <w:noProof/>
            <w:webHidden/>
          </w:rPr>
          <w:fldChar w:fldCharType="separate"/>
        </w:r>
        <w:r>
          <w:rPr>
            <w:noProof/>
            <w:webHidden/>
          </w:rPr>
          <w:t>20</w:t>
        </w:r>
        <w:r>
          <w:rPr>
            <w:noProof/>
            <w:webHidden/>
          </w:rPr>
          <w:fldChar w:fldCharType="end"/>
        </w:r>
      </w:hyperlink>
    </w:p>
    <w:p w14:paraId="0564638C" w14:textId="3BFEAFBF"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08" w:history="1">
        <w:r w:rsidRPr="00DA2969">
          <w:rPr>
            <w:rStyle w:val="Hipervnculo"/>
            <w:noProof/>
          </w:rPr>
          <w:t>6 Alcances y limitaciones</w:t>
        </w:r>
        <w:r>
          <w:rPr>
            <w:noProof/>
            <w:webHidden/>
          </w:rPr>
          <w:tab/>
        </w:r>
        <w:r>
          <w:rPr>
            <w:noProof/>
            <w:webHidden/>
          </w:rPr>
          <w:fldChar w:fldCharType="begin"/>
        </w:r>
        <w:r>
          <w:rPr>
            <w:noProof/>
            <w:webHidden/>
          </w:rPr>
          <w:instrText xml:space="preserve"> PAGEREF _Toc242807308 \h </w:instrText>
        </w:r>
        <w:r>
          <w:rPr>
            <w:noProof/>
            <w:webHidden/>
          </w:rPr>
        </w:r>
        <w:r>
          <w:rPr>
            <w:noProof/>
            <w:webHidden/>
          </w:rPr>
          <w:fldChar w:fldCharType="separate"/>
        </w:r>
        <w:r>
          <w:rPr>
            <w:noProof/>
            <w:webHidden/>
          </w:rPr>
          <w:t>23</w:t>
        </w:r>
        <w:r>
          <w:rPr>
            <w:noProof/>
            <w:webHidden/>
          </w:rPr>
          <w:fldChar w:fldCharType="end"/>
        </w:r>
      </w:hyperlink>
    </w:p>
    <w:p w14:paraId="774BA615" w14:textId="7B3FDC87"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9" w:history="1">
        <w:r w:rsidRPr="00DA2969">
          <w:rPr>
            <w:rStyle w:val="Hipervnculo"/>
            <w:noProof/>
          </w:rPr>
          <w:t>6.1 Alcances</w:t>
        </w:r>
        <w:r>
          <w:rPr>
            <w:noProof/>
            <w:webHidden/>
          </w:rPr>
          <w:tab/>
        </w:r>
        <w:r>
          <w:rPr>
            <w:noProof/>
            <w:webHidden/>
          </w:rPr>
          <w:fldChar w:fldCharType="begin"/>
        </w:r>
        <w:r>
          <w:rPr>
            <w:noProof/>
            <w:webHidden/>
          </w:rPr>
          <w:instrText xml:space="preserve"> PAGEREF _Toc242807309 \h </w:instrText>
        </w:r>
        <w:r>
          <w:rPr>
            <w:noProof/>
            <w:webHidden/>
          </w:rPr>
        </w:r>
        <w:r>
          <w:rPr>
            <w:noProof/>
            <w:webHidden/>
          </w:rPr>
          <w:fldChar w:fldCharType="separate"/>
        </w:r>
        <w:r>
          <w:rPr>
            <w:noProof/>
            <w:webHidden/>
          </w:rPr>
          <w:t>23</w:t>
        </w:r>
        <w:r>
          <w:rPr>
            <w:noProof/>
            <w:webHidden/>
          </w:rPr>
          <w:fldChar w:fldCharType="end"/>
        </w:r>
      </w:hyperlink>
    </w:p>
    <w:p w14:paraId="2C2F649F" w14:textId="42C2C7EA"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10" w:history="1">
        <w:r w:rsidRPr="00DA2969">
          <w:rPr>
            <w:rStyle w:val="Hipervnculo"/>
            <w:noProof/>
          </w:rPr>
          <w:t>6.2 Limitaciones</w:t>
        </w:r>
        <w:r>
          <w:rPr>
            <w:noProof/>
            <w:webHidden/>
          </w:rPr>
          <w:tab/>
        </w:r>
        <w:r>
          <w:rPr>
            <w:noProof/>
            <w:webHidden/>
          </w:rPr>
          <w:fldChar w:fldCharType="begin"/>
        </w:r>
        <w:r>
          <w:rPr>
            <w:noProof/>
            <w:webHidden/>
          </w:rPr>
          <w:instrText xml:space="preserve"> PAGEREF _Toc242807310 \h </w:instrText>
        </w:r>
        <w:r>
          <w:rPr>
            <w:noProof/>
            <w:webHidden/>
          </w:rPr>
        </w:r>
        <w:r>
          <w:rPr>
            <w:noProof/>
            <w:webHidden/>
          </w:rPr>
          <w:fldChar w:fldCharType="separate"/>
        </w:r>
        <w:r>
          <w:rPr>
            <w:noProof/>
            <w:webHidden/>
          </w:rPr>
          <w:t>23</w:t>
        </w:r>
        <w:r>
          <w:rPr>
            <w:noProof/>
            <w:webHidden/>
          </w:rPr>
          <w:fldChar w:fldCharType="end"/>
        </w:r>
      </w:hyperlink>
    </w:p>
    <w:p w14:paraId="3133FE4E" w14:textId="4E9E0DE2"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1" w:history="1">
        <w:r w:rsidRPr="00DA2969">
          <w:rPr>
            <w:rStyle w:val="Hipervnculo"/>
            <w:noProof/>
          </w:rPr>
          <w:t>7 Marco teórico</w:t>
        </w:r>
        <w:r>
          <w:rPr>
            <w:noProof/>
            <w:webHidden/>
          </w:rPr>
          <w:tab/>
        </w:r>
        <w:r>
          <w:rPr>
            <w:noProof/>
            <w:webHidden/>
          </w:rPr>
          <w:fldChar w:fldCharType="begin"/>
        </w:r>
        <w:r>
          <w:rPr>
            <w:noProof/>
            <w:webHidden/>
          </w:rPr>
          <w:instrText xml:space="preserve"> PAGEREF _Toc242807311 \h </w:instrText>
        </w:r>
        <w:r>
          <w:rPr>
            <w:noProof/>
            <w:webHidden/>
          </w:rPr>
        </w:r>
        <w:r>
          <w:rPr>
            <w:noProof/>
            <w:webHidden/>
          </w:rPr>
          <w:fldChar w:fldCharType="separate"/>
        </w:r>
        <w:r>
          <w:rPr>
            <w:noProof/>
            <w:webHidden/>
          </w:rPr>
          <w:t>23</w:t>
        </w:r>
        <w:r>
          <w:rPr>
            <w:noProof/>
            <w:webHidden/>
          </w:rPr>
          <w:fldChar w:fldCharType="end"/>
        </w:r>
      </w:hyperlink>
    </w:p>
    <w:p w14:paraId="32AFC84F" w14:textId="04EE592C"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2" w:history="1">
        <w:r w:rsidRPr="00DA2969">
          <w:rPr>
            <w:rStyle w:val="Hipervnculo"/>
            <w:noProof/>
          </w:rPr>
          <w:t>8 Métodos o procedimientos</w:t>
        </w:r>
        <w:r>
          <w:rPr>
            <w:noProof/>
            <w:webHidden/>
          </w:rPr>
          <w:tab/>
        </w:r>
        <w:r>
          <w:rPr>
            <w:noProof/>
            <w:webHidden/>
          </w:rPr>
          <w:fldChar w:fldCharType="begin"/>
        </w:r>
        <w:r>
          <w:rPr>
            <w:noProof/>
            <w:webHidden/>
          </w:rPr>
          <w:instrText xml:space="preserve"> PAGEREF _Toc242807312 \h </w:instrText>
        </w:r>
        <w:r>
          <w:rPr>
            <w:noProof/>
            <w:webHidden/>
          </w:rPr>
        </w:r>
        <w:r>
          <w:rPr>
            <w:noProof/>
            <w:webHidden/>
          </w:rPr>
          <w:fldChar w:fldCharType="separate"/>
        </w:r>
        <w:r>
          <w:rPr>
            <w:noProof/>
            <w:webHidden/>
          </w:rPr>
          <w:t>23</w:t>
        </w:r>
        <w:r>
          <w:rPr>
            <w:noProof/>
            <w:webHidden/>
          </w:rPr>
          <w:fldChar w:fldCharType="end"/>
        </w:r>
      </w:hyperlink>
    </w:p>
    <w:p w14:paraId="1CA44D9A" w14:textId="53C614DF"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3" w:history="1">
        <w:r w:rsidRPr="00DA2969">
          <w:rPr>
            <w:rStyle w:val="Hipervnculo"/>
            <w:noProof/>
          </w:rPr>
          <w:t>9 Cronograma de actividades</w:t>
        </w:r>
        <w:r>
          <w:rPr>
            <w:noProof/>
            <w:webHidden/>
          </w:rPr>
          <w:tab/>
        </w:r>
        <w:r>
          <w:rPr>
            <w:noProof/>
            <w:webHidden/>
          </w:rPr>
          <w:fldChar w:fldCharType="begin"/>
        </w:r>
        <w:r>
          <w:rPr>
            <w:noProof/>
            <w:webHidden/>
          </w:rPr>
          <w:instrText xml:space="preserve"> PAGEREF _Toc242807313 \h </w:instrText>
        </w:r>
        <w:r>
          <w:rPr>
            <w:noProof/>
            <w:webHidden/>
          </w:rPr>
        </w:r>
        <w:r>
          <w:rPr>
            <w:noProof/>
            <w:webHidden/>
          </w:rPr>
          <w:fldChar w:fldCharType="separate"/>
        </w:r>
        <w:r>
          <w:rPr>
            <w:noProof/>
            <w:webHidden/>
          </w:rPr>
          <w:t>23</w:t>
        </w:r>
        <w:r>
          <w:rPr>
            <w:noProof/>
            <w:webHidden/>
          </w:rPr>
          <w:fldChar w:fldCharType="end"/>
        </w:r>
      </w:hyperlink>
    </w:p>
    <w:p w14:paraId="6641CAAF" w14:textId="1FF52FC9"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4" w:history="1">
        <w:r w:rsidRPr="00DA2969">
          <w:rPr>
            <w:rStyle w:val="Hipervnculo"/>
            <w:noProof/>
          </w:rPr>
          <w:t>Referencias</w:t>
        </w:r>
        <w:r>
          <w:rPr>
            <w:noProof/>
            <w:webHidden/>
          </w:rPr>
          <w:tab/>
        </w:r>
        <w:r>
          <w:rPr>
            <w:noProof/>
            <w:webHidden/>
          </w:rPr>
          <w:fldChar w:fldCharType="begin"/>
        </w:r>
        <w:r>
          <w:rPr>
            <w:noProof/>
            <w:webHidden/>
          </w:rPr>
          <w:instrText xml:space="preserve"> PAGEREF _Toc242807314 \h </w:instrText>
        </w:r>
        <w:r>
          <w:rPr>
            <w:noProof/>
            <w:webHidden/>
          </w:rPr>
        </w:r>
        <w:r>
          <w:rPr>
            <w:noProof/>
            <w:webHidden/>
          </w:rPr>
          <w:fldChar w:fldCharType="separate"/>
        </w:r>
        <w:r>
          <w:rPr>
            <w:noProof/>
            <w:webHidden/>
          </w:rPr>
          <w:t>24</w:t>
        </w:r>
        <w:r>
          <w:rPr>
            <w:noProof/>
            <w:webHidden/>
          </w:rPr>
          <w:fldChar w:fldCharType="end"/>
        </w:r>
      </w:hyperlink>
    </w:p>
    <w:p w14:paraId="05098F31" w14:textId="0704D7C0"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5" w:history="1">
        <w:r w:rsidRPr="00DA2969">
          <w:rPr>
            <w:rStyle w:val="Hipervnculo"/>
            <w:noProof/>
          </w:rPr>
          <w:t>Anexo 1 Matriz de consistencia</w:t>
        </w:r>
        <w:r>
          <w:rPr>
            <w:noProof/>
            <w:webHidden/>
          </w:rPr>
          <w:tab/>
        </w:r>
        <w:r>
          <w:rPr>
            <w:noProof/>
            <w:webHidden/>
          </w:rPr>
          <w:fldChar w:fldCharType="begin"/>
        </w:r>
        <w:r>
          <w:rPr>
            <w:noProof/>
            <w:webHidden/>
          </w:rPr>
          <w:instrText xml:space="preserve"> PAGEREF _Toc242807315 \h </w:instrText>
        </w:r>
        <w:r>
          <w:rPr>
            <w:noProof/>
            <w:webHidden/>
          </w:rPr>
        </w:r>
        <w:r>
          <w:rPr>
            <w:noProof/>
            <w:webHidden/>
          </w:rPr>
          <w:fldChar w:fldCharType="separate"/>
        </w:r>
        <w:r>
          <w:rPr>
            <w:noProof/>
            <w:webHidden/>
          </w:rPr>
          <w:t>27</w:t>
        </w:r>
        <w:r>
          <w:rPr>
            <w:noProof/>
            <w:webHidden/>
          </w:rPr>
          <w:fldChar w:fldCharType="end"/>
        </w:r>
      </w:hyperlink>
    </w:p>
    <w:p w14:paraId="5AC708B1" w14:textId="09C93714"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16" w:history="1">
        <w:r w:rsidRPr="00DA2969">
          <w:rPr>
            <w:rStyle w:val="Hipervnculo"/>
            <w:noProof/>
          </w:rPr>
          <w:t>Correspondencia de preguntas y objetivos específicos</w:t>
        </w:r>
        <w:r>
          <w:rPr>
            <w:noProof/>
            <w:webHidden/>
          </w:rPr>
          <w:tab/>
        </w:r>
        <w:r>
          <w:rPr>
            <w:noProof/>
            <w:webHidden/>
          </w:rPr>
          <w:fldChar w:fldCharType="begin"/>
        </w:r>
        <w:r>
          <w:rPr>
            <w:noProof/>
            <w:webHidden/>
          </w:rPr>
          <w:instrText xml:space="preserve"> PAGEREF _Toc242807316 \h </w:instrText>
        </w:r>
        <w:r>
          <w:rPr>
            <w:noProof/>
            <w:webHidden/>
          </w:rPr>
        </w:r>
        <w:r>
          <w:rPr>
            <w:noProof/>
            <w:webHidden/>
          </w:rPr>
          <w:fldChar w:fldCharType="separate"/>
        </w:r>
        <w:r>
          <w:rPr>
            <w:noProof/>
            <w:webHidden/>
          </w:rPr>
          <w:t>28</w:t>
        </w:r>
        <w:r>
          <w:rPr>
            <w:noProof/>
            <w:webHidden/>
          </w:rPr>
          <w:fldChar w:fldCharType="end"/>
        </w:r>
      </w:hyperlink>
    </w:p>
    <w:p w14:paraId="20A5497E" w14:textId="6918A949"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7" w:history="1">
        <w:r w:rsidRPr="00DA2969">
          <w:rPr>
            <w:rStyle w:val="Hipervnculo"/>
            <w:noProof/>
          </w:rPr>
          <w:t>Anexo 2 Círculo de Covey</w:t>
        </w:r>
        <w:r>
          <w:rPr>
            <w:noProof/>
            <w:webHidden/>
          </w:rPr>
          <w:tab/>
        </w:r>
        <w:r>
          <w:rPr>
            <w:noProof/>
            <w:webHidden/>
          </w:rPr>
          <w:fldChar w:fldCharType="begin"/>
        </w:r>
        <w:r>
          <w:rPr>
            <w:noProof/>
            <w:webHidden/>
          </w:rPr>
          <w:instrText xml:space="preserve"> PAGEREF _Toc242807317 \h </w:instrText>
        </w:r>
        <w:r>
          <w:rPr>
            <w:noProof/>
            <w:webHidden/>
          </w:rPr>
        </w:r>
        <w:r>
          <w:rPr>
            <w:noProof/>
            <w:webHidden/>
          </w:rPr>
          <w:fldChar w:fldCharType="separate"/>
        </w:r>
        <w:r>
          <w:rPr>
            <w:noProof/>
            <w:webHidden/>
          </w:rPr>
          <w:t>31</w:t>
        </w:r>
        <w:r>
          <w:rPr>
            <w:noProof/>
            <w:webHidden/>
          </w:rPr>
          <w:fldChar w:fldCharType="end"/>
        </w:r>
      </w:hyperlink>
    </w:p>
    <w:p w14:paraId="2864DCDA" w14:textId="00011C6D" w:rsidR="00B55F17" w:rsidRDefault="00CF4059">
      <w:pPr>
        <w:ind w:firstLine="0"/>
      </w:pPr>
      <w:r>
        <w:fldChar w:fldCharType="end"/>
      </w:r>
    </w:p>
    <w:p w14:paraId="4079651F" w14:textId="77777777" w:rsidR="00B55F17" w:rsidRDefault="00CF4059">
      <w:pPr>
        <w:pStyle w:val="Ttulo1"/>
        <w:pageBreakBefore/>
        <w:spacing w:before="120" w:after="80"/>
      </w:pPr>
      <w:bookmarkStart w:id="0" w:name="_Toc242807289"/>
      <w:r>
        <w:lastRenderedPageBreak/>
        <w:t>1 Antecedentes</w:t>
      </w:r>
      <w:bookmarkEnd w:id="0"/>
    </w:p>
    <w:p w14:paraId="0C293AE5" w14:textId="77777777" w:rsidR="00B55F17" w:rsidRDefault="00CF4059">
      <w:pPr>
        <w:keepNext/>
        <w:ind w:firstLine="0"/>
      </w:pPr>
      <w:r>
        <w:rPr>
          <w:b/>
        </w:rPr>
        <w:t>Contextualización general</w:t>
      </w:r>
    </w:p>
    <w:p w14:paraId="24C5147F" w14:textId="77777777" w:rsidR="00B55F17" w:rsidRDefault="00CF4059">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una ruta de cumplimiento verificable para el proyecto.</w:t>
      </w:r>
    </w:p>
    <w:p w14:paraId="37B0138B" w14:textId="77777777" w:rsidR="00B55F17" w:rsidRDefault="00CF4059">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suficiente de implementación o de autorización administrativa (vTaxi, 2026).</w:t>
      </w:r>
    </w:p>
    <w:p w14:paraId="78EA994E" w14:textId="77777777" w:rsidR="00B55F17" w:rsidRDefault="00CF4059">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5B082F0F" w14:textId="77777777" w:rsidR="00B55F17" w:rsidRDefault="00CF4059">
      <w:pPr>
        <w:keepNext/>
        <w:ind w:firstLine="0"/>
      </w:pPr>
      <w:r>
        <w:rPr>
          <w:b/>
        </w:rPr>
        <w:t>Estado del arte</w:t>
      </w:r>
    </w:p>
    <w:p w14:paraId="640237AD" w14:textId="77777777" w:rsidR="00B55F17" w:rsidRDefault="00CF4059">
      <w:r>
        <w:t xml:space="preserve">Kraus et al. (2021) organizan la literatura de transformación digital en efectos tecnológicos, empresariales y sociales. Su revisión permite comprender que la digitalización modifica procesos y relaciones, además de 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441ED0E6" w14:textId="77777777" w:rsidR="00B55F17" w:rsidRDefault="00CF4059">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requisitos, designar responsables y conservar evidencias debe examinarse directamente, pues los estudios citados no miden la preparación regulatoria de vTaxi.</w:t>
      </w:r>
    </w:p>
    <w:p w14:paraId="6D40D45B" w14:textId="77777777" w:rsidR="00B55F17" w:rsidRDefault="00CF4059">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justificación documental y una comprobación de su pertinencia.</w:t>
      </w:r>
    </w:p>
    <w:p w14:paraId="6B1F87DD" w14:textId="77777777" w:rsidR="00B55F17" w:rsidRDefault="00CF4059">
      <w:r>
        <w:t xml:space="preserve">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útil si esa información </w:t>
      </w:r>
      <w:r>
        <w:lastRenderedPageBreak/>
        <w:t>permite decidir qué servicio se pretende ofrecer, quién responde por cada obligación y qué evidencia acredita su atención.</w:t>
      </w:r>
    </w:p>
    <w:p w14:paraId="33AC1D33" w14:textId="77777777" w:rsidR="00B55F17" w:rsidRDefault="00CF4059">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objetos de estudio no son el registro de aplicaciones ni las autorizaciones de transporte. Sería incorrecto derivar de estos resultados una lista de trámites para la plataforma.</w:t>
      </w:r>
    </w:p>
    <w:p w14:paraId="6CE9075D" w14:textId="77777777" w:rsidR="00B55F17" w:rsidRDefault="00CF4059">
      <w:r>
        <w:t>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a este caso resultados financieros, porcentajes de mejora ni efectos causales que todavía no han sido medidos.</w:t>
      </w:r>
    </w:p>
    <w:p w14:paraId="42CC72D2" w14:textId="77777777" w:rsidR="00B8658C" w:rsidRDefault="00395729">
      <w:r>
        <w:t>La gestión del cumplimiento exige distinguir entre adoptar documentos formales y administrar su aplicación. En el resumen editorial de Parker y Nielsen (2009) se describe un análisis de respuestas de 999 grandes empresas australianas sobre sistemas de cumplimiento de normas de competencia y protección al consumidor. Los autores diferencian la adopción formal de los sistemas y su gestión práctica, y destacan la importancia del compromiso directivo, la supervisión, la planeación y los recursos organizacionales (Parker &amp; Nielsen, 2009). Este antecedente se relaciona directamente con el objeto administrativo de vTaxi: no basta reunir requisitos; deben examinarse responsabilidades, controles y evidencias. La muestra, el sector y el país no permiten trasladar sus resultados como diagnóstico del proyecto.</w:t>
      </w:r>
    </w:p>
    <w:p w14:paraId="385DBBD4" w14:textId="77777777" w:rsidR="00B8658C" w:rsidRDefault="00395729">
      <w:r>
        <w:lastRenderedPageBreak/>
        <w:t>En movilidad digital, el resumen editorial de Thelen (2018) compara la recepción de Uber en Estados Unidos, Alemania y Suecia. Describe respuestas regulatorias diferentes y relaciona los conflictos con los actores y coaliciones movilizados en cada contexto (Thelen, 2018). Su aportación al anteproyecto es advertir que una plataforma opera dentro de relaciones institucionales concretas, no bajo una ruta universal de formalización. A diferencia de Parker y Nielsen, su nivel de análisis es el entorno político-institucional, no los controles internos de una empresa. Ambos enfoques son complementarios para distinguir la organización interna del cumplimiento y las condiciones externas, sin equiparar vTaxi con Uber ni importar requisitos de otros países.</w:t>
      </w:r>
    </w:p>
    <w:p w14:paraId="7EFB902D" w14:textId="77777777" w:rsidR="00B8658C" w:rsidRDefault="00395729">
      <w:r>
        <w:t>Esta ampliación constituye un primer puente entre los antecedentes sobre transformación digital y la gestión del cumplimiento en servicios de movilidad. Se sustenta en los resúmenes editoriales consultados, no en la revisión de los textos íntegros ni de sus datos. Los estudios no ofrecen evidencia empírica de vTaxi o de Nuevo León; permanece abierta la búsqueda de investigaciones recientes y regionales sobre gestión regulatoria, formalización de plataformas y movilidad. Por ello, no sustituyen la revisión específica posterior ni los diez estudios de la matriz anterior. El vacío que orienta el caso es cómo convertir obligaciones aplicables en procedimientos, responsabilidades, documentación y seguimiento verificables dentro de la organización.</w:t>
      </w:r>
    </w:p>
    <w:p w14:paraId="13D6F839" w14:textId="77777777" w:rsidR="00B55F17" w:rsidRDefault="00CF4059">
      <w:pPr>
        <w:keepNext/>
        <w:ind w:firstLine="0"/>
      </w:pPr>
      <w:r>
        <w:rPr>
          <w:b/>
        </w:rPr>
        <w:t>Vacíos identificados</w:t>
      </w:r>
    </w:p>
    <w:p w14:paraId="38FD6F82" w14:textId="77777777" w:rsidR="00B55F17" w:rsidRDefault="00CF4059">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6DABAF08" w14:textId="77777777" w:rsidR="00B55F17" w:rsidRDefault="00CF4059">
      <w:r>
        <w:lastRenderedPageBreak/>
        <w:t>También persiste un límite de transferencia. Las asociaciones identificadas en otros países o en muestras de empresas mexicanas no acreditan la situación jurídica de una 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6E66B9D1" w14:textId="77777777" w:rsidR="00B55F17" w:rsidRDefault="00CF4059">
      <w:pPr>
        <w:keepNext/>
        <w:ind w:firstLine="0"/>
      </w:pPr>
      <w:r>
        <w:rPr>
          <w:b/>
        </w:rPr>
        <w:t>Pertinencia del estudio</w:t>
      </w:r>
    </w:p>
    <w:p w14:paraId="75F38720" w14:textId="77777777" w:rsidR="00B55F17" w:rsidRDefault="00CF4059">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asegurado del trabajo académico.</w:t>
      </w:r>
    </w:p>
    <w:p w14:paraId="1A93CEBD" w14:textId="77777777" w:rsidR="00B55F17" w:rsidRDefault="00CF4059">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336EE2BB" w14:textId="77777777" w:rsidR="00B55F17" w:rsidRDefault="00CF4059">
      <w:pPr>
        <w:keepNext/>
        <w:ind w:firstLine="0"/>
      </w:pPr>
      <w:r>
        <w:rPr>
          <w:b/>
        </w:rPr>
        <w:t>Cierre de los antecedentes</w:t>
      </w:r>
    </w:p>
    <w:p w14:paraId="3FFCF102" w14:textId="77777777" w:rsidR="00B55F17" w:rsidRDefault="00CF4059">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Nuevo León.</w:t>
      </w:r>
    </w:p>
    <w:p w14:paraId="65B6A1BB" w14:textId="77777777" w:rsidR="00B55F17" w:rsidRDefault="00CF4059">
      <w:pPr>
        <w:pStyle w:val="Ttulo1"/>
        <w:pageBreakBefore/>
        <w:spacing w:before="120" w:after="80"/>
      </w:pPr>
      <w:bookmarkStart w:id="1" w:name="_Toc242807290"/>
      <w:r>
        <w:lastRenderedPageBreak/>
        <w:t>2 Planteamiento del problema</w:t>
      </w:r>
      <w:bookmarkEnd w:id="1"/>
    </w:p>
    <w:p w14:paraId="2A677221" w14:textId="77777777" w:rsidR="00B55F17" w:rsidRDefault="00CF4059">
      <w:r>
        <w:t>vTaxi plantea una solución digital para coordinar solicitudes, conductores y viajes de taxis concesionados. El fenómeno de interés es la transición de esa solución técnica hacia una operación sustentada en documentación y procedimientos administrativos. La revisión inicial del proyecto identifica borradores útiles, pero aún es necesario comprobar qué obligaciones corresponden al modelo de servicio y qué evidencias respaldan su atención. El problema se analiza como un caso de gestión del cumplimiento y preparación administrativa.</w:t>
      </w:r>
    </w:p>
    <w:p w14:paraId="5D9224BE" w14:textId="77777777" w:rsidR="00B55F17" w:rsidRDefault="00CF4059">
      <w:pPr>
        <w:pStyle w:val="Ttulo2"/>
        <w:spacing w:before="240" w:after="80"/>
      </w:pPr>
      <w:bookmarkStart w:id="2" w:name="_Toc242807291"/>
      <w:r>
        <w:t>2.1 Enunciado del problema</w:t>
      </w:r>
      <w:bookmarkEnd w:id="2"/>
    </w:p>
    <w:p w14:paraId="4A98752C" w14:textId="77777777" w:rsidR="00B55F17" w:rsidRDefault="00CF4059">
      <w:r>
        <w:t>La ficha técnica de vTaxi contiene campos de razón social, RFC y representación legal expresados como ejemplos o pendientes. Asimismo, el resumen regulatorio vincula el registro de una Empresa de Redes de Transporte (ERT) con una plataforma descrita para taxis concesionados. La lista interna propone documentación, padrones y pruebas, pero su sola inclusión no acredita que la autoridad los haya exigido para este modelo concreto. Son observaciones documentales de los archivos revisados al 27 de septiembre de 2026, no conclusiones de una auditoría jurídica o técnica completa (vTaxi, 2026).</w:t>
      </w:r>
    </w:p>
    <w:p w14:paraId="55D40541" w14:textId="77777777" w:rsidR="00B55F17" w:rsidRDefault="00CF4059">
      <w:r>
        <w:t>La distinción tiene sustento normativo. El artículo 82 de la Ley de Movilidad de Nuevo León contempla sistemas GPS o plataformas autorizadas por el Instituto para el cálculo del servicio de taxi, mientras el artículo 83 exige la concesión correspondiente a sus prestadores. Los artículos 99 y 100 regulan por separado el Servicio de Transporte Individual de Alquiler Privado (SETIAP), prestado mediante ERT. Por ello, la clasificación de vTaxi debe contrastarse con sus funciones y modalidad de operación; utilizar una aplicación no permite concluir por sí solo que le corresponde el régimen ERT (H. Congreso del Estado de Nuevo León, 2026).</w:t>
      </w:r>
    </w:p>
    <w:p w14:paraId="41DA7A83" w14:textId="77777777" w:rsidR="00B55F17" w:rsidRDefault="00CF4059">
      <w:r>
        <w:t xml:space="preserve">La capacitación constituye otro ámbito. El ICET publica cursos para conductores de taxi y de plataformas digitales. Esa oferta respalda su función formativa, pero cursarla no equivale a una autorización de la aplicación. Para el diagnóstico se distinguirán las obligaciones de la </w:t>
      </w:r>
      <w:r>
        <w:lastRenderedPageBreak/>
        <w:t>organización, los documentos de conductores y vehículos y la capacitación, verificando su aplicabilidad por separado (Instituto de Capacitación y Educación para el Trabajo del Estado de Nuevo León [ICET], s. f.).</w:t>
      </w:r>
    </w:p>
    <w:p w14:paraId="759ABCA4" w14:textId="77777777" w:rsidR="00B55F17" w:rsidRDefault="00CF4059">
      <w:r>
        <w:t>La situación involucra al responsable del proyecto, a quienes desempeñen funciones administrativas y técnicas y, como participantes de una operación futura, a concesionarios y conductores. Sin una relación trazable entre cada requisito, su fundamento, el responsable y la evidencia correspondiente, pueden prepararse documentos para una modalidad distinta o quedar obligaciones sin atender. Estas son consecuencias posibles que motivan el estudio; no se reportan multas, rechazos de trámites, pérdidas económicas ni afectaciones a usuarios que no hayan sido documentadas.</w:t>
      </w:r>
    </w:p>
    <w:p w14:paraId="4C43E39A" w14:textId="77777777" w:rsidR="00B55F17" w:rsidRDefault="00CF4059">
      <w:r>
        <w:t>La unidad de análisis será el proyecto vTaxi y su proceso de preparación administrativa. El ámbito espacial es Nuevo León y el periodo propuesto comprende septiembre a noviembre de 2026, con corte inicial de la revisión documental al 27 de septiembre. Se examinará principalmente el modelo de taxis concesionados. La modalidad SETIAP se utilizará como contraste para justificar la clasificación, sin extender el estudio a todas las plataformas de transporte ni prometer un registro gubernamental dentro de ese periodo.</w:t>
      </w:r>
    </w:p>
    <w:p w14:paraId="637F66E1" w14:textId="77777777" w:rsidR="00B55F17" w:rsidRDefault="00CF4059">
      <w:r>
        <w:t>La brecha consiste en que los borradores disponibles todavía no acreditan una ruta validada que vincule obligaciones aplicables, responsables y evidencias. La investigación deberá establecer qué está respaldado, qué requiere corrección y qué necesita aclaración ante la autoridad. Esta delimitación conduce a estudiar dos variables: la gestión del cumplimiento normativo y la preparación administrativa del expediente, sin asumir que la primera produce automáticamente una resolución favorable.</w:t>
      </w:r>
    </w:p>
    <w:p w14:paraId="299AC112" w14:textId="77777777" w:rsidR="00B55F17" w:rsidRDefault="00CF4059">
      <w:r>
        <w:rPr>
          <w:b/>
        </w:rPr>
        <w:t>Los borradores regulatorios de vTaxi no acreditan una ruta validada de requisitos, responsables y evidencias para su formalización como plataforma de taxis concesionados en Nuevo León.</w:t>
      </w:r>
    </w:p>
    <w:p w14:paraId="30EDA8A1" w14:textId="77777777" w:rsidR="00B8658C" w:rsidRDefault="00395729">
      <w:r>
        <w:lastRenderedPageBreak/>
        <w:t>El núcleo del problema es administrativo: la falta de una ruta acreditada impide comprobar cómo se distribuyen responsabilidades, se documentan decisiones y se da seguimiento a las observaciones del expediente. La normativa funciona como referente para identificar obligaciones aplicables, no como objeto exclusivo de una interpretación jurídica. El diagnóstico distinguirá la existencia de documentos de la existencia de mecanismos de gestión que permitan mantenerlos íntegros, coherentes y actualizados. Se examinarán procedimientos, responsables, controles e indicadores propuestos de preparación organizacional, sin afirmar que ya estén implementados.</w:t>
      </w:r>
    </w:p>
    <w:p w14:paraId="286B0135" w14:textId="77777777" w:rsidR="00B55F17" w:rsidRDefault="00CF4059">
      <w:pPr>
        <w:pStyle w:val="Ttulo2"/>
        <w:spacing w:before="240" w:after="80"/>
      </w:pPr>
      <w:bookmarkStart w:id="3" w:name="_Toc242807292"/>
      <w:r>
        <w:t>2.2 Formulación del problema</w:t>
      </w:r>
      <w:bookmarkEnd w:id="3"/>
    </w:p>
    <w:p w14:paraId="2C1A0421" w14:textId="77777777" w:rsidR="00B55F17" w:rsidRDefault="00CF4059">
      <w:r>
        <w:t>¿Cómo se relaciona el nivel de gestión del cumplimiento normativo con el grado de preparación administrativa de vTaxi para su formalización como plataforma de taxis concesionados en Nuevo León durante septiembre a noviembre de 2026?</w:t>
      </w:r>
    </w:p>
    <w:p w14:paraId="7D1D3077" w14:textId="77777777" w:rsidR="00B55F17" w:rsidRDefault="00CF4059">
      <w:r>
        <w:t>La variable independiente propuesta es el nivel de gestión del cumplimiento normativo, entendido como el grado de organización del proceso para identificar requisitos, asignar responsables y dar seguimiento a su atención. La variable dependiente propuesta es el grado de preparación administrativa, entendido como la integridad y coherencia de las evidencias disponibles para integrar el expediente correspondiente al modelo de servicio.</w:t>
      </w:r>
    </w:p>
    <w:p w14:paraId="63D93433" w14:textId="77777777" w:rsidR="00B55F17" w:rsidRDefault="00CF4059">
      <w:r>
        <w:t>Para diferenciarlas, la primera se observará mediante la existencia de procedimientos, responsables y controles de seguimiento; la segunda, mediante documentos comprobables, inconsistencias detectadas y observaciones pendientes de resolver. La revisión comparará componentes del mismo caso, por lo que no se inferirá una correlación estadística poblacional ni una relación causal a partir de una sola organización. La autoridad conserva la decisión sobre cualquier autorización.</w:t>
      </w:r>
    </w:p>
    <w:p w14:paraId="1EB462D1" w14:textId="77777777" w:rsidR="00B55F17" w:rsidRDefault="00CF4059">
      <w:pPr>
        <w:pStyle w:val="Ttulo2"/>
        <w:spacing w:before="240" w:after="80"/>
      </w:pPr>
      <w:bookmarkStart w:id="4" w:name="_Toc242807293"/>
      <w:r>
        <w:lastRenderedPageBreak/>
        <w:t>2.3 Preguntas específicas</w:t>
      </w:r>
      <w:bookmarkEnd w:id="4"/>
    </w:p>
    <w:p w14:paraId="093FC10C" w14:textId="77777777" w:rsidR="00B55F17" w:rsidRDefault="00CF4059">
      <w:pPr>
        <w:ind w:left="360" w:hanging="360"/>
      </w:pPr>
      <w:r>
        <w:t>1. ¿Qué requisitos y competencias institucionales corresponden al modelo de taxis concesionados de vTaxi y cuáles pertenecen a la modalidad de transporte privado mediante empresas de redes de transporte?</w:t>
      </w:r>
    </w:p>
    <w:p w14:paraId="6DDDAA05" w14:textId="77777777" w:rsidR="00B55F17" w:rsidRDefault="00CF4059">
      <w:pPr>
        <w:ind w:left="360" w:hanging="360"/>
      </w:pPr>
      <w:r>
        <w:t>2. ¿Qué diferencias existen entre los requisitos aplicables y las evidencias jurídicas, técnicas y operativas disponibles en los borradores del proyecto?</w:t>
      </w:r>
    </w:p>
    <w:p w14:paraId="6BD078A6" w14:textId="77777777" w:rsidR="00B55F17" w:rsidRDefault="00CF4059">
      <w:pPr>
        <w:ind w:left="360" w:hanging="360"/>
      </w:pPr>
      <w:r>
        <w:t>3. ¿Cómo se vinculan la asignación de responsables, la verificación de requisitos y el seguimiento documental con la integridad del expediente y la resolución de observaciones internas?</w:t>
      </w:r>
    </w:p>
    <w:p w14:paraId="37B17BCE" w14:textId="77777777" w:rsidR="00B55F17" w:rsidRDefault="00CF4059">
      <w:pPr>
        <w:ind w:left="360" w:hanging="360"/>
      </w:pPr>
      <w:r>
        <w:t>4. ¿Qué acciones de gestión deben priorizarse para fortalecer la preparación del expediente de vTaxi sin confundir capacitación de conductores con autorización de la plataforma?</w:t>
      </w:r>
    </w:p>
    <w:p w14:paraId="2EE75F49" w14:textId="77777777" w:rsidR="00B55F17" w:rsidRDefault="00CF4059">
      <w:pPr>
        <w:pStyle w:val="Ttulo1"/>
        <w:spacing w:before="120" w:after="80"/>
      </w:pPr>
      <w:bookmarkStart w:id="5" w:name="_Toc242807294"/>
      <w:r>
        <w:t>3 Formulación de objetivos general y específicos</w:t>
      </w:r>
      <w:bookmarkEnd w:id="5"/>
    </w:p>
    <w:p w14:paraId="7D3F3800" w14:textId="77777777" w:rsidR="00B8658C" w:rsidRDefault="00395729">
      <w:r>
        <w:t>Los objetivos traducen la brecha documental del proyecto en metas observables y alcanzables, de acuerdo con las pautas de formulación del material de Seminario I (Instituto Tecnológico Superior de Cajeme, s. f.-a). El objetivo general conserva las variables, el ámbito y el periodo de la pregunta de investigación. Los cuatro objetivos específicos corresponden, en el mismo orden, a las preguntas sobre requisitos, brechas, controles de gestión y prioridades de atención; sus resultados parciales permitirán examinar la preparación administrativa de vTaxi.</w:t>
      </w:r>
      <w:r>
        <w:rPr>
          <w:vertAlign w:val="superscript"/>
        </w:rPr>
        <w:footnoteReference w:id="1"/>
      </w:r>
    </w:p>
    <w:p w14:paraId="7D5458F3" w14:textId="77777777" w:rsidR="00B55F17" w:rsidRDefault="00CF4059">
      <w:pPr>
        <w:pStyle w:val="Ttulo2"/>
        <w:spacing w:before="120" w:after="80"/>
      </w:pPr>
      <w:bookmarkStart w:id="6" w:name="_Toc242807295"/>
      <w:r>
        <w:lastRenderedPageBreak/>
        <w:t>3.1 Objetivo general</w:t>
      </w:r>
      <w:bookmarkEnd w:id="6"/>
    </w:p>
    <w:p w14:paraId="27E55359" w14:textId="77777777" w:rsidR="00B8658C" w:rsidRDefault="00395729">
      <w:pPr>
        <w:keepLines/>
      </w:pPr>
      <w: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p w14:paraId="23BB348E" w14:textId="77777777" w:rsidR="00B55F17" w:rsidRDefault="00CF4059">
      <w:pPr>
        <w:pStyle w:val="Ttulo2"/>
        <w:spacing w:before="120" w:after="80"/>
      </w:pPr>
      <w:bookmarkStart w:id="7" w:name="_Toc242807296"/>
      <w:r>
        <w:t>3.2 Objetivos específicos</w:t>
      </w:r>
      <w:bookmarkEnd w:id="7"/>
    </w:p>
    <w:p w14:paraId="5FDC0067" w14:textId="77777777" w:rsidR="00B8658C" w:rsidRDefault="00395729">
      <w:pPr>
        <w:keepLines/>
        <w:ind w:firstLine="0"/>
      </w:pPr>
      <w:r>
        <w:t>1. 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p>
    <w:p w14:paraId="160860F0" w14:textId="77777777" w:rsidR="00B8658C" w:rsidRDefault="00395729">
      <w:pPr>
        <w:keepLines/>
        <w:ind w:firstLine="0"/>
      </w:pPr>
      <w:r>
        <w:t>2. Diagnosticar las brechas de organización y gestión documental entre los requisitos aplicables y las evidencias disponibles de vTaxi, considerando la asignación de responsabilidades, los controles de seguimiento y la integridad y coherencia del expediente.</w:t>
      </w:r>
    </w:p>
    <w:p w14:paraId="5A7B91C8" w14:textId="77777777" w:rsidR="00B8658C" w:rsidRDefault="00395729">
      <w:pPr>
        <w:keepLines/>
        <w:ind w:firstLine="0"/>
      </w:pPr>
      <w:r>
        <w:t>3. 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p>
    <w:p w14:paraId="51948125" w14:textId="77777777" w:rsidR="00B8658C" w:rsidRDefault="00395729">
      <w:pPr>
        <w:keepLines/>
        <w:ind w:firstLine="0"/>
      </w:pPr>
      <w:r>
        <w:t>4. Proponer una ruta priorizada de gestión para fortalecer la preparación administrativa del expediente de vTaxi, con acciones, responsables propuestos y evidencias de atención, diferenciando la capacitación de conductores de la autorización de la plataforma.</w:t>
      </w:r>
    </w:p>
    <w:p w14:paraId="492B39F7" w14:textId="77777777" w:rsidR="00B8658C" w:rsidRDefault="00395729">
      <w:r>
        <w:t xml:space="preserve">La verificación se realizará mediante un catálogo administrativo de requisitos y procesos, un diagnóstico de brechas de gestión, una matriz de controles e indicadores y una ruta priorizada de atención. El centro del análisis serán la organización de procedimientos, las responsabilidades, la gestión documental y el seguimiento, no una enumeración de disposiciones. La distinción entre adopción formal y gestión práctica del cumplimiento orienta </w:t>
      </w:r>
      <w:r>
        <w:lastRenderedPageBreak/>
        <w:t>esta prioridad (Parker &amp; Nielsen, 2009). Cada resultado deberá tener respaldo identificable. La relación entre variables se examinará dentro del caso, sin inferir causalidad ni correlación poblacional. Se distinguirán formación de conductores y autorización: la oferta del ICET no acredita el permiso de la plataforma (Instituto de Capacitación y Educación para el Trabajo del Estado de Nuevo León, s. f.).</w:t>
      </w:r>
      <w:r>
        <w:br/>
      </w:r>
      <w:r>
        <w:br/>
        <w:t>Como criterios propuestos de seguimiento se registrarán la cobertura de responsabilidades (requisitos aplicables con responsable documentado entre requisitos aplicables revisados), la trazabilidad documental (requisitos con evidencia verificable entre requisitos aplicables revisados) y el cierre de observaciones (observaciones cerradas con evidencia de revisión entre observaciones registradas). Las razones podrán expresarse en porcentaje; si el denominador es cero se indicará no aplicable. Se conservarán numerador, denominador y documento de respaldo, sin inventar mediciones ni metas. Son indicadores del caso para orientar el diagnóstico, no escalas validadas ni pruebas de causalidad. Su interpretación conjunta permitirá distinguir una lista normativa de un proceso administrado de preparación del expediente.</w:t>
      </w:r>
    </w:p>
    <w:p w14:paraId="1A5B8430" w14:textId="77777777" w:rsidR="00B55F17" w:rsidRDefault="00CF4059">
      <w:pPr>
        <w:pStyle w:val="Ttulo1"/>
        <w:spacing w:before="120" w:after="80"/>
      </w:pPr>
      <w:bookmarkStart w:id="8" w:name="_Toc242807297"/>
      <w:r>
        <w:t>4 Justificación</w:t>
      </w:r>
      <w:bookmarkEnd w:id="8"/>
    </w:p>
    <w:p w14:paraId="43EAD58B" w14:textId="77777777" w:rsidR="00526E6F" w:rsidRDefault="008A3FBF">
      <w:pPr>
        <w:pStyle w:val="Ttulo2"/>
      </w:pPr>
      <w:bookmarkStart w:id="9" w:name="_Toc242807298"/>
      <w:r>
        <w:t>4.1 Relevancia teórica</w:t>
      </w:r>
      <w:bookmarkEnd w:id="9"/>
    </w:p>
    <w:p w14:paraId="230F0080" w14:textId="77777777" w:rsidR="00526E6F" w:rsidRDefault="008A3FBF">
      <w:r>
        <w:t>La transformación digital de una organización no se reduce a incorporar una aplicación: requiere relacionar los recursos tecnológicos con decisiones, responsabilidades y procesos. Kraus et al. (2021) ofrecen un panorama de ese campo, mientras que los antecedentes del corpus de MiPyMEs muestran la necesidad de delimitar el contexto antes de trasladar sus resultados. En este estudio, el interés teórico consiste en examinar cómo se relaciona la gestión del cumplimiento normativo con la preparación administrativa de un expediente; no en demostrar que la digitalización produzca automáticamente formalización o competitividad.</w:t>
      </w:r>
    </w:p>
    <w:p w14:paraId="11930186" w14:textId="77777777" w:rsidR="00526E6F" w:rsidRDefault="008A3FBF">
      <w:r>
        <w:lastRenderedPageBreak/>
        <w:t>El objetivo general de Tarea 10 concreta esa relación en vTaxi, como proyecto de plataforma de taxis concesionados en Nuevo León, durante septiembre a noviembre de 2026. Sus categorías analíticas son la asignación de responsables, la verificación de requisitos y el seguimiento documental, contrastadas con la integridad del expediente y la atención de observaciones internas. La contribución esperada es una lectura trazable del caso que permita distinguir requisitos identificados, evidencias disponibles y controles propuestos. No se plantea validar un modelo causal ni generalizar resultados de un solo proyecto a todo el sector.</w:t>
      </w:r>
    </w:p>
    <w:p w14:paraId="4FAE2F0C" w14:textId="77777777" w:rsidR="00526E6F" w:rsidRDefault="008A3FBF">
      <w:pPr>
        <w:pStyle w:val="Ttulo2"/>
      </w:pPr>
      <w:bookmarkStart w:id="10" w:name="_Toc242807299"/>
      <w:r>
        <w:t>4.2 Relevancia práctica</w:t>
      </w:r>
      <w:bookmarkEnd w:id="10"/>
    </w:p>
    <w:p w14:paraId="684FB021" w14:textId="77777777" w:rsidR="00526E6F" w:rsidRDefault="008A3FBF">
      <w:r>
        <w:t>El problema formulado en Tarea 9 es una brecha de preparación documental, no una declaración de incumplimiento comprobado de la empresa. La utilidad práctica del estudio reside en convertir esa brecha en decisiones verificables: qué requisito corresponde al modelo del proyecto, qué evidencia lo respalda, quién debe revisarla y qué observación permanece abierta. Esta orientación responde a la LGAC Gestión e Innovación de las Organizaciones, porque concentra el análisis en procedimientos, responsables, documentos, controles e indicadores y no en un dictamen predominantemente jurídico.</w:t>
      </w:r>
    </w:p>
    <w:p w14:paraId="5424DAD9" w14:textId="77777777" w:rsidR="00526E6F" w:rsidRDefault="008A3FBF">
      <w:r>
        <w:t>Los objetivos específicos definen cuatro productos coherentes con esa utilidad: un catálogo de requisitos por modalidad y autoridad; un diagnóstico de brechas; una matriz de contraste entre controles y estado del expediente; y una ruta priorizada de atención. Un escenario de aplicación sería detectar que una afirmación de un borrador carece de fuente o documento de respaldo y asignar su comprobación antes de usarla en una solicitud. Otro sería separar la capacitación de conductores de la autorización de la plataforma. Los indicadores propuestos —cobertura de responsabilidades y cierre documentado de observaciones— se calcularían con denominadores y criterios explícitos; no se presentan valores obtenidos ni ahorros financieros demostrados.</w:t>
      </w:r>
    </w:p>
    <w:p w14:paraId="24EC9026" w14:textId="77777777" w:rsidR="00890E97" w:rsidRDefault="00296D41">
      <w:r>
        <w:t xml:space="preserve">La delimitación actual del caso es Monterrey, Nuevo León, por indicación del estudiante. El municipio no se equipara automáticamente con el área metropolitana ni con toda la entidad. </w:t>
      </w:r>
      <w:r>
        <w:lastRenderedPageBreak/>
        <w:t>Los Censos Económicos 2024 y el Censo de Población y Vivienda 2020 del INEGI constituyen fuentes para contextualizar establecimientos y población, pero los datos agregados del portal no se presentan como cifras municipales ni como demanda validada de vTaxi. La ley de movilidad de Nuevo León corresponde al ámbito normativo estatal. Los antecedentes de Cajeme se conservan como referencias históricas, no como evidencia empírica del caso de Monterrey.</w:t>
      </w:r>
    </w:p>
    <w:p w14:paraId="2262C910" w14:textId="77777777" w:rsidR="00526E6F" w:rsidRDefault="008A3FBF">
      <w:pPr>
        <w:pStyle w:val="Ttulo2"/>
      </w:pPr>
      <w:bookmarkStart w:id="11" w:name="_Toc242807300"/>
      <w:r>
        <w:t>4.3 Relevancia social e institucional</w:t>
      </w:r>
      <w:bookmarkEnd w:id="11"/>
    </w:p>
    <w:p w14:paraId="42C83AB0" w14:textId="77777777" w:rsidR="00526E6F" w:rsidRDefault="008A3FBF">
      <w:r>
        <w:t>Los beneficiarios directos potenciales son las personas responsables de la preparación y revisión administrativa del proyecto vTaxi. Una documentación ordenada podría facilitar la coordinación y evitar que propuestas internas se comuniquen como permisos o requisitos oficiales. Los conductores vinculados al proyecto serían beneficiarios indirectos potenciales de información más clara sobre funciones y documentación, pero el estudio no acredita su participación, la existencia de concesiones de vTaxi ni una autorización operativa.</w:t>
      </w:r>
    </w:p>
    <w:p w14:paraId="16803D8B" w14:textId="77777777" w:rsidR="00526E6F" w:rsidRDefault="008A3FBF">
      <w:r>
        <w:t>En el ámbito institucional, el caso permite aplicar competencias de la MGA: delimitar un problema organizacional, construir criterios de análisis, identificar evidencia y argumentar decisiones responsables. La distinción entre taxis concesionados y transporte privado mediante empresas de redes de transporte debe sostenerse en fuentes aplicables, como la ley estatal consultada, y no en analogías automáticas (H. Congreso del Estado de Nuevo León, 2026). El impacto se limita a la calidad de la preparación administrativa evaluable; no se promete seguridad vial, empleo, aprobación gubernamental o beneficio comunitario que el diseño documental no puede demostrar.</w:t>
      </w:r>
    </w:p>
    <w:p w14:paraId="50C5BB89" w14:textId="77777777" w:rsidR="00526E6F" w:rsidRDefault="008A3FBF">
      <w:pPr>
        <w:pStyle w:val="Ttulo2"/>
      </w:pPr>
      <w:bookmarkStart w:id="12" w:name="_Toc242807301"/>
      <w:r>
        <w:t>4.4 Originalidad</w:t>
      </w:r>
      <w:bookmarkEnd w:id="12"/>
    </w:p>
    <w:p w14:paraId="4CB85FE5" w14:textId="77777777" w:rsidR="00526E6F" w:rsidRDefault="008A3FBF">
      <w:r>
        <w:t xml:space="preserve">La originalidad propuesta es contextual y operativa: integrar la clasificación de requisitos por modalidad, el examen de borradores y la trazabilidad de responsabilidades en un mismo diagnóstico de preparación administrativa. Los diez antecedentes científicos de Tarea 3 proporcionan referencias sobre transformación digital e innovación en MiPyMEs; no se </w:t>
      </w:r>
      <w:r>
        <w:lastRenderedPageBreak/>
        <w:t>sustituyen por nuevos estudios ni se asume que investiguen exactamente plataformas de taxis en Nuevo León. Parker y Nielsen (2009) aportan un antecedente conceptual sobre cumplimiento empresarial, utilizado con el alcance de resumen editorial documentado en la revisión previa, no como evidencia empírica local.</w:t>
      </w:r>
    </w:p>
    <w:p w14:paraId="5843A7F6" w14:textId="77777777" w:rsidR="00526E6F" w:rsidRDefault="008A3FBF">
      <w:r>
        <w:t>El valor agregado esperado frente a una simple recopilación normativa es vincular cada afirmación del expediente con su fuente, responsable propuesto, evidencia y condición de cierre. El vacío atendido es la falta de esa articulación en los componentes disponibles del caso, según el problema delimitado; no se sostiene que sea el primer estudio del tema ni que exista una ausencia universal de investigación. La novedad deberá evaluarse frente a la evidencia reunida y a la ampliación bibliográfica regional, que sigue pendiente.</w:t>
      </w:r>
    </w:p>
    <w:p w14:paraId="368F650E" w14:textId="77777777" w:rsidR="00526E6F" w:rsidRDefault="008A3FBF">
      <w:pPr>
        <w:pStyle w:val="Ttulo2"/>
      </w:pPr>
      <w:bookmarkStart w:id="13" w:name="_Toc242807302"/>
      <w:r>
        <w:t>4.5 Viabilidad</w:t>
      </w:r>
      <w:bookmarkEnd w:id="13"/>
    </w:p>
    <w:p w14:paraId="36249803" w14:textId="77777777" w:rsidR="00526E6F" w:rsidRDefault="008A3FBF">
      <w:r>
        <w:t>La fase documental es realizable con los recursos locales comprobados: los antecedentes de Tareas 8–10, las matrices, las copias de borradores y los textos institucionales conservados. El material docente señala que la justificación debe argumentar tiempo, recursos, acceso, ética y limitaciones, no limitarse a afirmar que el tema es importante (Instituto Tecnológico Superior de Cajeme, s. f.-c). Para el periodo septiembre–noviembre de 2026 se propone utilizar lo ya recopilado en septiembre como línea de base y distribuir el trabajo restante en revisión de requisitos durante octubre, diagnóstico y contraste documental entre finales de octubre e inicios de noviembre, y priorización y revisión de resultados durante noviembre. Es una programación propuesta, no un registro de tareas ya realizadas.</w:t>
      </w:r>
    </w:p>
    <w:p w14:paraId="34E88155" w14:textId="77777777" w:rsidR="00526E6F" w:rsidRDefault="008A3FBF">
      <w:r>
        <w:t xml:space="preserve">La disponibilidad de las copias internas permite revisar su contenido, pero no demuestra autorización para entrevistar actores, acceder a expedientes completos o divulgar datos privados. Cualquier entrevista o incorporación de nuevos documentos quedará condicionada al consentimiento, autorización y disponibilidad de las personas responsables. Si no se obtiene ese acceso, el estudio se limitará al corpus documental autorizado, declarará sus faltantes y no inferirá el funcionamiento real de la empresa. No se requiere comprar software especializado </w:t>
      </w:r>
      <w:r>
        <w:lastRenderedPageBreak/>
        <w:t>para esta fase; se emplearán los procesadores de texto, hojas de cálculo y herramientas de consulta disponibles, sin afirmar un presupuesto aprobado ni compromisos de dedicación ajenos.</w:t>
      </w:r>
    </w:p>
    <w:p w14:paraId="56B67657" w14:textId="77777777" w:rsidR="00526E6F" w:rsidRDefault="008A3FBF">
      <w:r>
        <w:t>Los controles éticos comprenden minimizar datos personales, separar documentos de ejemplo de hechos confirmados, restringir el acceso a los archivos internos y citar fuentes sin redistribuir información sensible. Las limitaciones controlables son la trazabilidad de cada extracción, el registro de fecha de consulta, la revisión de coherencia y la identificación de afirmaciones no respaldadas. La vigencia normativa y la completitud del expediente son riesgos que deben comprobarse durante la investigación; por ello, la factibilidad es suficiente para iniciar el análisis documental y condicionada para ampliar su alcance. La matriz mantiene preguntas y objetivos, sin una columna adicional de justificación, y el Covey conserva problema y objetivo general como prioridades importantes y no urgentes, sin nuevos elementos.</w:t>
      </w:r>
    </w:p>
    <w:p w14:paraId="30E6C6FE" w14:textId="77777777" w:rsidR="00B55F17" w:rsidRDefault="00CF4059">
      <w:pPr>
        <w:pStyle w:val="Ttulo1"/>
        <w:spacing w:before="120" w:after="80"/>
      </w:pPr>
      <w:bookmarkStart w:id="14" w:name="_Toc242807303"/>
      <w:r>
        <w:t>5 Hipótesis de trabajo</w:t>
      </w:r>
      <w:bookmarkEnd w:id="14"/>
    </w:p>
    <w:p w14:paraId="206CBA85" w14:textId="77777777" w:rsidR="004E4A6D" w:rsidRDefault="007807B0">
      <w:pPr>
        <w:pStyle w:val="Ttulo2"/>
      </w:pPr>
      <w:bookmarkStart w:id="15" w:name="_Toc242807304"/>
      <w:r>
        <w:t>5.1 Hipótesis general</w:t>
      </w:r>
      <w:bookmarkEnd w:id="15"/>
    </w:p>
    <w:p w14:paraId="063C354B" w14:textId="77777777" w:rsidR="004E4A6D" w:rsidRDefault="007807B0">
      <w:r>
        <w:t>HG. En los componentes documentales aplicables al proyecto vTaxi como plataforma de taxis concesionados en Nuevo León durante septiembre a noviembre de 2026, un mayor nivel de gestión del cumplimiento normativo se relaciona con un mayor grado de preparación administrativa del expediente, expresado en documentos completos y coherentes con los requisitos aplicables y en observaciones internas atendidas con respaldo verificable.</w:t>
      </w:r>
    </w:p>
    <w:p w14:paraId="4ED541D5" w14:textId="77777777" w:rsidR="004E4A6D" w:rsidRDefault="007807B0">
      <w:r>
        <w:t>X (campo VI de la consigna) es el nivel de gestión del cumplimiento normativo: asignación documentada de responsabilidades, verificación de aplicabilidad y seguimiento de acciones. Y (campo VD) es el grado de preparación administrativa del expediente: integridad, coherencia con requisitos aplicables y cierre respaldado de observaciones. Son roles analíticos no causales; X no está manipulada ni Y es un efecto demostrado. Preparación no significa autorización gubernamental, operación legal acreditada ni formalización consumada.</w:t>
      </w:r>
    </w:p>
    <w:p w14:paraId="664B5C12" w14:textId="77777777" w:rsidR="004E4A6D" w:rsidRDefault="007807B0">
      <w:r>
        <w:lastRenderedPageBreak/>
        <w:t>La hipótesis deriva de la brecha descrita en antecedentes y planteamiento: los borradores no acreditan una ruta validada entre requisitos, responsables y evidencias. Responde a la pregunta general y al objetivo de analizar esa relación mediante contraste documental. Los antecedentes justifican examinar procedimientos y controles administrativos, pero no demuestran anticipadamente la relación en vTaxi ni permiten trasladar hallazgos de otros contextos como resultados locales.</w:t>
      </w:r>
    </w:p>
    <w:p w14:paraId="74181A9E" w14:textId="77777777" w:rsidR="009D42F1" w:rsidRDefault="00890EF2">
      <w:r>
        <w:t>Fundamento metodológico. Hernández Sampieri et al. (2014) definen las hipótesis como “explicaciones tentativas del fenómeno investigado” (p. 104). Por ello, HG es una respuesta provisional a la pregunta general, no una conclusión sobre vTaxi. Los autores vinculan su formulación con problema, antecedentes y marco teórico y exigen variables observables, relaciones precisas y técnicas disponibles para contrastarlas (pp. 105–107). La formulación conserva el caso, periodo y objetos documentales delimitados en lo</w:t>
      </w:r>
      <w:r>
        <w:t>s capítulos anteriores.</w:t>
      </w:r>
    </w:p>
    <w:p w14:paraId="5BC217CF" w14:textId="77777777" w:rsidR="009D42F1" w:rsidRDefault="00890EF2">
      <w:r>
        <w:t>Fundamento administrativo. El criterio 8.1 del toolkit de OECD (2018, p. 39) considera relevantes los datos actualizados, la gestión de casos, los registros y los flujos de trabajo para planear y dar seguimiento a la inspección y ejecución regulatoria. Se toma como orientación conceptual sobre trazabilidad, no como norma exigible a vTaxi: su destinatario son estructuras de inspección y supervisión, no plataformas privadas. Su adaptación al caso consiste en examinar responsables identificables, revisión de a</w:t>
      </w:r>
      <w:r>
        <w:t>plicabilidad y seguimiento registrado frente a documentos verificables. Esos controles pueden facilitar la localización de brechas y su revisión, pero un expediente puede permanecer incompleto pese a ellos; de ahí que se proponga una relación contrastable y no un efecto garantizado.</w:t>
      </w:r>
    </w:p>
    <w:p w14:paraId="40183624" w14:textId="77777777" w:rsidR="009D42F1" w:rsidRDefault="00890EF2">
      <w:r>
        <w:t xml:space="preserve">Enlace con los antecedentes. Parker y Nielsen (2009), incorporados en el capítulo 1 con el alcance limitado de la revisión disponible, plantean el examen de sistemas de cumplimiento y su posible diferencia en la práctica. Ese antecedente y la orientación de OECD justifican investigar controles y evidencia, no dar por acreditada su eficacia. La inferencia de trabajo para vTaxi es propia: donde existen más controles documentados se espera encontrar mayor </w:t>
      </w:r>
      <w:r>
        <w:lastRenderedPageBreak/>
        <w:t>preparación del expediente, manteniendo separados los registros de gestión y la evaluación del documento resultante. Las divergencias también se registrarán y podrán debilitar la hipótesis.</w:t>
      </w:r>
    </w:p>
    <w:p w14:paraId="7BE1EA07" w14:textId="77777777" w:rsidR="004E4A6D" w:rsidRDefault="007807B0">
      <w:pPr>
        <w:pStyle w:val="Ttulo2"/>
      </w:pPr>
      <w:bookmarkStart w:id="16" w:name="_Toc242807305"/>
      <w:r>
        <w:t>5.2 Hipótesis específica</w:t>
      </w:r>
      <w:bookmarkEnd w:id="16"/>
    </w:p>
    <w:p w14:paraId="24DBFE6A" w14:textId="77777777" w:rsidR="004E4A6D" w:rsidRDefault="007807B0">
      <w:r>
        <w:t>HE1. En los componentes del expediente de vTaxi, la asignación documentada de responsables y el seguimiento de observaciones se relacionan con una mayor proporción de observaciones internas cerradas mediante evidencia documental aceptable en la revisión del caso.</w:t>
      </w:r>
    </w:p>
    <w:p w14:paraId="26BBE354" w14:textId="77777777" w:rsidR="004E4A6D" w:rsidRDefault="007807B0">
      <w:r>
        <w:t>Se vincula con la pregunta específica 3 y el objetivo específico 3: examinar la correspondencia entre responsables, verificación y seguimiento, por una parte, e integridad del expediente y resolución de observaciones, por otra. Los objetivos 1 y 2 identifican requisitos y diagnostican brechas; el objetivo 4 propone prioridades. No requieren hipótesis adicionales porque no todos los objetivos descriptivos o propositivos expresan una relación entre variables.</w:t>
      </w:r>
    </w:p>
    <w:p w14:paraId="110CD78C" w14:textId="77777777" w:rsidR="004E4A6D" w:rsidRDefault="007807B0">
      <w:pPr>
        <w:pStyle w:val="Ttulo2"/>
      </w:pPr>
      <w:bookmarkStart w:id="17" w:name="_Toc242807306"/>
      <w:r>
        <w:t>5.3 Tipo de hipótesis</w:t>
      </w:r>
      <w:bookmarkEnd w:id="17"/>
    </w:p>
    <w:p w14:paraId="34B5DB05" w14:textId="77777777" w:rsidR="009D42F1" w:rsidRDefault="00890EF2">
      <w:r>
        <w:t xml:space="preserve">HG y HE1 son hipótesis de investigación correlacionales por su contenido relacional, direccionales positivas y no causales. Esto clasifica la proposición, no anuncia un estudio de correlación estadística ya diseñado o ejecutado. El </w:t>
      </w:r>
      <w:r>
        <w:t>procedimiento previsto para este caso es contraste documental descriptivo por patrones de correspondencia y casos contrarios. No se propone experimento, manipulación, comparación de plataformas ni generalización estadística. Hernández Sampieri et al. (2014) señalan que “Correlación y causalidad son conceptos asociados, pero distintos” (p. 111); encontrar correspondencia no demuestra que la gestión haya producido la preparación del expediente.</w:t>
      </w:r>
    </w:p>
    <w:p w14:paraId="3FA01B65" w14:textId="77777777" w:rsidR="009D42F1" w:rsidRDefault="00890EF2">
      <w:r>
        <w:t xml:space="preserve">Convención de variables. Para responder al campo VI–VD de la consigna se identifica X: gestión del cumplimiento, y Y: preparación administrativa del expediente. En la ficha de esta actividad VI se emplea sólo como rótulo de X y VD como rótulo de Y; no se atribuyen causa y efecto. Hernández Sampieri et al. (2014, pp. 109–111) reservan la interpretación independiente/causal y dependiente/efecto para hipótesis causales; Price et al. (2015) también </w:t>
      </w:r>
      <w:r>
        <w:lastRenderedPageBreak/>
        <w:t>distinguen medición no experimental y causalidad. En el análisis se usarán X e Y y no se interpretará X como variable manipulada.</w:t>
      </w:r>
    </w:p>
    <w:p w14:paraId="7C47BD97" w14:textId="77777777" w:rsidR="009D42F1" w:rsidRDefault="00890EF2">
      <w:r>
        <w:t>La unidad de análisis es el proyecto vTaxi; los componentes del expediente y las observaciones son unidades de registro internas, no empresas independientes. Se compararán controles y calidad documental en cortes compatibles, sin tratar versiones del mismo documento como nuevos casos. No se calcularán coeficientes, valores p ni niveles de significación: no se ha previsto una prueba inferencial. La ausencia de variación o de datos evaluables impide contrastar, no confirma HG. Cualquier incorporación posterio</w:t>
      </w:r>
      <w:r>
        <w:t>r de un análisis estadístico requeriría justificar previamente diseño, registros suficientes y supuestos; no se presupone en esta tarea.</w:t>
      </w:r>
    </w:p>
    <w:p w14:paraId="67414A21" w14:textId="77777777" w:rsidR="004E4A6D" w:rsidRDefault="007807B0">
      <w:pPr>
        <w:pStyle w:val="Ttulo2"/>
      </w:pPr>
      <w:bookmarkStart w:id="18" w:name="_Toc242807307"/>
      <w:r>
        <w:t>5.4 Criterios de calidad y contraste documental</w:t>
      </w:r>
      <w:bookmarkEnd w:id="18"/>
    </w:p>
    <w:p w14:paraId="4EC5D2FE" w14:textId="77777777" w:rsidR="009D42F1" w:rsidRDefault="00890EF2">
      <w:r>
        <w:t>Reglas observables de X e Y. Por componente, X se describirá mediante tres controles comprobables: responsable efectivamente designado, revisión de aplicabilidad fechada y seguimiento documentado; el perfil contará de cero a tres presencias sólo si los tres controles son evaluables. No verificable no se recodifica como ausencia ni entra en ese perfil. Y se observará por separado: proporción de contenidos exigibles presentes, concordancia de cada contenido con el requisito y proporción de observaciones cerra</w:t>
      </w:r>
      <w:r>
        <w:t>das con evidencia aceptable. Se reportarán los indicadores individualmente, sin sumar porcentajes o inventar ponderaciones. Integridad será contenidos exigibles presentes entre contenidos exigibles evaluables; cierre será observaciones cerradas respaldadas entre observaciones evaluables. Con denominador cero se anotará no calculable. La falta de observaciones no prueba integridad. Antes del cotejo se fijarán aplicabilidad y criterios de aceptación; sólo después se examinará si perfiles con más controles coi</w:t>
      </w:r>
      <w:r>
        <w:t>nciden con mejores resultados documentales comparables.</w:t>
      </w:r>
    </w:p>
    <w:p w14:paraId="163C2F8B" w14:textId="77777777" w:rsidR="004E4A6D" w:rsidRDefault="007807B0">
      <w:r>
        <w:t xml:space="preserve">Claridad. Se diferencian gestión (acciones y registros de control) y preparación (calidad de los documentos resultantes). Se utilizará una ficha por componente con identificador, requisito aplicable, fuente, documento revisado, fecha, versión y limitaciones de acceso. La </w:t>
      </w:r>
      <w:r>
        <w:lastRenderedPageBreak/>
        <w:t>clasificación previa de taxis concesionados, SETIAP/ERT y capacitación evita atribuir requisitos de otra modalidad a vTaxi.</w:t>
      </w:r>
    </w:p>
    <w:p w14:paraId="1DF8B619" w14:textId="77777777" w:rsidR="004E4A6D" w:rsidRDefault="007807B0">
      <w:r>
        <w:t>Verificabilidad de la VI. Registrar por separado: responsable documentado (sí/no/no verificable); revisión de aplicabilidad con fuente y fecha (sí/no/no verificable); y seguimiento de acciones u observaciones mediante registro fechado (sí/no/no verificable). Distinguir responsable efectivamente designado de responsable sólo propuesto. La cobertura de cada control será el número de componentes con presencia comprobada dividido entre componentes evaluables; reportar numerador, denominador y casos no verificables. No confundir una recomendación con control ejecutado.</w:t>
      </w:r>
    </w:p>
    <w:p w14:paraId="696EA550" w14:textId="77777777" w:rsidR="004E4A6D" w:rsidRDefault="007807B0">
      <w:r>
        <w:t>Verificabilidad de la VD. Una lista distinta registrará integridad de los contenidos exigibles y concordancia del documento con el requisito aplicable, sin puntuar como preparación la mera existencia de responsable o bitácora. Cada observación se clasificará abierta, cerrada con evidencia aceptable o no verificable. La proporción de cierre será observaciones con cierre respaldado entre observaciones evaluables en el mismo corte; informar los conteos. Ausencia de observaciones registradas no equivale a expediente completo ni se divide entre cero.</w:t>
      </w:r>
    </w:p>
    <w:p w14:paraId="54C8CBCC" w14:textId="77777777" w:rsidR="004E4A6D" w:rsidRDefault="007807B0">
      <w:r>
        <w:t>Separación y revisión. Los criterios de aceptabilidad documental se fijarán antes de comparar VI y VD, con fundamento y alcance por requisito. Cuando sea viable, una segunda revisión documentará acuerdos y discrepancias; no se afirma validación experta ya realizada. Una fuente inaccesible se registra no verificable, no incumplida. Comparar sólo componentes con exigencias y cortes compatibles; las versiones repetidas del mismo documento no cuentan como casos independientes.</w:t>
      </w:r>
    </w:p>
    <w:p w14:paraId="363F33DE" w14:textId="77777777" w:rsidR="004E4A6D" w:rsidRDefault="007807B0">
      <w:r>
        <w:t xml:space="preserve">Contraste de HG. En una matriz por componente se cotejarán los controles observados con integridad y coherencia documental en el mismo corte. Se buscará el patrón de mejor preparación cuando existen más controles documentados y se revisarán casos contrarios: controles presentes con expediente incompleto, o documentos adecuados sin controles </w:t>
      </w:r>
      <w:r>
        <w:lastRenderedPageBreak/>
        <w:t>registrados. Tales casos pueden debilitar o acotar la hipótesis. Si no hay variación, acceso suficiente o criterios comparables, el resultado será no contrastable con la evidencia disponible, no hipótesis confirmada.</w:t>
      </w:r>
    </w:p>
    <w:p w14:paraId="31B58E90" w14:textId="77777777" w:rsidR="004E4A6D" w:rsidRDefault="007807B0">
      <w:r>
        <w:t>Contraste de HE1. Por observación se examinarán designación documentada, seguimiento fechado y evidencia de cierre. Se distinguirá el registro de acciones de la corrección verificable del documento. Se atenderán explicaciones alternativas: complejidad del requisito, disponibilidad de información y etapa de elaboración. La correspondencia observada no prueba que los controles hayan causado el cierre. Las relaciones se describirán sólo dentro del caso y con sus limitaciones.</w:t>
      </w:r>
    </w:p>
    <w:p w14:paraId="1D2AE5A8" w14:textId="77777777" w:rsidR="004E4A6D" w:rsidRDefault="007807B0">
      <w:r>
        <w:t>Pertinencia y consistencia. Las hipótesis responden al problema y objetivos sin sustituirlos ni ampliar el estudio a todas las plataformas. Su interés pertenece a la LGAC Gestión e Innovación de las Organizaciones: procedimientos, responsables, documentos, controles e indicadores. El Círculo de Covey conserva problema y objetivo general en Importante/No urgente; no se agrega la hipótesis al esquema. La clasificación establece una prioridad de planeación, no una prueba de la relación propuesta.</w:t>
      </w:r>
    </w:p>
    <w:p w14:paraId="11B9327B" w14:textId="77777777" w:rsidR="004E4A6D" w:rsidRDefault="007807B0">
      <w:r>
        <w:t>Estado de evidencia. Se formulan hipótesis para orientar el estudio, no resultados. Los borradores y fuentes disponibles permiten preparar la revisión inicial, pero no se cuenta aquí con mediciones completas, entrevistas realizadas, controles implementados ni cierres verificados. El acceso adicional requerirá autorización; no se fabricarán registros ni se tratará la falta de datos como confirmación. Los alcances y procedimientos detallados se desarrollarán en sus apartados posteriores sin anticipar su ejecución.</w:t>
      </w:r>
    </w:p>
    <w:p w14:paraId="08D24100" w14:textId="77777777" w:rsidR="00B55F17" w:rsidRDefault="00CF4059">
      <w:pPr>
        <w:pStyle w:val="Ttulo1"/>
        <w:spacing w:before="120" w:after="80"/>
      </w:pPr>
      <w:bookmarkStart w:id="19" w:name="_Toc242807308"/>
      <w:r>
        <w:lastRenderedPageBreak/>
        <w:t>6 Alcances y limitaciones</w:t>
      </w:r>
      <w:bookmarkEnd w:id="19"/>
    </w:p>
    <w:p w14:paraId="051445D7" w14:textId="77777777" w:rsidR="00B55F17" w:rsidRDefault="00CF4059">
      <w:pPr>
        <w:pStyle w:val="Ttulo2"/>
        <w:spacing w:before="240" w:after="80"/>
      </w:pPr>
      <w:bookmarkStart w:id="20" w:name="_Toc242807309"/>
      <w:r>
        <w:t>6.1 Alcances</w:t>
      </w:r>
      <w:bookmarkEnd w:id="20"/>
    </w:p>
    <w:p w14:paraId="75C7FC5A" w14:textId="77777777" w:rsidR="00B55F17" w:rsidRDefault="00CF4059">
      <w:pPr>
        <w:pStyle w:val="Ttulo2"/>
        <w:spacing w:before="240" w:after="80"/>
      </w:pPr>
      <w:bookmarkStart w:id="21" w:name="_Toc242807310"/>
      <w:r>
        <w:t>6.2 Limitaciones</w:t>
      </w:r>
      <w:bookmarkEnd w:id="21"/>
    </w:p>
    <w:p w14:paraId="14291231" w14:textId="77777777" w:rsidR="00B55F17" w:rsidRDefault="00CF4059">
      <w:pPr>
        <w:pStyle w:val="Ttulo1"/>
        <w:spacing w:before="120" w:after="80"/>
      </w:pPr>
      <w:bookmarkStart w:id="22" w:name="_Toc242807311"/>
      <w:r>
        <w:t>7 Marco teórico</w:t>
      </w:r>
      <w:bookmarkEnd w:id="22"/>
    </w:p>
    <w:p w14:paraId="06ABA145" w14:textId="77777777" w:rsidR="00B55F17" w:rsidRDefault="00CF4059">
      <w:pPr>
        <w:pStyle w:val="Ttulo1"/>
        <w:spacing w:before="120" w:after="80"/>
      </w:pPr>
      <w:bookmarkStart w:id="23" w:name="_Toc242807312"/>
      <w:r>
        <w:t>8 Métodos o procedimientos</w:t>
      </w:r>
      <w:bookmarkEnd w:id="23"/>
    </w:p>
    <w:p w14:paraId="015681C7" w14:textId="77777777" w:rsidR="00B55F17" w:rsidRDefault="00CF4059">
      <w:pPr>
        <w:pStyle w:val="Ttulo1"/>
        <w:keepNext w:val="0"/>
        <w:spacing w:before="120" w:after="80"/>
      </w:pPr>
      <w:bookmarkStart w:id="24" w:name="_Toc242807313"/>
      <w:r>
        <w:t>9 Cronograma de actividades</w:t>
      </w:r>
      <w:bookmarkEnd w:id="24"/>
    </w:p>
    <w:p w14:paraId="6EBD5B20" w14:textId="77777777" w:rsidR="00B55F17" w:rsidRDefault="00CF4059">
      <w:pPr>
        <w:pStyle w:val="Ttulo1"/>
        <w:pageBreakBefore/>
        <w:spacing w:before="120" w:after="80"/>
      </w:pPr>
      <w:bookmarkStart w:id="25" w:name="_Toc242807314"/>
      <w:r>
        <w:lastRenderedPageBreak/>
        <w:t>Referencias</w:t>
      </w:r>
      <w:bookmarkEnd w:id="25"/>
    </w:p>
    <w:p w14:paraId="715DBE6E" w14:textId="77777777" w:rsidR="00B55F17" w:rsidRDefault="00CF4059">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345F653E" w14:textId="77777777" w:rsidR="00B55F17" w:rsidRDefault="00CF4059">
      <w:pPr>
        <w:keepLines/>
        <w:ind w:left="720" w:hanging="720"/>
      </w:pPr>
      <w:r>
        <w:t xml:space="preserve">H. Congreso del Estado de Nuevo León. (2026). </w:t>
      </w:r>
      <w:r>
        <w:rPr>
          <w:i/>
        </w:rPr>
        <w:t>Ley de Movilidad Sostenible, de Accesibilidad y Seguridad Vial para el Estado de Nuevo León</w:t>
      </w:r>
      <w:r>
        <w:t xml:space="preserve"> (última reforma publicada el 22 de mayo de 2026; arts. 82, 83, 99 y 100). https://www.hcnl.gob.mx/trabajo_legislativo/leyes/leyes/ley_de_movilidad_sostenible_y_accesibilidad_para_el_estado_de_nuevo_leon/</w:t>
      </w:r>
    </w:p>
    <w:p w14:paraId="4ABBC8ED" w14:textId="77777777" w:rsidR="009D42F1" w:rsidRDefault="00890EF2">
      <w:pPr>
        <w:keepLines/>
        <w:ind w:left="720" w:hanging="720"/>
      </w:pPr>
      <w:r>
        <w:t>Hernández Sampieri, R., Fernández Collado, C., &amp; Baptista Lucio, M. del P. (2014). Metodología de la investigación (6.ª ed.). McGraw-Hill Education.</w:t>
      </w:r>
    </w:p>
    <w:p w14:paraId="2117F7ED" w14:textId="77777777" w:rsidR="00B55F17" w:rsidRDefault="00CF4059">
      <w:pPr>
        <w:keepLines/>
        <w:ind w:left="720" w:hanging="720"/>
      </w:pPr>
      <w:r>
        <w:t xml:space="preserve">Instituto de Capacitación y Educación para el Trabajo del Estado de Nuevo León. (s. f.). </w:t>
      </w:r>
      <w:r>
        <w:rPr>
          <w:i/>
        </w:rPr>
        <w:t>ICET</w:t>
      </w:r>
      <w:r>
        <w:t>. Recuperado el 27 de septiembre de 2026, de https://icetnl.mx/</w:t>
      </w:r>
    </w:p>
    <w:p w14:paraId="2F8F120B" w14:textId="77777777" w:rsidR="00B8658C" w:rsidRDefault="00395729">
      <w:pPr>
        <w:ind w:left="720" w:hanging="720"/>
      </w:pPr>
      <w:r>
        <w:t xml:space="preserve">Instituto Tecnológico Superior de Cajeme. (s. f.-a). </w:t>
      </w:r>
      <w:r>
        <w:rPr>
          <w:i/>
        </w:rPr>
        <w:t>Formulación de objetivos general y específicos</w:t>
      </w:r>
      <w:r>
        <w:t xml:space="preserve"> [Material didáctico de Seminario I, Unidad 3, apartado 3.3]. https://cursos3.e-itesca.edu.mx/mod/resource/view.php?id=2897</w:t>
      </w:r>
    </w:p>
    <w:p w14:paraId="1EB40CC2" w14:textId="77777777" w:rsidR="00B55F17" w:rsidRDefault="00CF4059">
      <w:pPr>
        <w:keepLines/>
        <w:ind w:left="720" w:hanging="720"/>
      </w:pPr>
      <w:r>
        <w:t xml:space="preserve">Instituto Tecnológico Superior de Cajeme. (s. f.-b). </w:t>
      </w:r>
      <w:r>
        <w:rPr>
          <w:i/>
        </w:rPr>
        <w:t>Introducción al uso de la matriz de consistencia y el círculo de Covey</w:t>
      </w:r>
      <w:r>
        <w:t xml:space="preserve"> [Material didáctico de Seminario I, pp. 4–6]. https://cursos3.e-itesca.edu.mx/mod/assign/view.php?id=2887</w:t>
      </w:r>
    </w:p>
    <w:p w14:paraId="7C5A435E" w14:textId="77777777" w:rsidR="00526E6F" w:rsidRDefault="008A3FBF">
      <w:pPr>
        <w:keepLines/>
        <w:ind w:left="720" w:hanging="720"/>
      </w:pPr>
      <w:r>
        <w:t>Instituto Tecnológico Superior de Cajeme. (s. f.-c). Justificación [Material didáctico de Seminario I, Unidad 3, apartado 3.4]. https://cursos3.e-itesca.edu.mx/mod/assign/view.php?id=2911</w:t>
      </w:r>
    </w:p>
    <w:p w14:paraId="2DD765A2" w14:textId="77777777" w:rsidR="00B55F17" w:rsidRDefault="00CF4059">
      <w:pPr>
        <w:keepLines/>
        <w:ind w:left="720" w:hanging="720"/>
      </w:pPr>
      <w:r>
        <w:lastRenderedPageBreak/>
        <w:t xml:space="preserve">Kraus, S., Jones, P., Kailer, N., Weinmann, A., Chaparro-Banegas, N., &amp; Roig-Tierno, N. (2021). Digital transformation: An overview of the current state of the art of research. </w:t>
      </w:r>
      <w:r>
        <w:rPr>
          <w:i/>
        </w:rPr>
        <w:t>SAGE Open, 11</w:t>
      </w:r>
      <w:r>
        <w:t>(3). https://doi.org/10.1177/21582440211047576</w:t>
      </w:r>
    </w:p>
    <w:p w14:paraId="3B62D4B0" w14:textId="77777777" w:rsidR="00B55F17" w:rsidRDefault="00CF4059">
      <w:pPr>
        <w:keepLines/>
        <w:ind w:left="720" w:hanging="720"/>
      </w:pPr>
      <w:r>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59863FCC" w14:textId="77777777" w:rsidR="00B55F17" w:rsidRDefault="00CF4059">
      <w:pPr>
        <w:keepLines/>
        <w:ind w:left="720" w:hanging="720"/>
      </w:pPr>
      <w:r>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0E4A697A" w14:textId="77777777" w:rsidR="009D42F1" w:rsidRDefault="00890EF2">
      <w:pPr>
        <w:keepLines/>
        <w:ind w:left="720" w:hanging="720"/>
      </w:pPr>
      <w:r>
        <w:t>OECD. (2018). OECD regulatory enforcement and inspections toolkit. OECD Publishing. https://doi.org/10.1787/9789264303959-en</w:t>
      </w:r>
    </w:p>
    <w:p w14:paraId="57BD242B" w14:textId="77777777" w:rsidR="00B55F17" w:rsidRDefault="00CF4059">
      <w:pPr>
        <w:keepLines/>
        <w:ind w:left="720" w:hanging="720"/>
      </w:pPr>
      <w:r>
        <w:t xml:space="preserve">Omrani, N., Rejeb, N., Maalaoui, A., Dabić, M., &amp; Kraus, S. (2024). Drivers of digital transformation in SMEs. </w:t>
      </w:r>
      <w:r>
        <w:rPr>
          <w:i/>
        </w:rPr>
        <w:t>IEEE Transactions on Engineering Management, 71</w:t>
      </w:r>
      <w:r>
        <w:t>, 5030–5043. https://doi.org/10.1109/TEM.2022.3215727</w:t>
      </w:r>
    </w:p>
    <w:p w14:paraId="0E215DF7" w14:textId="77777777" w:rsidR="00B8658C" w:rsidRDefault="00395729">
      <w:pPr>
        <w:ind w:left="720" w:hanging="720"/>
      </w:pPr>
      <w:r>
        <w:t xml:space="preserve">Parker, C., &amp; Nielsen, V. L. (2009). </w:t>
      </w:r>
      <w:r>
        <w:rPr>
          <w:i/>
        </w:rPr>
        <w:t>Corporate compliance systems: Could they make any difference?</w:t>
      </w:r>
      <w:r>
        <w:t xml:space="preserve"> Administration &amp; Society, 41(1), 3–37. https://doi.org/10.1177/0095399708328869</w:t>
      </w:r>
    </w:p>
    <w:p w14:paraId="311E8620" w14:textId="77777777" w:rsidR="004E4A6D" w:rsidRDefault="007807B0">
      <w:pPr>
        <w:keepLines/>
        <w:ind w:left="720" w:hanging="720"/>
      </w:pPr>
      <w:r>
        <w:t>Price, P. C., Jhangiani, R. S., &amp; Chiang, I.-C. A. (2015). Research methods in psychology (2nd Canadian ed.). BCcampus. https://opentextbc.ca/researchmethods/chapter/correlational-research/</w:t>
      </w:r>
    </w:p>
    <w:p w14:paraId="7B0C58B5" w14:textId="77777777" w:rsidR="00B55F17" w:rsidRDefault="00CF4059">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23B404DA" w14:textId="77777777" w:rsidR="00B55F17" w:rsidRDefault="00CF4059">
      <w:pPr>
        <w:keepLines/>
        <w:ind w:left="720" w:hanging="720"/>
      </w:pPr>
      <w:r>
        <w:lastRenderedPageBreak/>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4C2AE4A7" w14:textId="77777777" w:rsidR="00B55F17" w:rsidRDefault="00CF4059">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2492C31F" w14:textId="77777777" w:rsidR="00B8658C" w:rsidRDefault="00395729">
      <w:pPr>
        <w:ind w:left="720" w:hanging="720"/>
      </w:pPr>
      <w:r>
        <w:t xml:space="preserve">Thelen, K. (2018). </w:t>
      </w:r>
      <w:r>
        <w:rPr>
          <w:i/>
        </w:rPr>
        <w:t>Regulating Uber: The politics of the platform economy in Europe and the United States</w:t>
      </w:r>
      <w:r>
        <w:t>. Perspectives on Politics, 16(4), 938–953. https://doi.org/10.1017/S1537592718001081</w:t>
      </w:r>
    </w:p>
    <w:p w14:paraId="2D5437AE" w14:textId="77777777" w:rsidR="00B55F17" w:rsidRDefault="00CF4059">
      <w:pPr>
        <w:keepNext/>
        <w:keepLines/>
        <w:ind w:left="720" w:hanging="720"/>
      </w:pPr>
      <w:r>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12E8E9A0" w14:textId="77777777" w:rsidR="00B55F17" w:rsidRDefault="00CF4059">
      <w:pPr>
        <w:keepNext/>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0C5769AF" w14:textId="77777777" w:rsidR="00B55F17" w:rsidRDefault="00CF4059">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107E07CA" w14:textId="77777777" w:rsidR="00890E97" w:rsidRDefault="00296D41">
      <w:pPr>
        <w:ind w:left="720" w:hanging="720"/>
      </w:pPr>
      <w:r>
        <w:t>Instituto Nacional de Estadística y Geografía. (2024). Censos Económicos 2024. https://www.inegi.org.mx/programas/ce/2024/</w:t>
      </w:r>
    </w:p>
    <w:p w14:paraId="4DFD801D" w14:textId="77777777" w:rsidR="00890E97" w:rsidRDefault="00296D41">
      <w:pPr>
        <w:ind w:left="720" w:hanging="720"/>
      </w:pPr>
      <w:r>
        <w:t>Instituto Nacional de Estadística y Geografía. (2020). Censo de Población y Vivienda 2020. https://www.inegi.org.mx/programas/ccpv/2020/</w:t>
      </w:r>
    </w:p>
    <w:p w14:paraId="1128A710" w14:textId="77777777" w:rsidR="00B8658C" w:rsidRDefault="00395729">
      <w:pPr>
        <w:pStyle w:val="Ttulo1"/>
        <w:pageBreakBefore/>
      </w:pPr>
      <w:bookmarkStart w:id="26" w:name="_Toc242807315"/>
      <w:r>
        <w:lastRenderedPageBreak/>
        <w:t>Anexo 1 Matriz de consistencia</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096"/>
        <w:gridCol w:w="3096"/>
      </w:tblGrid>
      <w:tr w:rsidR="00B8658C" w14:paraId="1573865B" w14:textId="77777777">
        <w:trPr>
          <w:cantSplit/>
          <w:tblHeader/>
          <w:jc w:val="center"/>
        </w:trPr>
        <w:tc>
          <w:tcPr>
            <w:tcW w:w="3168" w:type="dxa"/>
            <w:shd w:val="clear" w:color="auto" w:fill="E7EDF2"/>
            <w:tcMar>
              <w:top w:w="100" w:type="dxa"/>
              <w:left w:w="100" w:type="dxa"/>
              <w:bottom w:w="100" w:type="dxa"/>
              <w:right w:w="100" w:type="dxa"/>
            </w:tcMar>
            <w:vAlign w:val="center"/>
          </w:tcPr>
          <w:p w14:paraId="5F9DD213" w14:textId="77777777" w:rsidR="00B8658C" w:rsidRDefault="00395729">
            <w:pPr>
              <w:spacing w:after="60" w:line="252" w:lineRule="auto"/>
              <w:ind w:firstLine="0"/>
            </w:pPr>
            <w:r>
              <w:rPr>
                <w:b/>
                <w:sz w:val="20"/>
              </w:rPr>
              <w:t>Tema y problema general</w:t>
            </w:r>
          </w:p>
        </w:tc>
        <w:tc>
          <w:tcPr>
            <w:tcW w:w="3096" w:type="dxa"/>
            <w:shd w:val="clear" w:color="auto" w:fill="E7EDF2"/>
            <w:tcMar>
              <w:top w:w="100" w:type="dxa"/>
              <w:left w:w="100" w:type="dxa"/>
              <w:bottom w:w="100" w:type="dxa"/>
              <w:right w:w="100" w:type="dxa"/>
            </w:tcMar>
            <w:vAlign w:val="center"/>
          </w:tcPr>
          <w:p w14:paraId="449104C2" w14:textId="77777777" w:rsidR="00B8658C" w:rsidRDefault="00395729">
            <w:pPr>
              <w:spacing w:after="60" w:line="252" w:lineRule="auto"/>
              <w:ind w:firstLine="0"/>
            </w:pPr>
            <w:r>
              <w:rPr>
                <w:b/>
                <w:sz w:val="20"/>
              </w:rPr>
              <w:t>Pregunta general</w:t>
            </w:r>
          </w:p>
        </w:tc>
        <w:tc>
          <w:tcPr>
            <w:tcW w:w="3096" w:type="dxa"/>
            <w:shd w:val="clear" w:color="auto" w:fill="E7EDF2"/>
            <w:tcMar>
              <w:top w:w="100" w:type="dxa"/>
              <w:left w:w="100" w:type="dxa"/>
              <w:bottom w:w="100" w:type="dxa"/>
              <w:right w:w="100" w:type="dxa"/>
            </w:tcMar>
            <w:vAlign w:val="center"/>
          </w:tcPr>
          <w:p w14:paraId="0A7068DC" w14:textId="77777777" w:rsidR="00B8658C" w:rsidRDefault="00395729">
            <w:pPr>
              <w:spacing w:after="60" w:line="252" w:lineRule="auto"/>
              <w:ind w:firstLine="0"/>
            </w:pPr>
            <w:r>
              <w:rPr>
                <w:b/>
                <w:sz w:val="20"/>
              </w:rPr>
              <w:t>Objetivo general</w:t>
            </w:r>
          </w:p>
        </w:tc>
      </w:tr>
      <w:tr w:rsidR="00B8658C" w14:paraId="53B86767" w14:textId="77777777">
        <w:trPr>
          <w:cantSplit/>
          <w:jc w:val="center"/>
        </w:trPr>
        <w:tc>
          <w:tcPr>
            <w:tcW w:w="3168" w:type="dxa"/>
            <w:tcMar>
              <w:top w:w="100" w:type="dxa"/>
              <w:left w:w="100" w:type="dxa"/>
              <w:bottom w:w="100" w:type="dxa"/>
              <w:right w:w="100" w:type="dxa"/>
            </w:tcMar>
            <w:vAlign w:val="center"/>
          </w:tcPr>
          <w:p w14:paraId="0BF62103" w14:textId="77777777" w:rsidR="00B8658C" w:rsidRDefault="00395729">
            <w:pPr>
              <w:spacing w:after="60" w:line="252" w:lineRule="auto"/>
              <w:ind w:firstLine="0"/>
            </w:pPr>
            <w:r>
              <w:rPr>
                <w:sz w:val="20"/>
              </w:rPr>
              <w:t>Gestión del cumplimiento normativo para formalizar vTaxi como plataforma de taxis en Nuevo León</w:t>
            </w:r>
            <w:r>
              <w:rPr>
                <w:sz w:val="20"/>
              </w:rPr>
              <w:br/>
            </w:r>
            <w:r>
              <w:rPr>
                <w:sz w:val="20"/>
              </w:rPr>
              <w:br/>
              <w:t>Los borradores regulatorios de vTaxi no acreditan una ruta validada de requisitos, responsables y evidencias para su formalización como plataforma de taxis concesionados en Nuevo León.</w:t>
            </w:r>
          </w:p>
        </w:tc>
        <w:tc>
          <w:tcPr>
            <w:tcW w:w="3096" w:type="dxa"/>
            <w:tcMar>
              <w:top w:w="100" w:type="dxa"/>
              <w:left w:w="100" w:type="dxa"/>
              <w:bottom w:w="100" w:type="dxa"/>
              <w:right w:w="100" w:type="dxa"/>
            </w:tcMar>
            <w:vAlign w:val="center"/>
          </w:tcPr>
          <w:p w14:paraId="7C5D1C4B" w14:textId="77777777" w:rsidR="00B8658C" w:rsidRDefault="00395729">
            <w:pPr>
              <w:spacing w:after="60" w:line="252" w:lineRule="auto"/>
              <w:ind w:firstLine="0"/>
            </w:pPr>
            <w:r>
              <w:rPr>
                <w:sz w:val="20"/>
              </w:rPr>
              <w:t>¿Cómo se relaciona el nivel de gestión del cumplimiento normativo con el grado de preparación administrativa de vTaxi para su formalización como plataforma de taxis concesionados en Nuevo León durante septiembre a noviembre de 2026?</w:t>
            </w:r>
          </w:p>
        </w:tc>
        <w:tc>
          <w:tcPr>
            <w:tcW w:w="3096" w:type="dxa"/>
            <w:tcMar>
              <w:top w:w="100" w:type="dxa"/>
              <w:left w:w="100" w:type="dxa"/>
              <w:bottom w:w="100" w:type="dxa"/>
              <w:right w:w="100" w:type="dxa"/>
            </w:tcMar>
            <w:vAlign w:val="center"/>
          </w:tcPr>
          <w:p w14:paraId="1B136FE5" w14:textId="77777777" w:rsidR="00B8658C" w:rsidRDefault="00395729">
            <w:pPr>
              <w:spacing w:after="60" w:line="252" w:lineRule="auto"/>
              <w:ind w:firstLine="0"/>
            </w:pPr>
            <w:r>
              <w:rPr>
                <w:sz w:val="20"/>
              </w:rP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r w:rsidR="004E4A6D" w14:paraId="5FA27E2C" w14:textId="77777777">
        <w:trPr>
          <w:jc w:val="center"/>
        </w:trPr>
        <w:tc>
          <w:tcPr>
            <w:tcW w:w="9360" w:type="dxa"/>
            <w:gridSpan w:val="3"/>
          </w:tcPr>
          <w:p w14:paraId="6463B1A2" w14:textId="77777777" w:rsidR="004E4A6D" w:rsidRDefault="007807B0">
            <w:r>
              <w:t>Hipótesis general (HG)</w:t>
            </w:r>
            <w:r>
              <w:br/>
              <w:t>En los componentes documentales aplicables al proyecto vTaxi como plataforma de taxis concesionados en Nuevo León durante septiembre a noviembre de 2026, un mayor nivel de gestión del cumplimiento normativo se relaciona con un mayor grado de preparación administrativa del expediente, expresado en documentos completos y coherentes con los requisitos aplicables y en observaciones internas atendidas con respaldo verificable.</w:t>
            </w:r>
          </w:p>
        </w:tc>
      </w:tr>
    </w:tbl>
    <w:p w14:paraId="77CF5485" w14:textId="77777777" w:rsidR="00B8658C" w:rsidRDefault="00395729">
      <w:pPr>
        <w:pStyle w:val="Ttulo2"/>
        <w:pageBreakBefore/>
      </w:pPr>
      <w:bookmarkStart w:id="27" w:name="_Toc242807316"/>
      <w:r>
        <w:lastRenderedPageBreak/>
        <w:t>Correspondencia de preguntas y objetivos específicos</w:t>
      </w:r>
      <w:bookmarkEnd w:id="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5832"/>
      </w:tblGrid>
      <w:tr w:rsidR="00B8658C" w14:paraId="66EE0840" w14:textId="77777777">
        <w:trPr>
          <w:cantSplit/>
          <w:tblHeader/>
          <w:jc w:val="center"/>
        </w:trPr>
        <w:tc>
          <w:tcPr>
            <w:tcW w:w="3528" w:type="dxa"/>
            <w:shd w:val="clear" w:color="auto" w:fill="E7EDF2"/>
            <w:tcMar>
              <w:top w:w="100" w:type="dxa"/>
              <w:left w:w="100" w:type="dxa"/>
              <w:bottom w:w="100" w:type="dxa"/>
              <w:right w:w="100" w:type="dxa"/>
            </w:tcMar>
            <w:vAlign w:val="center"/>
          </w:tcPr>
          <w:p w14:paraId="67EA59CA" w14:textId="77777777" w:rsidR="00B8658C" w:rsidRDefault="00395729">
            <w:pPr>
              <w:spacing w:after="60" w:line="252" w:lineRule="auto"/>
              <w:ind w:firstLine="0"/>
            </w:pPr>
            <w:r>
              <w:rPr>
                <w:b/>
                <w:sz w:val="20"/>
              </w:rPr>
              <w:t>Pregunta específica</w:t>
            </w:r>
          </w:p>
        </w:tc>
        <w:tc>
          <w:tcPr>
            <w:tcW w:w="5832" w:type="dxa"/>
            <w:shd w:val="clear" w:color="auto" w:fill="E7EDF2"/>
            <w:tcMar>
              <w:top w:w="100" w:type="dxa"/>
              <w:left w:w="100" w:type="dxa"/>
              <w:bottom w:w="100" w:type="dxa"/>
              <w:right w:w="100" w:type="dxa"/>
            </w:tcMar>
            <w:vAlign w:val="center"/>
          </w:tcPr>
          <w:p w14:paraId="248394BE" w14:textId="77777777" w:rsidR="00B8658C" w:rsidRDefault="00395729">
            <w:pPr>
              <w:spacing w:after="60" w:line="252" w:lineRule="auto"/>
              <w:ind w:firstLine="0"/>
            </w:pPr>
            <w:r>
              <w:rPr>
                <w:b/>
                <w:sz w:val="20"/>
              </w:rPr>
              <w:t>Objetivo, procedimiento y producto</w:t>
            </w:r>
          </w:p>
        </w:tc>
      </w:tr>
      <w:tr w:rsidR="00B8658C" w14:paraId="0BB63E61" w14:textId="77777777">
        <w:trPr>
          <w:cantSplit/>
          <w:jc w:val="center"/>
        </w:trPr>
        <w:tc>
          <w:tcPr>
            <w:tcW w:w="3528" w:type="dxa"/>
            <w:tcMar>
              <w:top w:w="100" w:type="dxa"/>
              <w:left w:w="100" w:type="dxa"/>
              <w:bottom w:w="100" w:type="dxa"/>
              <w:right w:w="100" w:type="dxa"/>
            </w:tcMar>
            <w:vAlign w:val="center"/>
          </w:tcPr>
          <w:p w14:paraId="54BF672D" w14:textId="77777777" w:rsidR="00B8658C" w:rsidRDefault="00395729">
            <w:pPr>
              <w:spacing w:after="60" w:line="252" w:lineRule="auto"/>
              <w:ind w:firstLine="0"/>
            </w:pPr>
            <w:r>
              <w:rPr>
                <w:sz w:val="20"/>
              </w:rPr>
              <w:t>1. ¿Qué requisitos y competencias institucionales corresponden al modelo de taxis concesionados de vTaxi y cuáles pertenecen a la modalidad de transporte privado mediante empresas de redes de transporte?</w:t>
            </w:r>
          </w:p>
        </w:tc>
        <w:tc>
          <w:tcPr>
            <w:tcW w:w="5832" w:type="dxa"/>
            <w:tcMar>
              <w:top w:w="100" w:type="dxa"/>
              <w:left w:w="100" w:type="dxa"/>
              <w:bottom w:w="100" w:type="dxa"/>
              <w:right w:w="100" w:type="dxa"/>
            </w:tcMar>
            <w:vAlign w:val="center"/>
          </w:tcPr>
          <w:p w14:paraId="4DE600B7" w14:textId="77777777" w:rsidR="00B8658C" w:rsidRDefault="00395729">
            <w:pPr>
              <w:spacing w:after="60" w:line="252" w:lineRule="auto"/>
              <w:ind w:firstLine="0"/>
            </w:pPr>
            <w:r>
              <w:rPr>
                <w:sz w:val="20"/>
              </w:rPr>
              <w:t>Objetivo 1</w:t>
            </w:r>
            <w:r>
              <w:rPr>
                <w:sz w:val="20"/>
              </w:rPr>
              <w:br/>
              <w:t>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r>
              <w:rPr>
                <w:sz w:val="20"/>
              </w:rPr>
              <w:br/>
            </w:r>
            <w:r>
              <w:rPr>
                <w:sz w:val="20"/>
              </w:rPr>
              <w:br/>
              <w:t>Procedimiento</w:t>
            </w:r>
            <w:r>
              <w:rPr>
                <w:sz w:val="20"/>
              </w:rPr>
              <w:br/>
              <w:t>Contrastar el modelo de servicio con las fuentes aplicables y asociar cada obligación con el proceso interno que deberá atenderla. Identificar responsabilidades y evidencias esperadas; separar requisitos confirmados, recomendaciones y cuestiones que requieren aclaración.</w:t>
            </w:r>
            <w:r>
              <w:rPr>
                <w:sz w:val="20"/>
              </w:rPr>
              <w:br/>
            </w:r>
            <w:r>
              <w:rPr>
                <w:sz w:val="20"/>
              </w:rPr>
              <w:br/>
              <w:t>Producto verificable</w:t>
            </w:r>
            <w:r>
              <w:rPr>
                <w:sz w:val="20"/>
              </w:rPr>
              <w:br/>
              <w:t>Catálogo administrativo que relacione cada requisito aplicable con proceso, responsable documentado o por asignar, fuente y evidencia necesaria. La modalidad y competencia institucional se usarán para fundamentar su pertinencia, no para sustituir el análisis de gestión.</w:t>
            </w:r>
          </w:p>
        </w:tc>
      </w:tr>
      <w:tr w:rsidR="00B8658C" w14:paraId="67A975B5" w14:textId="77777777">
        <w:trPr>
          <w:cantSplit/>
          <w:jc w:val="center"/>
        </w:trPr>
        <w:tc>
          <w:tcPr>
            <w:tcW w:w="3528" w:type="dxa"/>
            <w:tcMar>
              <w:top w:w="100" w:type="dxa"/>
              <w:left w:w="100" w:type="dxa"/>
              <w:bottom w:w="100" w:type="dxa"/>
              <w:right w:w="100" w:type="dxa"/>
            </w:tcMar>
            <w:vAlign w:val="center"/>
          </w:tcPr>
          <w:p w14:paraId="6983D72B" w14:textId="77777777" w:rsidR="00B8658C" w:rsidRDefault="00395729">
            <w:pPr>
              <w:spacing w:after="60" w:line="252" w:lineRule="auto"/>
              <w:ind w:firstLine="0"/>
            </w:pPr>
            <w:r>
              <w:rPr>
                <w:sz w:val="20"/>
              </w:rPr>
              <w:t>2. ¿Qué diferencias existen entre los requisitos aplicables y las evidencias jurídicas, técnicas y operativas disponibles en los borradores del proyecto?</w:t>
            </w:r>
          </w:p>
        </w:tc>
        <w:tc>
          <w:tcPr>
            <w:tcW w:w="5832" w:type="dxa"/>
            <w:tcMar>
              <w:top w:w="100" w:type="dxa"/>
              <w:left w:w="100" w:type="dxa"/>
              <w:bottom w:w="100" w:type="dxa"/>
              <w:right w:w="100" w:type="dxa"/>
            </w:tcMar>
            <w:vAlign w:val="center"/>
          </w:tcPr>
          <w:p w14:paraId="01E274DA" w14:textId="77777777" w:rsidR="00B8658C" w:rsidRDefault="00395729">
            <w:pPr>
              <w:spacing w:after="60" w:line="252" w:lineRule="auto"/>
              <w:ind w:firstLine="0"/>
            </w:pPr>
            <w:r>
              <w:rPr>
                <w:sz w:val="20"/>
              </w:rPr>
              <w:t>Objetivo 2</w:t>
            </w:r>
            <w:r>
              <w:rPr>
                <w:sz w:val="20"/>
              </w:rPr>
              <w:br/>
              <w:t>Diagnosticar las brechas de organización y gestión documental entre los requisitos aplicables y las evidencias disponibles de vTaxi, considerando la asignación de responsabilidades, los controles de seguimiento y la integridad y coherencia del expediente.</w:t>
            </w:r>
            <w:r>
              <w:rPr>
                <w:sz w:val="20"/>
              </w:rPr>
              <w:br/>
            </w:r>
            <w:r>
              <w:rPr>
                <w:sz w:val="20"/>
              </w:rPr>
              <w:br/>
              <w:t>Procedimiento</w:t>
            </w:r>
            <w:r>
              <w:rPr>
                <w:sz w:val="20"/>
              </w:rPr>
              <w:br/>
              <w:t>Cotejar documentos y registros internos para detectar brechas en distribución de tareas, procedimientos y seguimiento, además de inconsistencias del expediente. Distinguir prácticas documentadas de propuestas futuras; no tratar ejemplos internos como hechos comprobados.</w:t>
            </w:r>
            <w:r>
              <w:rPr>
                <w:sz w:val="20"/>
              </w:rPr>
              <w:br/>
            </w:r>
            <w:r>
              <w:rPr>
                <w:sz w:val="20"/>
              </w:rPr>
              <w:br/>
              <w:t>Producto verificable</w:t>
            </w:r>
            <w:r>
              <w:rPr>
                <w:sz w:val="20"/>
              </w:rPr>
              <w:br/>
              <w:t>Diagnóstico de brechas en responsabilidades, procedimientos, control y documentación, con hallazgo y respaldo identificable. La ausencia de información se registrará como falta de evidencia, no como incumplimiento jurídico acreditado.</w:t>
            </w:r>
          </w:p>
        </w:tc>
      </w:tr>
      <w:tr w:rsidR="00B8658C" w14:paraId="048D8297" w14:textId="77777777">
        <w:trPr>
          <w:cantSplit/>
          <w:jc w:val="center"/>
        </w:trPr>
        <w:tc>
          <w:tcPr>
            <w:tcW w:w="3528" w:type="dxa"/>
            <w:tcMar>
              <w:top w:w="100" w:type="dxa"/>
              <w:left w:w="100" w:type="dxa"/>
              <w:bottom w:w="100" w:type="dxa"/>
              <w:right w:w="100" w:type="dxa"/>
            </w:tcMar>
            <w:vAlign w:val="center"/>
          </w:tcPr>
          <w:p w14:paraId="6B158888" w14:textId="77777777" w:rsidR="00B8658C" w:rsidRDefault="00395729">
            <w:pPr>
              <w:spacing w:after="60" w:line="252" w:lineRule="auto"/>
              <w:ind w:firstLine="0"/>
            </w:pPr>
            <w:r>
              <w:rPr>
                <w:sz w:val="20"/>
              </w:rPr>
              <w:lastRenderedPageBreak/>
              <w:t>3. ¿Cómo se vinculan la asignación de responsables, la verificación de requisitos y el seguimiento documental con la integridad del expediente y la resolución de observaciones internas?</w:t>
            </w:r>
          </w:p>
        </w:tc>
        <w:tc>
          <w:tcPr>
            <w:tcW w:w="5832" w:type="dxa"/>
            <w:tcMar>
              <w:top w:w="100" w:type="dxa"/>
              <w:left w:w="100" w:type="dxa"/>
              <w:bottom w:w="100" w:type="dxa"/>
              <w:right w:w="100" w:type="dxa"/>
            </w:tcMar>
            <w:vAlign w:val="center"/>
          </w:tcPr>
          <w:p w14:paraId="3423A9D7" w14:textId="77777777" w:rsidR="00B8658C" w:rsidRDefault="00395729">
            <w:pPr>
              <w:spacing w:after="60" w:line="252" w:lineRule="auto"/>
              <w:ind w:firstLine="0"/>
            </w:pPr>
            <w:r>
              <w:rPr>
                <w:sz w:val="20"/>
              </w:rPr>
              <w:t>Objetivo 3</w:t>
            </w:r>
            <w:r>
              <w:rPr>
                <w:sz w:val="20"/>
              </w:rPr>
              <w:br/>
              <w:t>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r>
              <w:rPr>
                <w:sz w:val="20"/>
              </w:rPr>
              <w:br/>
            </w:r>
            <w:r>
              <w:rPr>
                <w:sz w:val="20"/>
              </w:rPr>
              <w:br/>
              <w:t>Procedimiento</w:t>
            </w:r>
            <w:r>
              <w:rPr>
                <w:sz w:val="20"/>
              </w:rPr>
              <w:br/>
              <w:t>Comparar controles de asignación y seguimiento con evidencias y observaciones del expediente. Registrar numeradores, denominadores y soportes de los indicadores propuestos cuando existan datos; interpretar correspondencias dentro del caso, sin inferir causalidad.</w:t>
            </w:r>
            <w:r>
              <w:rPr>
                <w:sz w:val="20"/>
              </w:rPr>
              <w:br/>
            </w:r>
            <w:r>
              <w:rPr>
                <w:sz w:val="20"/>
              </w:rPr>
              <w:br/>
              <w:t>Producto verificable</w:t>
            </w:r>
            <w:r>
              <w:rPr>
                <w:sz w:val="20"/>
              </w:rPr>
              <w:br/>
              <w:t>Matriz de controles y evidencias con cobertura de responsabilidades, trazabilidad documental y cierre de observaciones como indicadores propuestos. Cada registro conservará su soporte; no se reportarán mediciones inexistentes ni efectos causales.</w:t>
            </w:r>
          </w:p>
          <w:p w14:paraId="57376E40" w14:textId="77777777" w:rsidR="004E4A6D" w:rsidRDefault="007807B0">
            <w:r>
              <w:t>Hipótesis específica (HE1)</w:t>
            </w:r>
            <w:r>
              <w:br/>
              <w:t>En los componentes del expediente de vTaxi, la asignación documentada de responsables y el seguimiento de observaciones se relacionan con una mayor proporción de observaciones internas cerradas mediante evidencia documental aceptable en la revisión del caso.</w:t>
            </w:r>
          </w:p>
        </w:tc>
      </w:tr>
      <w:tr w:rsidR="00B8658C" w14:paraId="2BD63177" w14:textId="77777777">
        <w:trPr>
          <w:cantSplit/>
          <w:jc w:val="center"/>
        </w:trPr>
        <w:tc>
          <w:tcPr>
            <w:tcW w:w="3528" w:type="dxa"/>
            <w:tcMar>
              <w:top w:w="100" w:type="dxa"/>
              <w:left w:w="100" w:type="dxa"/>
              <w:bottom w:w="100" w:type="dxa"/>
              <w:right w:w="100" w:type="dxa"/>
            </w:tcMar>
            <w:vAlign w:val="center"/>
          </w:tcPr>
          <w:p w14:paraId="43D79F91" w14:textId="77777777" w:rsidR="00B8658C" w:rsidRDefault="00395729">
            <w:pPr>
              <w:spacing w:after="60" w:line="252" w:lineRule="auto"/>
              <w:ind w:firstLine="0"/>
            </w:pPr>
            <w:r>
              <w:rPr>
                <w:sz w:val="20"/>
              </w:rPr>
              <w:lastRenderedPageBreak/>
              <w:t>4. ¿Qué acciones de gestión deben priorizarse para fortalecer la preparación del expediente de vTaxi sin confundir capacitación de conductores con autorización de la plataforma?</w:t>
            </w:r>
          </w:p>
        </w:tc>
        <w:tc>
          <w:tcPr>
            <w:tcW w:w="5832" w:type="dxa"/>
            <w:tcMar>
              <w:top w:w="100" w:type="dxa"/>
              <w:left w:w="100" w:type="dxa"/>
              <w:bottom w:w="100" w:type="dxa"/>
              <w:right w:w="100" w:type="dxa"/>
            </w:tcMar>
            <w:vAlign w:val="center"/>
          </w:tcPr>
          <w:p w14:paraId="421146CE" w14:textId="77777777" w:rsidR="00B8658C" w:rsidRDefault="00395729">
            <w:pPr>
              <w:spacing w:after="60" w:line="252" w:lineRule="auto"/>
              <w:ind w:firstLine="0"/>
            </w:pPr>
            <w:r>
              <w:rPr>
                <w:sz w:val="20"/>
              </w:rPr>
              <w:t>Objetivo 4</w:t>
            </w:r>
            <w:r>
              <w:rPr>
                <w:sz w:val="20"/>
              </w:rPr>
              <w:br/>
              <w:t>Proponer una ruta priorizada de gestión para fortalecer la preparación administrativa del expediente de vTaxi, con acciones, responsables propuestos y evidencias de atención, diferenciando la capacitación de conductores de la autorización de la plataforma.</w:t>
            </w:r>
            <w:r>
              <w:rPr>
                <w:sz w:val="20"/>
              </w:rPr>
              <w:br/>
            </w:r>
            <w:r>
              <w:rPr>
                <w:sz w:val="20"/>
              </w:rPr>
              <w:br/>
              <w:t>Procedimiento</w:t>
            </w:r>
            <w:r>
              <w:rPr>
                <w:sz w:val="20"/>
              </w:rPr>
              <w:br/>
              <w:t>Ordenar las brechas identificadas por fundamento y dependencia administrativa. Proponer acciones y responsables funcionales, señalando la evidencia necesaria para cerrar cada observación y distinguiendo formación de conductores, concesiones y autorización de la plataforma.</w:t>
            </w:r>
            <w:r>
              <w:rPr>
                <w:sz w:val="20"/>
              </w:rPr>
              <w:br/>
            </w:r>
            <w:r>
              <w:rPr>
                <w:sz w:val="20"/>
              </w:rPr>
              <w:br/>
              <w:t>Producto verificable</w:t>
            </w:r>
            <w:r>
              <w:rPr>
                <w:sz w:val="20"/>
              </w:rPr>
              <w:br/>
              <w:t>Ruta priorizada de atención con acción, responsable propuesto, dependencia y criterio documental de cierre. Las prioridades se justificarán por pertinencia normativa y secuencia de integración; no representarán compromisos aceptados ni autorización de la plataforma.</w:t>
            </w:r>
          </w:p>
        </w:tc>
      </w:tr>
    </w:tbl>
    <w:p w14:paraId="533479E5" w14:textId="77777777" w:rsidR="00B8658C" w:rsidRDefault="00395729">
      <w:pPr>
        <w:pStyle w:val="Ttulo1"/>
        <w:pageBreakBefore/>
      </w:pPr>
      <w:bookmarkStart w:id="28" w:name="_Toc242807317"/>
      <w:r>
        <w:lastRenderedPageBreak/>
        <w:t>Anexo 2 Círculo de Covey</w:t>
      </w:r>
      <w:bookmarkEnd w:id="28"/>
    </w:p>
    <w:p w14:paraId="1F3533F7" w14:textId="77777777" w:rsidR="00B8658C" w:rsidRDefault="00395729">
      <w:pPr>
        <w:ind w:firstLine="0"/>
      </w:pPr>
      <w:r>
        <w:t>Problema general y objetivo general en el cuadrante Importante y No urgente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264"/>
      </w:tblGrid>
      <w:tr w:rsidR="00B8658C" w14:paraId="272071B2" w14:textId="77777777">
        <w:trPr>
          <w:cantSplit/>
          <w:tblHeader/>
          <w:jc w:val="center"/>
        </w:trPr>
        <w:tc>
          <w:tcPr>
            <w:tcW w:w="3096" w:type="dxa"/>
            <w:shd w:val="clear" w:color="auto" w:fill="E7EDF2"/>
            <w:tcMar>
              <w:top w:w="100" w:type="dxa"/>
              <w:left w:w="100" w:type="dxa"/>
              <w:bottom w:w="100" w:type="dxa"/>
              <w:right w:w="100" w:type="dxa"/>
            </w:tcMar>
            <w:vAlign w:val="center"/>
          </w:tcPr>
          <w:p w14:paraId="5717422D" w14:textId="77777777" w:rsidR="00B8658C" w:rsidRDefault="00395729">
            <w:pPr>
              <w:spacing w:after="60" w:line="252" w:lineRule="auto"/>
              <w:ind w:firstLine="0"/>
            </w:pPr>
            <w:r>
              <w:rPr>
                <w:b/>
                <w:sz w:val="20"/>
              </w:rPr>
              <w:t>Urgente</w:t>
            </w:r>
          </w:p>
        </w:tc>
        <w:tc>
          <w:tcPr>
            <w:tcW w:w="6264" w:type="dxa"/>
            <w:shd w:val="clear" w:color="auto" w:fill="E7EDF2"/>
            <w:tcMar>
              <w:top w:w="100" w:type="dxa"/>
              <w:left w:w="100" w:type="dxa"/>
              <w:bottom w:w="100" w:type="dxa"/>
              <w:right w:w="100" w:type="dxa"/>
            </w:tcMar>
            <w:vAlign w:val="center"/>
          </w:tcPr>
          <w:p w14:paraId="3252A213" w14:textId="77777777" w:rsidR="00B8658C" w:rsidRDefault="00395729">
            <w:pPr>
              <w:spacing w:after="60" w:line="252" w:lineRule="auto"/>
              <w:ind w:firstLine="0"/>
            </w:pPr>
            <w:r>
              <w:rPr>
                <w:b/>
                <w:sz w:val="20"/>
              </w:rPr>
              <w:t>No urgente</w:t>
            </w:r>
          </w:p>
        </w:tc>
      </w:tr>
      <w:tr w:rsidR="00B8658C" w14:paraId="49C1521D" w14:textId="77777777">
        <w:trPr>
          <w:cantSplit/>
          <w:jc w:val="center"/>
        </w:trPr>
        <w:tc>
          <w:tcPr>
            <w:tcW w:w="3096" w:type="dxa"/>
            <w:tcMar>
              <w:top w:w="100" w:type="dxa"/>
              <w:left w:w="100" w:type="dxa"/>
              <w:bottom w:w="100" w:type="dxa"/>
              <w:right w:w="100" w:type="dxa"/>
            </w:tcMar>
            <w:vAlign w:val="center"/>
          </w:tcPr>
          <w:p w14:paraId="22B67562" w14:textId="77777777" w:rsidR="00B8658C" w:rsidRDefault="00395729">
            <w:pPr>
              <w:spacing w:after="60" w:line="252" w:lineRule="auto"/>
              <w:ind w:firstLine="0"/>
            </w:pPr>
            <w:r>
              <w:rPr>
                <w:sz w:val="20"/>
              </w:rPr>
              <w:t>I Importante</w:t>
            </w:r>
          </w:p>
        </w:tc>
        <w:tc>
          <w:tcPr>
            <w:tcW w:w="6264" w:type="dxa"/>
            <w:tcMar>
              <w:top w:w="100" w:type="dxa"/>
              <w:left w:w="100" w:type="dxa"/>
              <w:bottom w:w="100" w:type="dxa"/>
              <w:right w:w="100" w:type="dxa"/>
            </w:tcMar>
            <w:vAlign w:val="center"/>
          </w:tcPr>
          <w:p w14:paraId="4CC20186" w14:textId="77777777" w:rsidR="00B8658C" w:rsidRDefault="00395729">
            <w:pPr>
              <w:spacing w:after="60" w:line="252" w:lineRule="auto"/>
              <w:ind w:firstLine="0"/>
            </w:pPr>
            <w:r>
              <w:rPr>
                <w:sz w:val="20"/>
              </w:rPr>
              <w:t>II Importante</w:t>
            </w:r>
            <w:r>
              <w:rPr>
                <w:sz w:val="20"/>
              </w:rPr>
              <w:br/>
            </w:r>
            <w:r>
              <w:rPr>
                <w:sz w:val="20"/>
              </w:rPr>
              <w:br/>
              <w:t>Problema general</w:t>
            </w:r>
            <w:r>
              <w:rPr>
                <w:sz w:val="20"/>
              </w:rPr>
              <w:br/>
              <w:t>Los borradores regulatorios de vTaxi no acreditan una ruta validada de requisitos, responsables y evidencias para su formalización como plataforma de taxis concesionados en Nuevo León.</w:t>
            </w:r>
            <w:r>
              <w:rPr>
                <w:sz w:val="20"/>
              </w:rPr>
              <w:br/>
            </w:r>
            <w:r>
              <w:rPr>
                <w:sz w:val="20"/>
              </w:rPr>
              <w:br/>
              <w:t>Objetivo general</w:t>
            </w:r>
            <w:r>
              <w:rPr>
                <w:sz w:val="20"/>
              </w:rPr>
              <w:b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r w:rsidR="00B8658C" w14:paraId="66CE2F0A" w14:textId="77777777">
        <w:trPr>
          <w:cantSplit/>
          <w:jc w:val="center"/>
        </w:trPr>
        <w:tc>
          <w:tcPr>
            <w:tcW w:w="3096" w:type="dxa"/>
            <w:tcMar>
              <w:top w:w="100" w:type="dxa"/>
              <w:left w:w="100" w:type="dxa"/>
              <w:bottom w:w="100" w:type="dxa"/>
              <w:right w:w="100" w:type="dxa"/>
            </w:tcMar>
            <w:vAlign w:val="center"/>
          </w:tcPr>
          <w:p w14:paraId="1877F39C" w14:textId="77777777" w:rsidR="00B8658C" w:rsidRDefault="00395729">
            <w:pPr>
              <w:spacing w:after="60" w:line="252" w:lineRule="auto"/>
              <w:ind w:firstLine="0"/>
            </w:pPr>
            <w:r>
              <w:rPr>
                <w:sz w:val="20"/>
              </w:rPr>
              <w:t>III No importante</w:t>
            </w:r>
          </w:p>
        </w:tc>
        <w:tc>
          <w:tcPr>
            <w:tcW w:w="6264" w:type="dxa"/>
            <w:tcMar>
              <w:top w:w="100" w:type="dxa"/>
              <w:left w:w="100" w:type="dxa"/>
              <w:bottom w:w="100" w:type="dxa"/>
              <w:right w:w="100" w:type="dxa"/>
            </w:tcMar>
            <w:vAlign w:val="center"/>
          </w:tcPr>
          <w:p w14:paraId="4CC96FAD" w14:textId="77777777" w:rsidR="00B8658C" w:rsidRDefault="00395729">
            <w:pPr>
              <w:spacing w:after="60" w:line="252" w:lineRule="auto"/>
              <w:ind w:firstLine="0"/>
            </w:pPr>
            <w:r>
              <w:rPr>
                <w:sz w:val="20"/>
              </w:rPr>
              <w:t>IV No importante</w:t>
            </w:r>
          </w:p>
        </w:tc>
      </w:tr>
    </w:tbl>
    <w:p w14:paraId="0EEF81C1" w14:textId="77777777" w:rsidR="00395729" w:rsidRDefault="00395729"/>
    <w:sectPr w:rsidR="0039572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4031B" w14:textId="77777777" w:rsidR="00CF4059" w:rsidRDefault="00CF4059">
      <w:pPr>
        <w:spacing w:line="240" w:lineRule="auto"/>
      </w:pPr>
      <w:r>
        <w:separator/>
      </w:r>
    </w:p>
  </w:endnote>
  <w:endnote w:type="continuationSeparator" w:id="0">
    <w:p w14:paraId="249C6136" w14:textId="77777777" w:rsidR="00CF4059" w:rsidRDefault="00CF4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DF2" w14:textId="77777777" w:rsidR="00B55F17" w:rsidRDefault="00B55F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A1622" w14:textId="77777777" w:rsidR="00B55F17" w:rsidRDefault="00B55F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A4188" w14:textId="77777777" w:rsidR="00B55F17" w:rsidRDefault="00B55F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F7948" w14:textId="77777777" w:rsidR="00CF4059" w:rsidRDefault="00CF4059">
      <w:pPr>
        <w:spacing w:line="240" w:lineRule="auto"/>
      </w:pPr>
      <w:r>
        <w:separator/>
      </w:r>
    </w:p>
  </w:footnote>
  <w:footnote w:type="continuationSeparator" w:id="0">
    <w:p w14:paraId="7B391BED" w14:textId="77777777" w:rsidR="00CF4059" w:rsidRDefault="00CF4059">
      <w:pPr>
        <w:spacing w:line="240" w:lineRule="auto"/>
      </w:pPr>
      <w:r>
        <w:continuationSeparator/>
      </w:r>
    </w:p>
  </w:footnote>
  <w:footnote w:id="1">
    <w:p w14:paraId="4A2E56EA" w14:textId="77777777" w:rsidR="00B8658C" w:rsidRDefault="00395729">
      <w:r>
        <w:footnoteRef/>
      </w:r>
      <w:r>
        <w:rPr>
          <w:sz w:val="18"/>
        </w:rPr>
        <w:t xml:space="preserve"> Se utilizó GitHub Copilot para revisar la coherencia de los objetivos previamente formulados, redactar apoyos metodológicos y preparar los documentos. La asistencia automatizada no acredita revisión o aprobación docente ni sustituye la valoración crítica y la revisión final del estudiante.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505C7" w14:textId="77777777" w:rsidR="00B55F17" w:rsidRDefault="00B55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23A07"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65132"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122"/>
    <w:multiLevelType w:val="multilevel"/>
    <w:tmpl w:val="A69058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B678A5"/>
    <w:multiLevelType w:val="multilevel"/>
    <w:tmpl w:val="68C85430"/>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5728133">
    <w:abstractNumId w:val="1"/>
  </w:num>
  <w:num w:numId="2" w16cid:durableId="144935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0368C0"/>
    <w:rsid w:val="00296D41"/>
    <w:rsid w:val="003104C5"/>
    <w:rsid w:val="00395729"/>
    <w:rsid w:val="004B6D39"/>
    <w:rsid w:val="004E4A6D"/>
    <w:rsid w:val="00526E6F"/>
    <w:rsid w:val="005546B7"/>
    <w:rsid w:val="005D2F26"/>
    <w:rsid w:val="006F0C45"/>
    <w:rsid w:val="007807B0"/>
    <w:rsid w:val="00890E97"/>
    <w:rsid w:val="00890EF2"/>
    <w:rsid w:val="008A3FBF"/>
    <w:rsid w:val="009D42F1"/>
    <w:rsid w:val="00B55F17"/>
    <w:rsid w:val="00B8658C"/>
    <w:rsid w:val="00CC43CF"/>
    <w:rsid w:val="00CF4059"/>
    <w:rsid w:val="00EE521E"/>
    <w:rsid w:val="00F12628"/>
    <w:rsid w:val="00FA57BC"/>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1D31A"/>
  <w15:docId w15:val="{4AA134B3-84AE-4DC7-96D2-BB920DA5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31</Pages>
  <Words>8521</Words>
  <Characters>46871</Characters>
  <Application>Microsoft Office Word</Application>
  <DocSecurity>0</DocSecurity>
  <Lines>390</Lines>
  <Paragraphs>110</Paragraphs>
  <ScaleCrop>false</ScaleCrop>
  <Company/>
  <LinksUpToDate>false</LinksUpToDate>
  <CharactersWithSpaces>55282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9</dc:subject>
  <dc:creator>Martín Jonathan de la Cruz Muñoz</dc:creator>
  <cp:keywords>APA 7 índice automatizado investigación tablas figuras</cp:keywords>
  <dc:description/>
  <cp:lastModifiedBy>Jonathan Sysx</cp:lastModifiedBy>
  <cp:revision>10</cp:revision>
  <dcterms:created xsi:type="dcterms:W3CDTF">2025-10-04T21:58:00Z</dcterms:created>
  <dcterms:modified xsi:type="dcterms:W3CDTF">2026-10-14T00:07:00Z</dcterms:modified>
  <dc:language>en-US</dc:language>
</cp:coreProperties>
</file>