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Fichas de conceptos</w:t>
      </w:r>
    </w:p>
    <w:p>
      <w:r>
        <w:t>Archivo generado automáticamente. Las citas textuales se extrajeron de las fuentes de entrada.</w:t>
      </w:r>
    </w:p>
    <w:p>
      <w:pPr>
        <w:pStyle w:val="Heading2"/>
      </w:pPr>
      <w:r>
        <w:t>Ficha 01. aborto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1; notas-analiticas-S3.md, bloque 2</w:t>
      </w:r>
    </w:p>
    <w:p>
      <w:pPr>
        <w:pStyle w:val="Heading3"/>
      </w:pPr>
      <w:r>
        <w:t>notas-analiticas-S3.md — bloque 1 — similitud 0.1158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0.1102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2 — similitud 0.1097</w:t>
      </w:r>
    </w:p>
    <w:p>
      <w:pPr>
        <w:ind w:left="360"/>
      </w:pPr>
      <w:r>
        <w:t>“No equiparar inducir (influir en decision) con auxiliar (facilitar materialmente). **5. Dos solicitudes en CDMX.** A diez semanas la interrupcion voluntaria no cumple definicion temporal de aborto penal CPDF 144; obtener constancia medica y consentimiento. A dieciseis semanas el art.”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</w:t>
      </w:r>
    </w:p>
    <w:p>
      <w:pPr>
        <w:pStyle w:val="Heading2"/>
      </w:pPr>
      <w:r>
        <w:t>Ficha 02. atenuantes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03. circunstancias agravantes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0.0832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 Carlos/Pedro y Roberto/otra persona.** Carlos causa fractura, no se menciona muerte: lesiones CPDF 130 o CPF 288 y clasificacion ulterior.”</w:t>
      </w:r>
    </w:p>
    <w:p>
      <w:pPr>
        <w:pStyle w:val="Heading3"/>
      </w:pPr>
      <w:r>
        <w:t>notas-analiticas-S3.md — bloque 1 — similitud 0.0439</w:t>
      </w:r>
    </w:p>
    <w:p>
      <w:pPr>
        <w:ind w:left="360"/>
      </w:pPr>
      <w:r>
        <w:t>“Si el tercero ejecuta la muerte rige otra modalidad, no suicidio ejecutado por la victima. | | 2.3 Aborto | CPDF 144: interrupcion despues de semana 12; 145 consentimiento y realizacion; 146 falta de consentimiento; 148 fr. I excluyente por violacion; bien juridico y autonomia reproductiva deben ponderarse conjuntamente. | Certificacion de semanas de gestacion, consentimiento libre e informado y circunstancias de violacion.”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1 referencia(s) de baja similitud que podrían introducir ruido.</w:t>
      </w:r>
    </w:p>
    <w:p>
      <w:pPr>
        <w:pStyle w:val="Heading2"/>
      </w:pPr>
      <w:r>
        <w:t>Ficha 04. conducta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1; notas-analiticas-S3.md, bloque 2</w:t>
      </w:r>
    </w:p>
    <w:p>
      <w:pPr>
        <w:pStyle w:val="Heading3"/>
      </w:pPr>
      <w:r>
        <w:t>notas-analiticas-S3.md — bloque 2 — similitud 0.1497</w:t>
      </w:r>
    </w:p>
    <w:p>
      <w:pPr>
        <w:ind w:left="360"/>
      </w:pPr>
      <w:r>
        <w:t>“La planificacion solicita maximo ocho paginas, APA 7, una tabla con caso/figura/conducta/fundamento, razonamiento propio y declaracion del uso de IA. Producto TEX/PDF en raiz: borrador listo para revision, no constancia de envio.”</w:t>
      </w:r>
    </w:p>
    <w:p>
      <w:pPr>
        <w:pStyle w:val="Heading3"/>
      </w:pPr>
      <w:r>
        <w:t>notas-analiticas-S3.md — bloque 1 — similitud 0.1189</w:t>
      </w:r>
    </w:p>
    <w:p>
      <w:pPr>
        <w:ind w:left="360"/>
      </w:pPr>
      <w:r>
        <w:t>“Marco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 Dolo o culpa requieren prueba independiente.”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 Se agruparon varias referencias dentro de la misma fuente.</w:t>
      </w:r>
    </w:p>
    <w:p>
      <w:pPr>
        <w:pStyle w:val="Heading2"/>
      </w:pPr>
      <w:r>
        <w:t>Ficha 05. delitos vida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1; notas-analiticas-S3.md, bloque 2</w:t>
      </w:r>
    </w:p>
    <w:p>
      <w:pPr>
        <w:pStyle w:val="Heading3"/>
      </w:pPr>
      <w:r>
        <w:t>notas-analiticas-S3.md — bloque 1 — similitud 0.1063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0.0832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0.0783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pPr>
        <w:pStyle w:val="Heading3"/>
      </w:pPr>
      <w:r>
        <w:t>notas-analiticas-S3.md — bloque 2 — similitud 0.0417</w:t>
      </w:r>
    </w:p>
    <w:p>
      <w:pPr>
        <w:ind w:left="360"/>
      </w:pPr>
      <w:r>
        <w:t>“Persona fallecida y conocido.** Persuasion y suministro de medios pueden corresponder a induccion y auxilio CPDF 142 / CPF 312. Antitesis: la intencion previa de quitarse la vida hace incierto si persuasion fue determinante; probar cronologia y contenido de comunicaciones. Si el conocido hubiera ejecutado directamente la muerte seria otra modalidad del articulo; aqui el enunciado dice que fallece por actos propios.”</w:t>
      </w:r>
    </w:p>
    <w:p>
      <w:pPr>
        <w:pStyle w:val="Heading3"/>
      </w:pPr>
      <w:r>
        <w:t>notas-analiticas-S3.md — bloque 1 — similitud 0.0386</w:t>
      </w:r>
    </w:p>
    <w:p>
      <w:pPr>
        <w:ind w:left="360"/>
      </w:pPr>
      <w:r>
        <w:t>“Roberto causa lesiones seguidas de muerte: homicidio CPDF 123-124 o CPF 302-305 si el dictamen vincula la muerte a la lesion; antitesis: una causa independiente intercurrente o ausencia de imputacion del resultado impediria ese encuadre. Activos Carlos/Roberto, pasivos Pedro/segunda victima; bienes salud y vida respectivamente. Pueden investigarse 138, 129/314 CPF para rina o supuestos de culpa, pero el enunciado solo refiere una discusion/agresion, no bilateralidad fisica, superioridad o perturbacion extraordinaria.”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3 referencia(s) de baja similitud que podrían introducir ruido.</w:t>
      </w:r>
    </w:p>
    <w:p>
      <w:pPr>
        <w:pStyle w:val="Heading2"/>
      </w:pPr>
      <w:r>
        <w:t>Ficha 06. delitos vida integridad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0.0760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pPr>
        <w:pStyle w:val="Heading3"/>
      </w:pPr>
      <w:r>
        <w:t>notas-analiticas-S3.md — bloque 1 — similitud 0.0592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0.0474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0.0449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4 referencia(s) de baja similitud que podrían introducir ruido.</w:t>
      </w:r>
    </w:p>
    <w:p>
      <w:pPr>
        <w:pStyle w:val="Heading2"/>
      </w:pPr>
      <w:r>
        <w:t>Ficha 07. feminicidio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0.1102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 III) y relacion sexoafectiva (fr.”</w:t>
      </w:r>
    </w:p>
    <w:p>
      <w:pPr>
        <w:pStyle w:val="Heading3"/>
      </w:pPr>
      <w:r>
        <w:t>notas-analiticas-S3.md — bloque 1 — similitud 0.1097</w:t>
      </w:r>
    </w:p>
    <w:p>
      <w:pPr>
        <w:ind w:left="360"/>
      </w:pPr>
      <w:r>
        <w:t>“Ana/expareja.** Amenazas, control economico y agresiones durante la relacion pueden constituir violencia familiar CPDF 200; tras ruptura sigue protegida la expareja por su texto actual. Muerte de mujer mas antecedentes de violencia/amenazas y vinculo afectivo activan investigacion de feminicidio CPDF 148 Bis frs. III y V (o CPF 325 cuando sea aplicable).”</w:t>
      </w:r>
    </w:p>
    <w:p>
      <w:pPr>
        <w:pStyle w:val="Heading3"/>
      </w:pPr>
      <w:r>
        <w:t>notas-analiticas-S3.md — bloque 1 — similitud 0.1058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</w:t>
      </w:r>
    </w:p>
    <w:p>
      <w:pPr>
        <w:pStyle w:val="Heading2"/>
      </w:pPr>
      <w:r>
        <w:t>Ficha 08. Homicidio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0.1415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0.1080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pPr>
        <w:pStyle w:val="Heading3"/>
      </w:pPr>
      <w:r>
        <w:t>notas-analiticas-S3.md — bloque 1 — similitud 0.1053</w:t>
      </w:r>
    </w:p>
    <w:p>
      <w:pPr>
        <w:ind w:left="360"/>
      </w:pPr>
      <w:r>
        <w:t>“Antitesis: si solo quiso lesionar y no le es imputable la muerte en modalidad dolosa, no se presume la figura; comprobar dolo/culpa y causalidad. Diferencia con homicidio simple CPDF 123: parentesco y conocimiento legalmente exigidos; sin conocimiento, 125 remite al simple. No se acredita calificativa adicional por conflicto familiar. **3.”</w:t>
      </w:r>
    </w:p>
    <w:p>
      <w:pPr>
        <w:pStyle w:val="Heading3"/>
      </w:pPr>
      <w:r>
        <w:t>notas-analiticas-S3.md — bloque 1 — similitud 0.1018</w:t>
      </w:r>
    </w:p>
    <w:p>
      <w:pPr>
        <w:ind w:left="360"/>
      </w:pPr>
      <w:r>
        <w:t>“Antitesis: fractura no demuestra por si sola plazo de sanacion ni peligro vital; no etiquetar fraccion concreta. Roberto causa lesiones seguidas de muerte: homicidio CPDF 123-124 o CPF 302-305 si el dictamen vincula la muerte a la lesion; antitesis: una causa independiente intercurrente o ausencia de imputacion del resultado impediria ese encuadre. Activos Carlos/Roberto, pasivos Pedro/segunda victima; bienes salud y vida respectivamente.”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 Se agruparon varias referencias dentro de la misma fuente.</w:t>
      </w:r>
    </w:p>
    <w:p>
      <w:pPr>
        <w:pStyle w:val="Heading2"/>
      </w:pPr>
      <w:r>
        <w:t>Ficha 09. homicidio en razon de parentesco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0.1102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0.0874</w:t>
      </w:r>
    </w:p>
    <w:p>
      <w:pPr>
        <w:ind w:left="360"/>
      </w:pPr>
      <w:r>
        <w:t>“Antitesis: si solo quiso lesionar y no le es imputable la muerte en modalidad dolosa, no se presume la figura; comprobar dolo/culpa y causalidad. Diferencia con homicidio simple CPDF 123: parentesco y conocimiento legalmente exigidos; sin conocimiento, 125 remite al simple. No se acredita calificativa adicional por conflicto familiar. **3.”</w:t>
      </w:r>
    </w:p>
    <w:p>
      <w:pPr>
        <w:pStyle w:val="Heading3"/>
      </w:pPr>
      <w:r>
        <w:t>notas-analiticas-S3.md — bloque 1 — similitud 0.0334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1 referencia(s) de baja similitud que podrían introducir ruido.</w:t>
      </w:r>
    </w:p>
    <w:p>
      <w:pPr>
        <w:pStyle w:val="Heading2"/>
      </w:pPr>
      <w:r>
        <w:t>Ficha 10. homicidio razon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0.0915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0.0553</w:t>
      </w:r>
    </w:p>
    <w:p>
      <w:pPr>
        <w:ind w:left="360"/>
      </w:pPr>
      <w:r>
        <w:t>“Antitesis: si solo quiso lesionar y no le es imputable la muerte en modalidad dolosa, no se presume la figura; comprobar dolo/culpa y causalidad. Diferencia con homicidio simple CPDF 123: parentesco y conocimiento legalmente exigidos; sin conocimiento, 125 remite al simple. No se acredita calificativa adicional por conflicto familiar. **3.”</w:t>
      </w:r>
    </w:p>
    <w:p>
      <w:pPr>
        <w:pStyle w:val="Heading3"/>
      </w:pPr>
      <w:r>
        <w:t>notas-analiticas-S3.md — bloque 1 — similitud 0.0480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pPr>
        <w:pStyle w:val="Heading3"/>
      </w:pPr>
      <w:r>
        <w:t>notas-analiticas-S3.md — bloque 1 — similitud 0.0418</w:t>
      </w:r>
    </w:p>
    <w:p>
      <w:pPr>
        <w:ind w:left="360"/>
      </w:pPr>
      <w:r>
        <w:t>“Antitesis: fractura no demuestra por si sola plazo de sanacion ni peligro vital; no etiquetar fraccion concreta. Roberto causa lesiones seguidas de muerte: homicidio CPDF 123-124 o CPF 302-305 si el dictamen vincula la muerte a la lesion; antitesis: una causa independiente intercurrente o ausencia de imputacion del resultado impediria ese encuadre. Activos Carlos/Roberto, pasivos Pedro/segunda victima; bienes salud y vida respectivamente.”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3 referencia(s) de baja similitud que podrían introducir ruido.</w:t>
      </w:r>
    </w:p>
    <w:p>
      <w:pPr>
        <w:pStyle w:val="Heading2"/>
      </w:pPr>
      <w:r>
        <w:t>Ficha 11. integridad corporal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0.0581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Hay 1 referencia(s) de baja similitud que podrían introducir ruido.</w:t>
      </w:r>
    </w:p>
    <w:p>
      <w:pPr>
        <w:pStyle w:val="Heading2"/>
      </w:pPr>
      <w:r>
        <w:t>Ficha 12. lesiones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0.2625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</w:t>
      </w:r>
    </w:p>
    <w:p>
      <w:pPr>
        <w:pStyle w:val="Heading2"/>
      </w:pPr>
      <w:r>
        <w:t>Ficha 13. medios de ejecucion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1; notas-analiticas-S3.md, bloque 2</w:t>
      </w:r>
    </w:p>
    <w:p>
      <w:pPr>
        <w:pStyle w:val="Heading3"/>
      </w:pPr>
      <w:r>
        <w:t>notas-analiticas-S3.md — bloque 1 — similitud 0.0507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0.0458</w:t>
      </w:r>
    </w:p>
    <w:p>
      <w:pPr>
        <w:ind w:left="360"/>
      </w:pPr>
      <w:r>
        <w:t>“III) y relacion sexoafectiva (fr. V) son indicios tipificados que deben acreditarse y conectarse con el hecho; investigar con perspectiva de genero segun AR 554/2013 sin presuncion de culpabilidad. | | 2.6 Violencia familiar | CPDF 200 reformado 24-12-2025 comprende pareja/expareja y violencia fisica, psicoemocional, economica, etc.; CPF 343 Bis regula otro ambito. | Delimitar cada episodio, relacion de pareja pasada o presente, control, daño y medios de prueba (mensajes, testimonios, reportes).”</w:t>
      </w:r>
    </w:p>
    <w:p>
      <w:pPr>
        <w:pStyle w:val="Heading3"/>
      </w:pPr>
      <w:r>
        <w:t>notas-analiticas-S3.md — bloque 2 — similitud 0.0453</w:t>
      </w:r>
    </w:p>
    <w:p>
      <w:pPr>
        <w:ind w:left="360"/>
      </w:pPr>
      <w:r>
        <w:t>“**4. Persona fallecida y conocido.** Persuasion y suministro de medios pueden corresponder a induccion y auxilio CPDF 142 / CPF 312. Antitesis: la intencion previa de quitarse la vida hace incierto si persuasion fue determinante; probar cronologia y contenido de comunicaciones.”</w:t>
      </w:r>
    </w:p>
    <w:p>
      <w:pPr>
        <w:pStyle w:val="Heading3"/>
      </w:pPr>
      <w:r>
        <w:t>notas-analiticas-S3.md — bloque 1 — similitud 0.0453</w:t>
      </w:r>
    </w:p>
    <w:p>
      <w:pPr>
        <w:ind w:left="360"/>
      </w:pPr>
      <w:r>
        <w:t>“Solicitar historia clinica, necropsia, testimonios y medios utilizados. **2. Miguel y su padre.** Hipotesis CPDF 125 (o CPF 323, si aplicara fuero federal): muerte de ascendiente en linea recta, vinculo y conocimiento acreditado en el supuesto; el ataque intencional no equivale necesariamente a dolo de matar.”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4 referencia(s) de baja similitud que podrían introducir ruido.</w:t>
      </w:r>
    </w:p>
    <w:p>
      <w:pPr>
        <w:pStyle w:val="Heading2"/>
      </w:pPr>
      <w:r>
        <w:t>Ficha 14. objeto</w:t>
      </w:r>
    </w:p>
    <w:p>
      <w:r>
        <w:rPr>
          <w:b/>
        </w:rPr>
        <w:t xml:space="preserve">Fuentes: </w:t>
      </w:r>
      <w:r>
        <w:t>Sin fuentes detectadas</w:t>
      </w:r>
    </w:p>
    <w:p>
      <w:r>
        <w:rPr>
          <w:b/>
        </w:rPr>
        <w:t xml:space="preserve">Ubicaciones: </w:t>
      </w:r>
      <w:r>
        <w:t>Sin ubicaciones detectadas</w:t>
      </w:r>
    </w:p>
    <w:p>
      <w:r>
        <w:t>No se localizaron citas textuales por encima del umbral configurado.</w:t>
      </w:r>
    </w:p>
    <w:p>
      <w:r>
        <w:rPr>
          <w:b/>
        </w:rPr>
        <w:t xml:space="preserve">Observación automática: </w:t>
      </w:r>
      <w:r>
        <w:t>No se localizaron fragmentos por encima del umbral configurado. Conviene revisar el concepto o ampliar el corpus.</w:t>
      </w:r>
    </w:p>
    <w:p>
      <w:pPr>
        <w:pStyle w:val="Heading2"/>
      </w:pPr>
      <w:r>
        <w:t>Ficha 15. participacion en el suicidio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0.1333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</w:t>
      </w:r>
    </w:p>
    <w:p>
      <w:pPr>
        <w:pStyle w:val="Heading2"/>
      </w:pPr>
      <w:r>
        <w:t>Ficha 16. razon parentesco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0.0660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0.0653</w:t>
      </w:r>
    </w:p>
    <w:p>
      <w:pPr>
        <w:ind w:left="360"/>
      </w:pPr>
      <w:r>
        <w:t>“Antitesis: si solo quiso lesionar y no le es imputable la muerte en modalidad dolosa, no se presume la figura; comprobar dolo/culpa y causalidad. Diferencia con homicidio simple CPDF 123: parentesco y conocimiento legalmente exigidos; sin conocimiento, 125 remite al simple. No se acredita calificativa adicional por conflicto familiar. **3.”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2 referencia(s) de baja similitud que podrían introducir ruido.</w:t>
      </w:r>
    </w:p>
    <w:p>
      <w:pPr>
        <w:pStyle w:val="Heading2"/>
      </w:pPr>
      <w:r>
        <w:t>Ficha 17. sujetos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0.1275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</w:t>
      </w:r>
    </w:p>
    <w:p>
      <w:pPr>
        <w:pStyle w:val="Heading2"/>
      </w:pPr>
      <w:r>
        <w:t>Ficha 18. vida integridad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0.0760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pPr>
        <w:pStyle w:val="Heading3"/>
      </w:pPr>
      <w:r>
        <w:t>notas-analiticas-S3.md — bloque 1 — similitud 0.0592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0.0474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0.0449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4 referencia(s) de baja similitud que podrían introducir ruido.</w:t>
      </w:r>
    </w:p>
    <w:p>
      <w:pPr>
        <w:pStyle w:val="Heading2"/>
      </w:pPr>
      <w:r>
        <w:t>Ficha 19. vida integridad corporal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0.0760</w:t>
      </w:r>
    </w:p>
    <w:p>
      <w:pPr>
        <w:ind w:left="360"/>
      </w:pPr>
      <w:r>
        <w:t>“Valorar concurso con lesiones o feminicidio sin duplicar automaticamente hechos. | | 2.7 Lesiones | Danio o alteracion de salud: CPDF 130 / CPF 288; bien integridad y salud. | Dictamen de fractura, tiempo de sanacion, peligro vital y secuelas para determinar fraccion de art. 130; CPDF 131/138 segun circunstancias; no inferir agravantes de una discusion. | Cinco casos: tesis, antitesis y prueba relevante **1.”</w:t>
      </w:r>
    </w:p>
    <w:p>
      <w:pPr>
        <w:pStyle w:val="Heading3"/>
      </w:pPr>
      <w:r>
        <w:t>notas-analiticas-S3.md — bloque 1 — similitud 0.0592</w:t>
      </w:r>
    </w:p>
    <w:p>
      <w:pPr>
        <w:ind w:left="360"/>
      </w:pPr>
      <w:r>
        <w:t>“AR 267/2023 cuestiona criminalizacion federal de aborto voluntario (CPF 330-334), no se debe confundir con habilitacion automatica de toda practica fuera de CDMX. | | 2.4 Parentesco | Homicidio de ascendiente con conocimiento del vinculo: CPDF 125 / CPF 323; vida, sujeto pasivo calificado y conocimiento exigido. | Registro civil para filiacion, comunicaciones para conocimiento, necropsia y dolo de privacion de vida. Si falta conocimiento, CPDF 125 remite a homicidio simple. | | 2.5 Feminicidio | Privar de la vida a una mujer por razones de genero: CPDF 148 Bis / CPF 325. | En CPDF, antecedentes de amenazas/violencia (fr.”</w:t>
      </w:r>
    </w:p>
    <w:p>
      <w:pPr>
        <w:pStyle w:val="Heading3"/>
      </w:pPr>
      <w:r>
        <w:t>notas-analiticas-S3.md — bloque 1 — similitud 0.0474</w:t>
      </w:r>
    </w:p>
    <w:p>
      <w:pPr>
        <w:ind w:left="360"/>
      </w:pPr>
      <w:r>
        <w:t>“Calificacion local: 138 (ventaja, traicion, alevosia, etc.); rina 129 requiere contienda fisica, no mera discusion. | | 2.2 Suicidio | Ayudar o inducir a que otra persona se prive de la vida: 142 CPDF / 312 CPF; activo quien interviene, persona destinataria quien ejecuta; bien vida. | Diferenciar persuasion que causa/refuerza decision y prestacion de medios; documentar mensajes, capacidad de autodeterminarse, causalidad y actos propios de la persona fallecida. Si el tercero ejecuta la muerte rige otra modalidad, no suicidio ejecutado por la victima. | | 2.3 Aborto | CPDF 144: interrupcion despues de semana 12; 145 consentimiento y realizacion; 146 falta de consentimiento; 148 fr.”</w:t>
      </w:r>
    </w:p>
    <w:p>
      <w:pPr>
        <w:pStyle w:val="Heading3"/>
      </w:pPr>
      <w:r>
        <w:t>notas-analiticas-S3.md — bloque 1 — similitud 0.0449</w:t>
      </w:r>
    </w:p>
    <w:p>
      <w:pPr>
        <w:ind w:left="360"/>
      </w:pPr>
      <w:r>
        <w:t>“La comparacion con CPF es ilustrativa, sin presumir que un mismo hecho sea federal. Marco conceptual de los siete temas | Tema | Tipo, bien y sujetos | Pregunta decisiva, prueba y alternativas | | --- | --- | --- | | 2.1 Homicidio | Privar de la vida a otro: art. 123 CPDF / 302 CPF; activo cualquiera, pasivo persona viva; bien vida. | Acta de defuncion, necropsia y nexo con la conducta (124 CPDF; 303-305 CPF).”</w:t>
      </w:r>
    </w:p>
    <w:p>
      <w:r>
        <w:rPr>
          <w:b/>
        </w:rPr>
        <w:t xml:space="preserve">Observación automática: </w:t>
      </w:r>
      <w:r>
        <w:t>La ficha presenta coincidencias débiles; se recomienda validar manualmente las citas. Se agruparon varias referencias dentro de la misma fuente. Hay 4 referencia(s) de baja similitud que podrían introducir ruido.</w:t>
      </w:r>
    </w:p>
    <w:p>
      <w:pPr>
        <w:pStyle w:val="Heading2"/>
      </w:pPr>
      <w:r>
        <w:t>Ficha 20. violencia familiar</w:t>
      </w:r>
    </w:p>
    <w:p>
      <w:r>
        <w:rPr>
          <w:b/>
        </w:rPr>
        <w:t xml:space="preserve">Fuentes: </w:t>
      </w:r>
      <w:r>
        <w:t>notas-analiticas-S3.md</w:t>
      </w:r>
    </w:p>
    <w:p>
      <w:r>
        <w:rPr>
          <w:b/>
        </w:rPr>
        <w:t xml:space="preserve">Ubicaciones: </w:t>
      </w:r>
      <w:r>
        <w:t>notas-analiticas-S3.md, bloque 1</w:t>
      </w:r>
    </w:p>
    <w:p>
      <w:pPr>
        <w:pStyle w:val="Heading3"/>
      </w:pPr>
      <w:r>
        <w:t>notas-analiticas-S3.md — bloque 1 — similitud 0.2127</w:t>
      </w:r>
    </w:p>
    <w:p>
      <w:pPr>
        <w:ind w:left="360"/>
      </w:pPr>
      <w:r>
        <w:t>“III) y relacion sexoafectiva (fr. V) son indicios tipificados que deben acreditarse y conectarse con el hecho; investigar con perspectiva de genero segun AR 554/2013 sin presuncion de culpabilidad. | | 2.6 Violencia familiar | CPDF 200 reformado 24-12-2025 comprende pareja/expareja y violencia fisica, psicoemocional, economica, etc.; CPF 343 Bis regula otro ambito. | Delimitar cada episodio, relacion de pareja pasada o presente, control, daño y medios de prueba (mensajes, testimonios, reportes).”</w:t>
      </w:r>
    </w:p>
    <w:p>
      <w:pPr>
        <w:pStyle w:val="Heading3"/>
      </w:pPr>
      <w:r>
        <w:t>notas-analiticas-S3.md — bloque 1 — similitud 0.2108</w:t>
      </w:r>
    </w:p>
    <w:p>
      <w:pPr>
        <w:ind w:left="360"/>
      </w:pPr>
      <w:r>
        <w:t>“No se acredita calificativa adicional por conflicto familiar. **3. Ana/expareja.** Amenazas, control economico y agresiones durante la relacion pueden constituir violencia familiar CPDF 200; tras ruptura sigue protegida la expareja por su texto actual. Muerte de mujer mas antecedentes de violencia/amenazas y vinculo afectivo activan investigacion de feminicidio CPDF 148 Bis frs.”</w:t>
      </w:r>
    </w:p>
    <w:p>
      <w:r>
        <w:rPr>
          <w:b/>
        </w:rPr>
        <w:t xml:space="preserve">Observación automática: </w:t>
      </w:r>
      <w:r>
        <w:t>La ficha presenta coincidencias útiles, pero conviene revisar la pertinencia de cada cita. Se agruparon varias referencias dentro de la misma fuente.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