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a-iiie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</w:rPr>
        <w:t>Instituto de Investigación, Innovación y Estudios de Posgrado para la Educación del Estado de Nuevo León</w:t>
      </w:r>
    </w:p>
    <w:p>
      <w:pPr>
        <w:jc w:val="center"/>
      </w:pPr>
      <w:r>
        <w:rPr>
          <w:rFonts w:ascii="Arial" w:hAnsi="Arial"/>
        </w:rPr>
        <w:t>Maestría en Aprendizaje y Enseñanza de las Matemáticas</w:t>
      </w:r>
    </w:p>
    <w:p>
      <w:pPr>
        <w:pStyle w:val="Title"/>
        <w:jc w:val="center"/>
      </w:pPr>
      <w:r>
        <w:rPr>
          <w:rFonts w:ascii="Arial" w:hAnsi="Arial"/>
        </w:rPr>
        <w:t>Siete habilidades para el aprendizaje de las matemáticas</w:t>
      </w:r>
    </w:p>
    <w:p>
      <w:pPr>
        <w:jc w:val="center"/>
      </w:pPr>
      <w:r>
        <w:rPr>
          <w:rFonts w:ascii="Arial" w:hAnsi="Arial"/>
        </w:rPr>
        <w:t>Actividad 5</w:t>
      </w:r>
    </w:p>
    <w:p>
      <w:pPr>
        <w:jc w:val="center"/>
      </w:pPr>
      <w:r>
        <w:rPr>
          <w:rFonts w:ascii="Arial" w:hAnsi="Arial"/>
        </w:rPr>
        <w:t>Fundamentos para la enseñanza y el aprendizaje I</w:t>
      </w:r>
    </w:p>
    <w:p>
      <w:pPr>
        <w:jc w:val="center"/>
      </w:pPr>
      <w:r>
        <w:rPr>
          <w:rFonts w:ascii="Arial" w:hAnsi="Arial"/>
        </w:rPr>
        <w:t>Mtro. Martín Jonathan de la Cruz Muñoz</w:t>
      </w:r>
    </w:p>
    <w:p>
      <w:pPr>
        <w:jc w:val="center"/>
      </w:pPr>
      <w:r>
        <w:rPr>
          <w:rFonts w:ascii="Arial" w:hAnsi="Arial"/>
        </w:rPr>
        <w:t>Matrícula 00874</w:t>
      </w:r>
    </w:p>
    <w:p>
      <w:pPr>
        <w:jc w:val="center"/>
      </w:pPr>
      <w:r>
        <w:rPr>
          <w:rFonts w:ascii="Arial" w:hAnsi="Arial"/>
        </w:rPr>
        <w:t>13 de octubre de 2026 · Monterrey, Nuevo León</w:t>
      </w:r>
    </w:p>
    <w:p>
      <w:r>
        <w:rPr>
          <w:rFonts w:ascii="Arial" w:hAnsi="Arial"/>
        </w:rPr>
        <w:br w:type="page"/>
      </w:r>
    </w:p>
    <w:bookmarkStart w:id="20" w:name="habilidades-para-comprender-y-actuar"/>
    <w:p>
      <w:pPr>
        <w:pStyle w:val="Heading1"/>
        <w:keepNext/>
      </w:pPr>
      <w:r>
        <w:rPr>
          <w:rFonts w:ascii="Arial" w:hAnsi="Arial"/>
        </w:rPr>
        <w:t xml:space="preserve">Habilidades para comprender y actuar</w:t>
      </w:r>
    </w:p>
    <w:p>
      <w:pPr>
        <w:pStyle w:val="FirstParagraph"/>
      </w:pPr>
      <w:r>
        <w:rPr>
          <w:rFonts w:ascii="Arial" w:hAnsi="Arial"/>
        </w:rPr>
        <w:t xml:space="preserve">Las siete habilidades presentadas por Wagner en la lectura de la plataforma vinculan pensamiento, colaboración, iniciativa, comunicación e interpretación de información. Su desarrollo exige tareas que permitan tomar decisiones, explicar razones y revisar propuestas. En mi contexto de CONALEP, CECyTE e ingenierías, propongo integrarlas en un problema de calibración, conservando atención a la persona y a sus condiciones de participación.</w:t>
      </w:r>
    </w:p>
    <w:bookmarkEnd w:id="20"/>
    <w:bookmarkStart w:id="24" w:name="mapa-mental"/>
    <w:p>
      <w:pPr>
        <w:pStyle w:val="Heading1"/>
        <w:keepNext/>
      </w:pPr>
      <w:r>
        <w:rPr>
          <w:rFonts w:ascii="Arial" w:hAnsi="Arial"/>
        </w:rPr>
        <w:t xml:space="preserve">Mapa mental</w:t>
      </w:r>
    </w:p>
    <w:p xmlns:a="http://schemas.openxmlformats.org/drawingml/2006/main" xmlns:pic="http://schemas.openxmlformats.org/drawingml/2006/picture">
      <w:pPr>
        <w:pStyle w:val="FirstParagraph"/>
      </w:pPr>
      <w:r>
        <w:rPr>
          <w:rFonts w:ascii="Arial" w:hAnsi="Arial"/>
        </w:rPr>
        <w:drawing>
          <wp:inline>
            <wp:extent cx="5067300" cy="3601942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C:/Users/Sysx/Documents/AulaTeX-Academico/.aulatex-temp/iiiepe-platform/native/siete-habilidad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601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2" w:name="cómo-propongo-promoverlas-en-matemáticas"/>
    <w:p>
      <w:pPr>
        <w:pStyle w:val="Heading1"/>
        <w:keepNext/>
      </w:pPr>
      <w:r>
        <w:rPr>
          <w:rFonts w:ascii="Arial" w:hAnsi="Arial"/>
        </w:rPr>
        <w:t xml:space="preserve">Cómo propongo promoverlas en matemáticas</w:t>
      </w:r>
    </w:p>
    <w:bookmarkStart w:id="25" w:name="Xc292d900e8467990b998c6769ac1388e4d7b311"/>
    <w:p>
      <w:pPr>
        <w:pStyle w:val="Heading2"/>
        <w:keepNext/>
      </w:pPr>
      <w:r>
        <w:rPr>
          <w:rFonts w:ascii="Arial" w:hAnsi="Arial"/>
        </w:rPr>
        <w:t xml:space="preserve">Pensamiento crítico y resolución de problemas</w:t>
      </w:r>
    </w:p>
    <w:p>
      <w:pPr>
        <w:pStyle w:val="FirstParagraph"/>
      </w:pPr>
      <w:r>
        <w:rPr>
          <w:rFonts w:ascii="Arial" w:hAnsi="Arial"/>
        </w:rPr>
        <w:t xml:space="preserve">Plantearía si un sensor mantiene una relación proporcional entre lectura y referencia. El estudiante debe distinguir cociente constante de una relación con desplazamiento inicial, justificar el modelo y examinar un dato discrepante. La evidencia es una explicación que conecte tabla, gráfica y ecuación; acertar un valor aislado no basta.</w:t>
      </w:r>
    </w:p>
    <w:bookmarkEnd w:id="25"/>
    <w:bookmarkStart w:id="26" w:name="colaboración-y-liderazgo"/>
    <w:p>
      <w:pPr>
        <w:pStyle w:val="Heading2"/>
        <w:keepNext/>
      </w:pPr>
      <w:r>
        <w:rPr>
          <w:rFonts w:ascii="Arial" w:hAnsi="Arial"/>
        </w:rPr>
        <w:t xml:space="preserve">Colaboración y liderazgo</w:t>
      </w:r>
    </w:p>
    <w:p>
      <w:pPr>
        <w:pStyle w:val="FirstParagraph"/>
      </w:pPr>
      <w:r>
        <w:rPr>
          <w:rFonts w:ascii="Arial" w:hAnsi="Arial"/>
        </w:rPr>
        <w:t xml:space="preserve">Organizaría equipos con roles de medición, registro, cálculo y explicación, que roten. Cada integrante tendría que explicar una decisión compartida. El liderazgo se valoraría por facilitar participación y acuerdos sustentados, no por monopolizar la herramienta o imponer una respuesta.</w:t>
      </w:r>
    </w:p>
    <w:bookmarkEnd w:id="26"/>
    <w:bookmarkStart w:id="27" w:name="agilidad-y-adaptabilidad"/>
    <w:p>
      <w:pPr>
        <w:pStyle w:val="Heading2"/>
        <w:keepNext/>
      </w:pPr>
      <w:r>
        <w:rPr>
          <w:rFonts w:ascii="Arial" w:hAnsi="Arial"/>
        </w:rPr>
        <w:t xml:space="preserve">Agilidad y adaptabilidad</w:t>
      </w:r>
    </w:p>
    <w:p>
      <w:pPr>
        <w:pStyle w:val="FirstParagraph"/>
      </w:pPr>
      <w:r>
        <w:rPr>
          <w:rFonts w:ascii="Arial" w:hAnsi="Arial"/>
        </w:rPr>
        <w:t xml:space="preserve">Introduciría una condición nueva, como un cambio de escala o una lectura con sesgo, para que revisen el modelo. Adaptarse no significa modificar datos para obtener el resultado esperado; exige reconocer qué supuesto dejó de cumplirse y justificar una corrección.</w:t>
      </w:r>
    </w:p>
    <w:bookmarkEnd w:id="27"/>
    <w:bookmarkStart w:id="28" w:name="iniciativa-y-espíritu-empresarial"/>
    <w:p>
      <w:pPr>
        <w:pStyle w:val="Heading2"/>
        <w:keepNext/>
      </w:pPr>
      <w:r>
        <w:rPr>
          <w:rFonts w:ascii="Arial" w:hAnsi="Arial"/>
        </w:rPr>
        <w:t xml:space="preserve">Iniciativa y espíritu empresarial</w:t>
      </w:r>
    </w:p>
    <w:p>
      <w:pPr>
        <w:pStyle w:val="FirstParagraph"/>
      </w:pPr>
      <w:r>
        <w:rPr>
          <w:rFonts w:ascii="Arial" w:hAnsi="Arial"/>
        </w:rPr>
        <w:t xml:space="preserve">Invitaría a proponer una mejora de bajo costo al procedimiento de medición, comparando recursos y beneficio esperado. La iniciativa debe incluir prueba y responsabilidad, no solo una idea atractiva. El criterio sería explicar por qué la propuesta es viable y qué evidencia permitiría revisarla.</w:t>
      </w:r>
    </w:p>
    <w:bookmarkEnd w:id="28"/>
    <w:bookmarkStart w:id="29" w:name="comunicación-oral-y-escrita-eficaz"/>
    <w:p>
      <w:pPr>
        <w:pStyle w:val="Heading2"/>
        <w:keepNext/>
      </w:pPr>
      <w:r>
        <w:rPr>
          <w:rFonts w:ascii="Arial" w:hAnsi="Arial"/>
        </w:rPr>
        <w:t xml:space="preserve">Comunicación oral y escrita eficaz</w:t>
      </w:r>
    </w:p>
    <w:p>
      <w:pPr>
        <w:pStyle w:val="FirstParagraph"/>
      </w:pPr>
      <w:r>
        <w:rPr>
          <w:rFonts w:ascii="Arial" w:hAnsi="Arial"/>
        </w:rPr>
        <w:t xml:space="preserve">Pediría un informe breve con problema, procedimiento, representación y conclusión, seguido de una explicación oral. El público debe comprender qué se calculó, con qué unidades y bajo qué condiciones. Una devolución entre pares revisaría si la conclusión se sostiene en los datos.</w:t>
      </w:r>
    </w:p>
    <w:bookmarkEnd w:id="29"/>
    <w:bookmarkStart w:id="30" w:name="acceso-a-la-información-y-análisis"/>
    <w:p>
      <w:pPr>
        <w:pStyle w:val="Heading2"/>
        <w:keepNext/>
      </w:pPr>
      <w:r>
        <w:rPr>
          <w:rFonts w:ascii="Arial" w:hAnsi="Arial"/>
        </w:rPr>
        <w:t xml:space="preserve">Acceso a la información y análisis</w:t>
      </w:r>
    </w:p>
    <w:p>
      <w:pPr>
        <w:pStyle w:val="FirstParagraph"/>
      </w:pPr>
      <w:r>
        <w:rPr>
          <w:rFonts w:ascii="Arial" w:hAnsi="Arial"/>
        </w:rPr>
        <w:t xml:space="preserve">Compararía un manual, una lectura académica y una página sin autor identificable. Los estudiantes revisarían procedencia, fecha, unidades y ámbito de aplicación. Encontrar una fórmula no permite usarla sin comprobar si representa el fenómeno y las condiciones del problema.</w:t>
      </w:r>
    </w:p>
    <w:bookmarkEnd w:id="30"/>
    <w:bookmarkStart w:id="31" w:name="curiosidad-e-imaginación"/>
    <w:p>
      <w:pPr>
        <w:pStyle w:val="Heading2"/>
        <w:keepNext/>
      </w:pPr>
      <w:r>
        <w:rPr>
          <w:rFonts w:ascii="Arial" w:hAnsi="Arial"/>
        </w:rPr>
        <w:t xml:space="preserve">Curiosidad e imaginación</w:t>
      </w:r>
    </w:p>
    <w:p>
      <w:pPr>
        <w:pStyle w:val="FirstParagraph"/>
      </w:pPr>
      <w:r>
        <w:rPr>
          <w:rFonts w:ascii="Arial" w:hAnsi="Arial"/>
        </w:rPr>
        <w:t xml:space="preserve">Solicitaría dos estrategias para interpretar o resolver el problema: gráfica y algebraica, por ejemplo. La imaginación no se limita a decorar el producto; consiste en explorar relaciones y formular preguntas nuevas. Las alternativas se compararían por claridad, validez y límites.</w:t>
      </w:r>
    </w:p>
    <w:bookmarkEnd w:id="31"/>
    <w:bookmarkEnd w:id="32"/>
    <w:bookmarkStart w:id="33" w:name="X368d4b2d403b87e48dff9edecdfe7801a109e71"/>
    <w:p>
      <w:pPr>
        <w:pStyle w:val="Heading1"/>
        <w:keepNext/>
      </w:pPr>
      <w:r>
        <w:rPr>
          <w:rFonts w:ascii="Arial" w:hAnsi="Arial"/>
        </w:rPr>
        <w:t xml:space="preserve">Un diseño matemático que hace visibles las habilidades</w:t>
      </w:r>
    </w:p>
    <w:p>
      <w:pPr>
        <w:pStyle w:val="FirstParagraph"/>
      </w:pPr>
      <w:r>
        <w:rPr>
          <w:rFonts w:ascii="Arial" w:hAnsi="Arial"/>
        </w:rPr>
        <w:t xml:space="preserve">Propongo estudiar la temperatura de un proceso didáctico mediante el modelo</w:t>
      </w:r>
      <w:r>
        <w:rPr>
          <w:rFonts w:ascii="Arial" w:hAnsi="Arial"/>
        </w:rPr>
        <w:t xml:space="preserve"> </w:t>
      </w:r>
      <m:oMath>
        <m:r>
          <m:t>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+</m:t>
        </m:r>
        <m:r>
          <m:t>3</m:t>
        </m:r>
        <m:r>
          <m:t>t</m:t>
        </m:r>
      </m:oMath>
      <w:r>
        <w:rPr>
          <w:rFonts w:ascii="Arial" w:hAnsi="Arial"/>
        </w:rPr>
        <w:t xml:space="preserve">, con</w:t>
      </w:r>
      <w:r>
        <w:rPr>
          <w:rFonts w:ascii="Arial" w:hAnsi="Arial"/>
        </w:rPr>
        <w:t xml:space="preserve"> </w:t>
      </w:r>
      <m:oMath>
        <m:r>
          <m:t>t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 minutos y</w:t>
      </w:r>
      <w:r>
        <w:rPr>
          <w:rFonts w:ascii="Arial" w:hAnsi="Arial"/>
        </w:rPr>
        <w:t xml:space="preserve"> </w:t>
      </w:r>
      <m:oMath>
        <m:r>
          <m:t>T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 grados Celsius, durante un intervalo definido. A los ocho minutos,</w:t>
      </w:r>
      <w:r>
        <w:rPr>
          <w:rFonts w:ascii="Arial" w:hAnsi="Arial"/>
        </w:rP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44</m:t>
        </m:r>
      </m:oMath>
      <w:r>
        <w:rPr>
          <w:rFonts w:ascii="Arial" w:hAnsi="Arial"/>
        </w:rPr>
        <w:t xml:space="preserve">; para alcanzar 50,</w:t>
      </w:r>
      <w:r>
        <w:rPr>
          <w:rFonts w:ascii="Arial" w:hAnsi="Arial"/>
        </w:rPr>
        <w:t xml:space="preserve"> </w:t>
      </w:r>
      <m:oMath>
        <m:r>
          <m:t>20</m:t>
        </m:r>
        <m:r>
          <m:rPr>
            <m:sty m:val="p"/>
          </m:rPr>
          <m:t>+</m:t>
        </m:r>
        <m:r>
          <m:t>3</m:t>
        </m:r>
        <m:r>
          <m:t>t</m:t>
        </m:r>
        <m:r>
          <m:rPr>
            <m:sty m:val="p"/>
          </m:rPr>
          <m:t>=</m:t>
        </m:r>
        <m:r>
          <m:t>50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conduce a</w:t>
      </w:r>
      <w:r>
        <w:rPr>
          <w:rFonts w:ascii="Arial" w:hAnsi="Arial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rPr>
          <w:rFonts w:ascii="Arial" w:hAnsi="Arial"/>
        </w:rPr>
        <w:t xml:space="preserve">. El modelo es ilustrativo y no representa la dinámica de un equipo industrial real.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El pensamiento crítico aparece al preguntar si el crecimiento puede mantenerse indefinidamente; la colaboración, al distribuir y revisar representaciones; la adaptabilidad, al incorporar un cambio de pendiente; la iniciativa, al proponer una prueba; la comunicación, al explicar la ecuación; el análisis de información, al revisar procedencia y unidades; y la curiosidad, al comparar modelos alternativos. La habilidad se reconoce en una acción vinculada con el contenido, no en una etiqueta agregada a la planeación.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Wagner (s. f.) permite examinar la distancia entre memorizar vocabulario y utilizarlo para resolver problemas. En mi contexto, el rigor técnico exige que el estudiante justifique una hipótesis; la perspectiva humanista exige condiciones para que todos puedan formularla y revisarla. El ejemplo anterior muestra cómo diseñaría esa integración y permite distinguirla de los resultados reales que habría que documentar al aplicarla.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Evidencia que se solicitaría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la pendiente 3 y el valor inicial 20 con unidades.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Resuelve un modelo con otra pendiente y compara el tiempo.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 una tabla y una conclusión que no exceda el intervalo del modelo.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Colaboración y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una aportación propia y una corrección basada en una devolución.</w:t>
            </w:r>
          </w:p>
        </w:tc>
      </w:tr>
    </w:tbl>
    <w:bookmarkEnd w:id="33"/>
    <w:bookmarkStart w:id="34" w:name="fundamentación-y-postura-docente"/>
    <w:p>
      <w:pPr>
        <w:pStyle w:val="Heading1"/>
        <w:keepNext/>
      </w:pPr>
      <w:r>
        <w:rPr>
          <w:rFonts w:ascii="Arial" w:hAnsi="Arial"/>
        </w:rPr>
        <w:t xml:space="preserve">Fundamentación y postura docente</w:t>
      </w:r>
    </w:p>
    <w:p>
      <w:pPr>
        <w:pStyle w:val="FirstParagraph"/>
      </w:pPr>
      <w:r>
        <w:rPr>
          <w:rFonts w:ascii="Arial" w:hAnsi="Arial"/>
        </w:rPr>
        <w:t xml:space="preserve">La lectura de Wagner (s. f.) permite cuestionar tareas que exigen recordar información sin utilizarla. Mi interpretación es que las habilidades deben desarrollarse dentro del contenido: argumentar un modelo requiere conocimiento matemático, y colaborar requiere una tarea que necesite escuchar y contrastar. No sustituiría el contenido por habilidades generales ni daría por logrado un aprendizaje solo por trabajar en equipo.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 transición hacia una enseñanza humanista implica que el rigor técnico sirva para comprender y decidir, con espacios de participación y revisión. Evaluaría una primera explicación y otra posterior a la devolución. No afirmo que estas propuestas ya hayan generado resultados; establezco un diseño que puede aplicarse y analizarse con evidencia.</w:t>
      </w:r>
    </w:p>
    <w:bookmarkEnd w:id="34"/>
    <w:bookmarkStart w:id="35" w:name="referencias"/>
    <w:p>
      <w:pPr>
        <w:pStyle w:val="Heading1"/>
        <w:keepNext/>
      </w:pPr>
      <w:r>
        <w:rPr>
          <w:rFonts w:ascii="Arial" w:hAnsi="Arial"/>
        </w:rPr>
        <w:t xml:space="preserve">Referencias</w:t>
      </w:r>
    </w:p>
    <w:p>
      <w:pPr>
        <w:pStyle w:val="FirstParagraph"/>
      </w:pPr>
      <w:r>
        <w:rPr>
          <w:rFonts w:ascii="Arial" w:hAnsi="Arial"/>
        </w:rPr>
        <w:t xml:space="preserve">Scott, C. L. (2015b).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El futuro del aprendizaje 2: ¿Qué tipo de aprendizaje se necesita en el siglo XXI?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(Investigación y prospectiva en educación, 14). UNESCO.</w:t>
      </w:r>
    </w:p>
    <w:p>
      <w:pPr>
        <w:pStyle w:val="BodyText"/>
      </w:pPr>
      <w:r>
        <w:rPr>
          <w:rFonts w:ascii="Arial" w:hAnsi="Arial"/>
        </w:rPr>
        <w:t xml:space="preserve">Secretaría de Educación Pública. (2022).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Plan de Estudio para la educación preescolar, primaria y secundaria</w:t>
      </w:r>
      <w:r>
        <w:rPr>
          <w:rFonts w:ascii="Arial" w:hAnsi="Arial"/>
        </w:rPr>
        <w:t xml:space="preserve">. SEP.</w:t>
      </w:r>
    </w:p>
    <w:p>
      <w:pPr>
        <w:pStyle w:val="BodyText"/>
      </w:pPr>
      <w:r>
        <w:rPr>
          <w:rFonts w:ascii="Arial" w:hAnsi="Arial"/>
        </w:rPr>
        <w:t xml:space="preserve">Wagner, T. (s. f.).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Las siete habilidades de supervivencia para la profesión, el colegio y la ciudadanía</w:t>
      </w:r>
      <w:r>
        <w:rPr>
          <w:rFonts w:ascii="Arial" w:hAnsi="Arial"/>
        </w:rPr>
        <w:t xml:space="preserve">. Lectura proporcionada en EVA.</w:t>
      </w:r>
    </w:p>
    <w:bookmarkEnd w:id="35"/>
    <w:sectPr w:rsidR="00FC693F" w:rsidRPr="0006063C" w:rsidSect="00034616">
      <w:footerReference w:type="defaul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IIIEPE · MAEM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