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0"/>
          <w:footerReference w:type="default" r:id="rId11"/>
          <w:footnotePr>
            <w:numRestart w:val="eachSect"/>
          </w:footnotePr>
          <w:pgSz w:w="12240" w:h="15840"/>
          <w:pgMar w:top="0" w:bottom="0" w:left="0" w:right="0" w:header="0" w:footer="0"/>
        </w:sectPr>
        <w:spacing w:before="0" w:after="0"/>
      </w:pPr>
    </w:p>
    <w:p>
      <w:pPr>
        <w:pStyle w:val="Heading1"/>
        <w:keepNext/>
      </w:pPr>
      <w:r>
        <w:t>Propósito y resultado principal</w:t>
      </w:r>
    </w:p>
    <w:p>
      <w:pPr>
        <w:widowControl/>
        <w:spacing w:after="140"/>
      </w:pPr>
      <w:r>
        <w:t>La revisión documental muestra proveedores de mantenimiento industrial con especialización por equipo y técnica en Monterrey. Se identificaron cinco oferentes y dos alternativas a la contratación de un prestador generalista. El resultado orienta a Industrial Revolucionaria a delimitar una familia de activos y un alcance técnico verificable. La información reunida no cuantifica contratos potenciales ni demuestra demanda insatisfecha.</w:t>
      </w:r>
    </w:p>
    <w:p>
      <w:pPr>
        <w:widowControl/>
        <w:spacing w:after="140"/>
      </w:pPr>
      <w:r>
        <w:t>El caso continúa la descripción empresarial de la actividad 4: mantenimiento y soluciones industriales para micro, pequeñas y medianas empresas de Monterrey y su zona metropolitana. La oferta propuesta incluye diagnóstico, prevención, reparación y gestión de refacciones. El segmento inicial contempla organizaciones sin departamento especializado o que necesitan apoyo externo. No se acredita una empresa operando, cartera de clientes o capacidad instalada.</w:t>
      </w:r>
    </w:p>
    <w:p>
      <w:pPr>
        <w:pStyle w:val="Heading1"/>
        <w:keepNext/>
      </w:pPr>
      <w:r>
        <w:t>Método de investigación documental</w:t>
      </w:r>
    </w:p>
    <w:p>
      <w:pPr>
        <w:widowControl/>
        <w:spacing w:after="140"/>
      </w:pPr>
      <w:r>
        <w:t>El 28 de septiembre de 2026 se revisaron páginas propias de proveedores y una publicación de INEGI. Se seleccionaron intencionalmente oferentes que anuncian diagnóstico, mantenimiento o reparación de activos industriales y ubicación en Monterrey. Se compararon especialidad, modalidad de servicio y documentación anunciada. Las páginas permiten verificar publicaciones comerciales, no certificar desempeño, capacidad disponible o atención específica a MIPYMES.</w:t>
      </w:r>
    </w:p>
    <w:p>
      <w:pPr>
        <w:widowControl/>
        <w:spacing w:after="140"/>
      </w:pPr>
      <w:r>
        <w:t>La consigna solicita preguntas, un Google Form enviado a por lo menos 30 personas y búsqueda de 5 a 10 empresas similares o sustitutas. Se documentan seis empresas distintas contando Atlas Copco. Las quince entrevistas propuestas antes no se realizaron ni sustituyen la nueva meta de distribución. El formulario, su envío y los resultados del sondeo siguen pendientes. La selección documental no es exhaustiva ni representativa estadísticamente.</w:t>
      </w:r>
    </w:p>
    <w:p>
      <w:r>
        <w:br w:type="page"/>
      </w:r>
    </w:p>
    <w:p>
      <w:pPr>
        <w:pStyle w:val="Heading1"/>
        <w:keepNext/>
      </w:pPr>
      <w:r>
        <w:t>Contexto productivo de referencia</w:t>
      </w:r>
    </w:p>
    <w:p>
      <w:pPr>
        <w:widowControl/>
        <w:spacing w:after="140"/>
      </w:pPr>
      <w:r>
        <w:t>Los Censos Económicos 2024 identificaron 212,676 establecimientos en Nuevo León. Para el sector privado y empresas paraestatales, el comunicado registra 181,791 unidades económicas y 1,925,137 personas ocupadas con referencia a 2023. Las microempresas representan 89.3 % y las pymes 10.2 % de ese segmento; las manufacturas aportan 47.2 % del valor agregado censal bruto (INEGI, 2025, pp. 1–3).</w:t>
      </w:r>
    </w:p>
    <w:p>
      <w:pPr>
        <w:widowControl/>
        <w:spacing w:after="140"/>
      </w:pPr>
      <w:r>
        <w:t>Los datos describen al estado, no sólo a los municipios del proyecto. Incluyen actividades ajenas al mantenimiento industrial y no indican cuántas empresas contratarían a Industrial Revolucionaria. El valor agregado censal bruto no es venta de servicios de mantenimiento ni PIB estatal. No procede multiplicar el total de unidades por una tarifa supuesta para calcular ingresos.</w:t>
      </w:r>
    </w:p>
    <w:p>
      <w:pPr>
        <w:pStyle w:val="Heading1"/>
        <w:keepNext/>
      </w:pPr>
      <w:r>
        <w:t>Delimitación comercial propuesta</w:t>
      </w:r>
    </w:p>
    <w:p>
      <w:pPr>
        <w:widowControl/>
        <w:spacing w:after="140"/>
      </w:pPr>
      <w:r>
        <w:t>El peso de la actividad manufacturera justifica explorar empresas con activos productivos, pero el marco de prospectos requiere precisar municipio, giro, tamaño, equipos y responsable de compra. La continuidad con el proyecto previo comprende Monterrey y una ampliación gradual a municipios metropolitanos condicionada a capacidad; esa cobertura sigue siendo una propuesta, no disponibilidad acreditada.</w:t>
      </w:r>
    </w:p>
    <w:p>
      <w:pPr>
        <w:widowControl/>
        <w:spacing w:after="140"/>
      </w:pPr>
      <w:r>
        <w:t>La unidad de análisis será la organización que decide una contratación. Una planta puede contener varios equipos, recibir varios servicios y autorizar compras mediante distintas áreas; por tanto, empresa, activo, orden y contrato no deben contarse como equivalentes. Antes de elegir una muestra conviene definir qué necesidad se evaluará y quién conoce su historial técnico y presupuesto.</w:t>
      </w:r>
    </w:p>
    <w:p>
      <w:r>
        <w:br w:type="page"/>
      </w:r>
    </w:p>
    <w:p>
      <w:pPr>
        <w:pStyle w:val="Heading1"/>
        <w:keepNext/>
      </w:pPr>
      <w:r>
        <w:t>Oferentes industriales identificados</w:t>
      </w:r>
    </w:p>
    <w:tbl>
      <w:tblPr>
        <w:tblW w:type="auto" w:w="0"/>
        <w:jc w:val="center"/>
        <w:tblLayout w:type="fixed"/>
        <w:tblLook w:firstColumn="1" w:firstRow="1" w:lastColumn="0" w:lastRow="0" w:noHBand="0" w:noVBand="1" w:val="04A0"/>
      </w:tblPr>
      <w:tblGrid>
        <w:gridCol w:w="2880"/>
        <w:gridCol w:w="3600"/>
        <w:gridCol w:w="2880"/>
      </w:tblGrid>
      <w:tr>
        <w:trPr>
          <w:cantSplit/>
          <w:tblHeader/>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Proveedor y ubicación publicada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Oferta anunciada relevante</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Implicación analítica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Vibratek</w:t>
              <w:br/>
              <w:t>Santiago Tapia Ote. 1637,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Vibraciones, diagnóstico de maquinaria, alineación láser, balanceo y monitoreo.</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Delimitar técnicas y herramientas propias; prever canalización especializada.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FD Predictive</w:t>
              <w:br/>
              <w:t>Ixtapa 501, Mitras Norte,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Mantenimiento de motores, bombas y tableros; póliza con inventario, reporte y calendario.</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Comparar inclusiones de refacciones y alcance de prevención y corrección.</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Industrias Lowe y ProMtto</w:t>
              <w:br/>
              <w:t>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Mantenimiento y reparación de motores, variadores y bombeo; soporte de piezas.</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Precisar familias de activos; no prometer una cobertura técnica indefinida.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INDASA</w:t>
              <w:br/>
              <w:t>Río San Joaquín 2112, Bernardo Reyes,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Montacargas y grúas viajeras; contratos anuales, eventos e historial por equipo.</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Evaluar modalidades recurrentes y por evento, sin asumir preferencia del cliente.</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ConfiabilidadMX</w:t>
              <w:br/>
              <w:t>Hilario Martínez 711, Nuevo Repueblo,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Soluciones predictivas, equipos y capacitación en condición, vibraciones y termografía.</w:t>
            </w:r>
          </w:p>
        </w:tc>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Reconocer oferta especializada y formación del personal del cliente.</w:t>
            </w:r>
          </w:p>
        </w:tc>
      </w:tr>
    </w:tbl>
    <w:p>
      <w:pPr>
        <w:spacing w:after="40"/>
      </w:pPr>
    </w:p>
    <w:p>
      <w:pPr>
        <w:widowControl/>
        <w:spacing w:after="140"/>
      </w:pPr>
      <w:r>
        <w:t>Fuentes: Vibratek (s. f.), FD México (s. f.), Industrias Lowe (s. f.), INDASA (s. f.) y ConfiabilidadMX (s. f.-a, s. f.-b). Consulta del 28/09/2026. Las ubicaciones y los servicios son declaraciones de los prestadores; no se verificaron físicamente. No se observaron precios comparables ni se afirma que todos atiendan el mismo tamaño de cliente.</w:t>
      </w:r>
    </w:p>
    <w:p>
      <w:pPr>
        <w:widowControl/>
        <w:spacing w:after="140"/>
      </w:pPr>
      <w:r>
        <w:t>La pluralidad de especialidades demuestra oferta anunciada, no saturación del mercado. Inventario, calendario e historial ya aparecen en propuestas competidoras; llevar una bitácora no basta para atribuir una ventaja exclusiva a Industrial Revolucionaria. Su valor dependería de exactitud, utilidad y cumplimiento comprobados.</w:t>
      </w:r>
    </w:p>
    <w:p>
      <w:r>
        <w:br w:type="page"/>
      </w:r>
    </w:p>
    <w:p>
      <w:pPr>
        <w:pStyle w:val="Heading1"/>
        <w:keepNext/>
      </w:pPr>
      <w:r>
        <w:t>Alternativas a la contratación generalista</w:t>
      </w:r>
    </w:p>
    <w:p>
      <w:pPr>
        <w:widowControl/>
        <w:spacing w:after="140"/>
      </w:pPr>
      <w:r>
        <w:t>Una primera alternativa es resolver tareas con personal interno y comprar capacitación o diagnóstico puntual. Vibratek y ConfiabilidadMX publican formación técnica. A partir de esa oferta se infiere que una organización con personal, herramientas y procedimientos suficientes podría cubrir parte del trabajo sin contratar una póliza externa. No se ha medido cuántas MIPYMES poseen esa capacidad ni su costo relativo.</w:t>
      </w:r>
    </w:p>
    <w:p>
      <w:pPr>
        <w:widowControl/>
        <w:spacing w:after="140"/>
      </w:pPr>
      <w:r>
        <w:t>Una segunda alternativa es acudir al fabricante o a su red especializada. Atlas Copco (s. f.) anuncia soporte y planes para aire comprimido, bombas de vacío y herramientas industriales. Para determinados activos, ese servicio puede sustituir al proveedor generalista. La cobertura local, compatibilidad, garantía y costo deben verificarse caso por caso; no se asume que el fabricante sea siempre más costoso o mejor.</w:t>
      </w:r>
    </w:p>
    <w:p>
      <w:pPr>
        <w:pStyle w:val="Heading1"/>
        <w:keepNext/>
      </w:pPr>
      <w:r>
        <w:t>Criterios para una comparación útil</w:t>
      </w:r>
    </w:p>
    <w:p>
      <w:pPr>
        <w:widowControl/>
        <w:spacing w:after="140"/>
      </w:pPr>
      <w:r>
        <w:t>La comparación futura debe basarse en el mismo inventario y alcance: activos incluidos, frecuencia, pruebas, entregables, refacciones, mano de obra, traslados, impuestos, exclusiones y ventanas de atención. Una cuota anual y una reparación por evento no son precios intercambiables. Tampoco una promesa publicada de respuesta demuestra su cumplimiento.</w:t>
      </w:r>
    </w:p>
    <w:p>
      <w:pPr>
        <w:widowControl/>
        <w:spacing w:after="140"/>
      </w:pPr>
      <w:r>
        <w:t>Se propone una oferta inicial complementaria al personal del cliente, concentrada en una familia de activos que el equipo pueda atender con competencia acreditable. El diagnóstico, la autorización de intervenciones y los criterios de cierre deberán quedar documentados. La selección definitiva de activos y modalidad comercial depende de entrevistas y evaluación de recursos; no se presenta como resultado probado de preferencia del mercado.</w:t>
      </w:r>
    </w:p>
    <w:p>
      <w:r>
        <w:br w:type="page"/>
      </w:r>
    </w:p>
    <w:p>
      <w:pPr>
        <w:pStyle w:val="Heading1"/>
        <w:keepNext/>
      </w:pPr>
      <w:r>
        <w:t>Demanda potencial y evidencia pendiente</w:t>
      </w:r>
    </w:p>
    <w:p>
      <w:pPr>
        <w:widowControl/>
        <w:spacing w:after="140"/>
      </w:pPr>
      <w:r>
        <w:t>La demanda permanece sin cuantificar. La presencia industrial estatal y los servicios anunciados no revelan intención de contratar, presupuesto o frecuencia de mantenimiento externalizado. La siguiente matriz organiza el levantamiento propuesto con responsables de operaciones, mantenimiento o compras, conservando confidencialidad y evitando datos personales innecesarios.</w:t>
      </w:r>
    </w:p>
    <w:tbl>
      <w:tblPr>
        <w:tblW w:type="auto" w:w="0"/>
        <w:jc w:val="center"/>
        <w:tblLayout w:type="fixed"/>
        <w:tblLook w:firstColumn="1" w:firstRow="1" w:lastColumn="0" w:lastRow="0" w:noHBand="0" w:noVBand="1" w:val="04A0"/>
      </w:tblPr>
      <w:tblGrid>
        <w:gridCol w:w="2016"/>
        <w:gridCol w:w="4032"/>
        <w:gridCol w:w="3312"/>
      </w:tblGrid>
      <w:tr>
        <w:trPr>
          <w:cantSplit/>
          <w:tblHeader/>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Variable</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Evidencia requerida</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Uso en la decisión</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Segmento y activos</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Municipio, giro, tamaño, inventario pertinente y criticidad de equipos.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Definir prospectos comparables y límites de cobertura.</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Necesidad y externalización</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Fallas, trabajos programados, tareas internas y servicios externos realmente contratados.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Elegir especialidad y modalidad de apoyo.</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Compra B2B</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Responsables, criterios, autorización, documentación y condiciones de pago.</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Diseñar cotización y proceso de contratación.</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Gasto comparable</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Importes de igual alcance y periodo; mano de obra, piezas e impuestos separados.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Evaluar precio junto con costos propios, sin mezclar contratos.</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Proveedor actual e intención</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Razones de elección, problemas concretos y disposición a evaluar alternativas.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Formular hipótesis; una intención no equivale a contrato.</w:t>
            </w:r>
          </w:p>
        </w:tc>
      </w:tr>
      <w:tr>
        <w:trPr>
          <w:cantSplit/>
        </w:trPr>
        <w:tc>
          <w:tcPr>
            <w:tcW w:type="dxa" w:w="20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Capacidad del proyecto</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Competencias, equipos, tiempos, seguridad y costos acreditables.</w:t>
            </w:r>
          </w:p>
        </w:tc>
        <w:tc>
          <w:tcPr>
            <w:tcW w:type="dxa" w:w="33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Evitar promesas superiores a recursos disponibles.</w:t>
            </w:r>
          </w:p>
        </w:tc>
      </w:tr>
    </w:tbl>
    <w:p>
      <w:pPr>
        <w:spacing w:after="40"/>
      </w:pPr>
    </w:p>
    <w:p>
      <w:pPr>
        <w:pStyle w:val="Heading1"/>
        <w:keepNext/>
      </w:pPr>
      <w:r>
        <w:t>Conclusión</w:t>
      </w:r>
    </w:p>
    <w:p>
      <w:pPr>
        <w:widowControl/>
        <w:spacing w:after="140"/>
      </w:pPr>
      <w:r>
        <w:t>Se recomienda delimitar activos, documentar entregables y validar la compra B2B antes de proyectar contratos. El informe aporta identificación de oferta y sustitutos; no demuestra rentabilidad. Deben aplicarse las entrevistas, registrar su selección y analizar evidencia sin extrapolación automática. Se utilizó asistencia de inteligencia artificial para organizar fuentes y redacción, sin generar respuestas de campo ni cotizaciones.</w:t>
      </w:r>
    </w:p>
    <w:p>
      <w:r>
        <w:br w:type="page"/>
      </w:r>
    </w:p>
    <w:p>
      <w:pPr>
        <w:pStyle w:val="Heading1"/>
        <w:keepNext/>
      </w:pPr>
      <w:r>
        <w:t>Anexo de preguntas para el formulario</w:t>
      </w:r>
    </w:p>
    <w:p>
      <w:pPr>
        <w:widowControl/>
        <w:spacing w:after="140" w:line="264" w:lineRule="auto"/>
      </w:pPr>
      <w:r>
        <w:rPr>
          <w:sz w:val="21"/>
        </w:rPr>
        <w:t>Propuesta para revisión y carga en Google Forms. No se ha creado ni distribuido el formulario. La consigna solicita enviarlo a por lo menos 30 personas; ese envío y sus respuestas siguen pendientes. Participación voluntaria, sin nombres ni contactos personales. Incluir no sabe y prefiere no responder cuando corresponda.</w:t>
      </w:r>
    </w:p>
    <w:p>
      <w:pPr>
        <w:pStyle w:val="Heading2"/>
        <w:spacing w:before="100"/>
      </w:pPr>
      <w:r>
        <w:t>Demanda</w:t>
      </w:r>
    </w:p>
    <w:p>
      <w:pPr>
        <w:spacing w:line="252" w:lineRule="auto" w:after="60"/>
      </w:pPr>
      <w:r>
        <w:rPr>
          <w:sz w:val="21"/>
        </w:rPr>
        <w:t>1. ¿Participa en decisiones de mantenimiento, operaciones o compras de la empresa? Si no, terminar.</w:t>
      </w:r>
    </w:p>
    <w:p>
      <w:pPr>
        <w:spacing w:line="252" w:lineRule="auto" w:after="60"/>
      </w:pPr>
      <w:r>
        <w:rPr>
          <w:sz w:val="21"/>
        </w:rPr>
        <w:t>2. ¿En qué municipio y actividad opera la empresa y cuál es su rango de personal?</w:t>
      </w:r>
    </w:p>
    <w:p>
      <w:pPr>
        <w:spacing w:line="252" w:lineRule="auto" w:after="60"/>
      </w:pPr>
      <w:r>
        <w:rPr>
          <w:sz w:val="21"/>
        </w:rPr>
        <w:t>3. ¿Qué familias de equipos requieren atención y cuáles son críticas para la operación?</w:t>
      </w:r>
    </w:p>
    <w:p>
      <w:pPr>
        <w:spacing w:line="252" w:lineRule="auto" w:after="60"/>
      </w:pPr>
      <w:r>
        <w:rPr>
          <w:sz w:val="21"/>
        </w:rPr>
        <w:t>4. ¿Qué mantenimiento preventivo o correctivo requirió en los últimos doce meses?</w:t>
      </w:r>
    </w:p>
    <w:p>
      <w:pPr>
        <w:spacing w:line="252" w:lineRule="auto" w:after="60"/>
      </w:pPr>
      <w:r>
        <w:rPr>
          <w:sz w:val="21"/>
        </w:rPr>
        <w:t>5. ¿Qué tareas realiza su personal y cuáles contrata externamente? Registrar por separado.</w:t>
      </w:r>
    </w:p>
    <w:p>
      <w:pPr>
        <w:spacing w:line="252" w:lineRule="auto" w:after="60"/>
      </w:pPr>
      <w:r>
        <w:rPr>
          <w:sz w:val="21"/>
        </w:rPr>
        <w:t>6. ¿Con qué frecuencia contrata servicios externos y cuál fue el más reciente?</w:t>
      </w:r>
    </w:p>
    <w:p>
      <w:pPr>
        <w:spacing w:line="252" w:lineRule="auto" w:after="60"/>
      </w:pPr>
      <w:r>
        <w:rPr>
          <w:sz w:val="21"/>
        </w:rPr>
        <w:t>7. ¿Qué incluyó ese servicio y cuánto pagó, separando piezas, mano de obra e impuestos si los conoce?</w:t>
      </w:r>
    </w:p>
    <w:p>
      <w:pPr>
        <w:spacing w:line="252" w:lineRule="auto" w:after="60"/>
      </w:pPr>
      <w:r>
        <w:rPr>
          <w:sz w:val="21"/>
        </w:rPr>
        <w:t>8. ¿Qué problemas encontró en tiempos, diagnóstico, documentación o seguimiento?</w:t>
      </w:r>
    </w:p>
    <w:p>
      <w:pPr>
        <w:spacing w:line="252" w:lineRule="auto" w:after="60"/>
      </w:pPr>
      <w:r>
        <w:rPr>
          <w:sz w:val="21"/>
        </w:rPr>
        <w:t>9. ¿Qué criterios pesan al elegir proveedor y qué área autoriza la contratación?</w:t>
      </w:r>
    </w:p>
    <w:p>
      <w:pPr>
        <w:spacing w:line="252" w:lineRule="auto" w:after="60"/>
      </w:pPr>
      <w:r>
        <w:rPr>
          <w:sz w:val="21"/>
        </w:rPr>
        <w:t>10. ¿Qué documentos, condiciones de pago y ventanas operativas debe cumplir un proveedor?</w:t>
      </w:r>
    </w:p>
    <w:p>
      <w:pPr>
        <w:spacing w:line="252" w:lineRule="auto" w:after="60"/>
      </w:pPr>
      <w:r>
        <w:rPr>
          <w:sz w:val="21"/>
        </w:rPr>
        <w:t>11. ¿Qué activos requerirán atención en tres meses y qué presupuesto está autorizado, si puede informarlo?</w:t>
      </w:r>
    </w:p>
    <w:p>
      <w:pPr>
        <w:spacing w:line="252" w:lineRule="auto" w:after="60"/>
      </w:pPr>
      <w:r>
        <w:rPr>
          <w:sz w:val="21"/>
        </w:rPr>
        <w:t>12. ¿Evaluaría un proveedor nuevo y bajo qué condiciones, sin asumir compromiso de compra?</w:t>
      </w:r>
    </w:p>
    <w:p>
      <w:pPr>
        <w:pStyle w:val="Heading2"/>
        <w:spacing w:before="100"/>
      </w:pPr>
      <w:r>
        <w:t>Competencia y sustitutos</w:t>
      </w:r>
    </w:p>
    <w:p>
      <w:pPr>
        <w:spacing w:line="252" w:lineRule="auto" w:after="60"/>
      </w:pPr>
      <w:r>
        <w:rPr>
          <w:sz w:val="21"/>
        </w:rPr>
        <w:t>1. ¿Qué modalidad utiliza: personal interno, proveedor independiente, fabricante o combinación?</w:t>
      </w:r>
    </w:p>
    <w:p>
      <w:pPr>
        <w:spacing w:line="252" w:lineRule="auto" w:after="60"/>
      </w:pPr>
      <w:r>
        <w:rPr>
          <w:sz w:val="21"/>
        </w:rPr>
        <w:t>2. ¿Qué proveedores conoce y qué servicios anuncia cada uno? Registrar fuente y fecha.</w:t>
      </w:r>
    </w:p>
    <w:p>
      <w:pPr>
        <w:spacing w:line="252" w:lineRule="auto" w:after="60"/>
      </w:pPr>
      <w:r>
        <w:rPr>
          <w:sz w:val="21"/>
        </w:rPr>
        <w:t>3. ¿Qué equipos, técnicas, cobertura y entregables incluye la oferta observada?</w:t>
      </w:r>
    </w:p>
    <w:p>
      <w:pPr>
        <w:spacing w:line="252" w:lineRule="auto" w:after="60"/>
      </w:pPr>
      <w:r>
        <w:rPr>
          <w:sz w:val="21"/>
        </w:rPr>
        <w:t>4. ¿Qué refacciones, traslados, impuestos, exclusiones y plazos incluye una cotización comparable?</w:t>
      </w:r>
    </w:p>
    <w:p>
      <w:pPr>
        <w:spacing w:line="252" w:lineRule="auto" w:after="60"/>
      </w:pPr>
      <w:r>
        <w:rPr>
          <w:sz w:val="21"/>
        </w:rPr>
        <w:t>5. ¿Qué motivo llevaría a mantener o cambiar su modalidad actual de mantenimiento?</w:t>
      </w:r>
    </w:p>
    <w:p>
      <w:r>
        <w:br w:type="page"/>
      </w:r>
    </w:p>
    <w:p>
      <w:pPr>
        <w:pStyle w:val="Heading1"/>
        <w:keepNext/>
      </w:pPr>
      <w:r>
        <w:t>Referencias</w:t>
      </w:r>
    </w:p>
    <w:p>
      <w:pPr>
        <w:spacing w:line="252" w:lineRule="auto" w:after="160"/>
        <w:ind w:left="432" w:hanging="432"/>
      </w:pPr>
      <w:r>
        <w:rPr>
          <w:sz w:val="21"/>
        </w:rPr>
        <w:t xml:space="preserve">Atlas Copco (s. f.). </w:t>
      </w:r>
      <w:r>
        <w:rPr>
          <w:i/>
          <w:sz w:val="21"/>
        </w:rPr>
        <w:t>Servicio y asistencia técnica</w:t>
      </w:r>
      <w:r>
        <w:rPr>
          <w:sz w:val="21"/>
        </w:rPr>
        <w:t>. Recuperado el 28 de septiembre de 2026, de https://www.atlascopco.com/es-mx/service</w:t>
      </w:r>
    </w:p>
    <w:p>
      <w:pPr>
        <w:spacing w:line="252" w:lineRule="auto" w:after="160"/>
        <w:ind w:left="432" w:hanging="432"/>
      </w:pPr>
      <w:r>
        <w:rPr>
          <w:sz w:val="21"/>
        </w:rPr>
        <w:t xml:space="preserve">ConfiabilidadMX (s. f.-a). </w:t>
      </w:r>
      <w:r>
        <w:rPr>
          <w:i/>
          <w:sz w:val="21"/>
        </w:rPr>
        <w:t>Capacitación</w:t>
      </w:r>
      <w:r>
        <w:rPr>
          <w:sz w:val="21"/>
        </w:rPr>
        <w:t>. Recuperado el 28 de septiembre de 2026, de https://confiabilidadmx.com/capacitacion/</w:t>
      </w:r>
    </w:p>
    <w:p>
      <w:pPr>
        <w:spacing w:line="252" w:lineRule="auto" w:after="160"/>
        <w:ind w:left="432" w:hanging="432"/>
      </w:pPr>
      <w:r>
        <w:rPr>
          <w:sz w:val="21"/>
        </w:rPr>
        <w:t xml:space="preserve">ConfiabilidadMX (s. f.-b). </w:t>
      </w:r>
      <w:r>
        <w:rPr>
          <w:i/>
          <w:sz w:val="21"/>
        </w:rPr>
        <w:t>Soluciones integrales de mantenimiento predictivo</w:t>
      </w:r>
      <w:r>
        <w:rPr>
          <w:sz w:val="21"/>
        </w:rPr>
        <w:t>. Recuperado el 28 de septiembre de 2026, de https://confiabilidadmx.com/</w:t>
      </w:r>
    </w:p>
    <w:p>
      <w:pPr>
        <w:spacing w:line="252" w:lineRule="auto" w:after="160"/>
        <w:ind w:left="432" w:hanging="432"/>
      </w:pPr>
      <w:r>
        <w:rPr>
          <w:sz w:val="21"/>
        </w:rPr>
        <w:t xml:space="preserve">FD México (s. f.). </w:t>
      </w:r>
      <w:r>
        <w:rPr>
          <w:i/>
          <w:sz w:val="21"/>
        </w:rPr>
        <w:t>FD Predictive</w:t>
      </w:r>
      <w:r>
        <w:rPr>
          <w:sz w:val="21"/>
        </w:rPr>
        <w:t>. Recuperado el 28 de septiembre de 2026, de https://www.fdmexico.com/fd-predictive/</w:t>
      </w:r>
    </w:p>
    <w:p>
      <w:pPr>
        <w:spacing w:line="252" w:lineRule="auto" w:after="160"/>
        <w:ind w:left="432" w:hanging="432"/>
      </w:pPr>
      <w:r>
        <w:rPr>
          <w:sz w:val="21"/>
        </w:rPr>
        <w:t xml:space="preserve">INDASA (s. f.). </w:t>
      </w:r>
      <w:r>
        <w:rPr>
          <w:i/>
          <w:sz w:val="21"/>
        </w:rPr>
        <w:t>Mantenimiento y proyectos industriales</w:t>
      </w:r>
      <w:r>
        <w:rPr>
          <w:sz w:val="21"/>
        </w:rPr>
        <w:t>. Recuperado el 28 de septiembre de 2026, de https://www.indasamty.com/</w:t>
      </w:r>
    </w:p>
    <w:p>
      <w:pPr>
        <w:spacing w:line="252" w:lineRule="auto" w:after="160"/>
        <w:ind w:left="432" w:hanging="432"/>
      </w:pPr>
      <w:r>
        <w:rPr>
          <w:sz w:val="21"/>
        </w:rPr>
        <w:t xml:space="preserve">Industrias Lowe (s. f.). </w:t>
      </w:r>
      <w:r>
        <w:rPr>
          <w:i/>
          <w:sz w:val="21"/>
        </w:rPr>
        <w:t>Nosotros</w:t>
      </w:r>
      <w:r>
        <w:rPr>
          <w:sz w:val="21"/>
        </w:rPr>
        <w:t>. Recuperado el 28 de septiembre de 2026, de https://www.industriaslowe.com/nosotros/</w:t>
      </w:r>
    </w:p>
    <w:p>
      <w:pPr>
        <w:spacing w:line="252" w:lineRule="auto" w:after="160"/>
        <w:ind w:left="432" w:hanging="432"/>
      </w:pPr>
      <w:r>
        <w:rPr>
          <w:sz w:val="21"/>
        </w:rPr>
        <w:t xml:space="preserve">Instituto Nacional de Estadística y Geografía (2025, 24 de julio). </w:t>
      </w:r>
      <w:r>
        <w:rPr>
          <w:i/>
          <w:sz w:val="21"/>
        </w:rPr>
        <w:t>Censos Económicos 2024 Resultados definitivos Nuevo León (Comunicado 98/25; cifras corregidas)</w:t>
      </w:r>
      <w:r>
        <w:rPr>
          <w:sz w:val="21"/>
        </w:rPr>
        <w:t>. https://www.inegi.org.mx/contenidos/saladeprensa/boletines/2025/ce/CE_2024_Def_NL.pdf</w:t>
      </w:r>
    </w:p>
    <w:p>
      <w:pPr>
        <w:spacing w:line="252" w:lineRule="auto" w:after="160"/>
        <w:ind w:left="432" w:hanging="432"/>
      </w:pPr>
      <w:r>
        <w:rPr>
          <w:sz w:val="21"/>
        </w:rPr>
        <w:t xml:space="preserve">Vibratek (s. f.). </w:t>
      </w:r>
      <w:r>
        <w:rPr>
          <w:i/>
          <w:sz w:val="21"/>
        </w:rPr>
        <w:t>Servicios de monitoreo de maquinaria industrial</w:t>
      </w:r>
      <w:r>
        <w:rPr>
          <w:sz w:val="21"/>
        </w:rPr>
        <w:t>. Recuperado el 28 de septiembre de 2026, de https://vibratek.mx/</w:t>
      </w:r>
    </w:p>
    <w:sectPr>
      <w:headerReference w:type="default" r:id="rId12"/>
      <w:footerReference w:type="default" r:id="rId13"/>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10-Industrial-Revolucionaria.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la investigación de mercados de Industrial Revolucionaria</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