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2CEB" w14:textId="77777777" w:rsidR="00890E97" w:rsidRDefault="00296D41">
      <w:r>
        <w:rPr>
          <w:noProof/>
        </w:rPr>
        <w:drawing>
          <wp:anchor distT="0" distB="0" distL="0" distR="0" simplePos="0" relativeHeight="251658240" behindDoc="1" locked="1" layoutInCell="1" allowOverlap="1" wp14:anchorId="0B0AC92A" wp14:editId="37D40F33">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t12.png"/>
                    <pic:cNvPicPr/>
                  </pic:nvPicPr>
                  <pic:blipFill>
                    <a:blip r:embed="rId7"/>
                    <a:stretch>
                      <a:fillRect/>
                    </a:stretch>
                  </pic:blipFill>
                  <pic:spPr>
                    <a:xfrm>
                      <a:off x="0" y="0"/>
                      <a:ext cx="7772400" cy="10058400"/>
                    </a:xfrm>
                    <a:prstGeom prst="rect">
                      <a:avLst/>
                    </a:prstGeom>
                  </pic:spPr>
                </pic:pic>
              </a:graphicData>
            </a:graphic>
          </wp:anchor>
        </w:drawing>
      </w:r>
    </w:p>
    <w:p w14:paraId="7DC7F42E" w14:textId="77777777" w:rsidR="00B55F17" w:rsidRDefault="00CF4059">
      <w:pPr>
        <w:pStyle w:val="APAttulondice"/>
        <w:pageBreakBefore/>
      </w:pPr>
      <w:r>
        <w:lastRenderedPageBreak/>
        <w:t>Índice</w:t>
      </w:r>
    </w:p>
    <w:p w14:paraId="477949EB" w14:textId="0F216395" w:rsidR="00380A98"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3842802" w:history="1">
        <w:r w:rsidR="00380A98" w:rsidRPr="008B76E7">
          <w:rPr>
            <w:rStyle w:val="Hipervnculo"/>
            <w:noProof/>
          </w:rPr>
          <w:t>1 Antecedentes</w:t>
        </w:r>
        <w:r w:rsidR="00380A98">
          <w:rPr>
            <w:noProof/>
            <w:webHidden/>
          </w:rPr>
          <w:tab/>
        </w:r>
        <w:r w:rsidR="00380A98">
          <w:rPr>
            <w:noProof/>
            <w:webHidden/>
          </w:rPr>
          <w:fldChar w:fldCharType="begin"/>
        </w:r>
        <w:r w:rsidR="00380A98">
          <w:rPr>
            <w:noProof/>
            <w:webHidden/>
          </w:rPr>
          <w:instrText xml:space="preserve"> PAGEREF _Toc243842802 \h </w:instrText>
        </w:r>
        <w:r w:rsidR="00380A98">
          <w:rPr>
            <w:noProof/>
            <w:webHidden/>
          </w:rPr>
        </w:r>
        <w:r w:rsidR="00380A98">
          <w:rPr>
            <w:noProof/>
            <w:webHidden/>
          </w:rPr>
          <w:fldChar w:fldCharType="separate"/>
        </w:r>
        <w:r w:rsidR="00804DB0">
          <w:rPr>
            <w:noProof/>
            <w:webHidden/>
          </w:rPr>
          <w:t>3</w:t>
        </w:r>
        <w:r w:rsidR="00380A98">
          <w:rPr>
            <w:noProof/>
            <w:webHidden/>
          </w:rPr>
          <w:fldChar w:fldCharType="end"/>
        </w:r>
      </w:hyperlink>
    </w:p>
    <w:p w14:paraId="1315A0EE" w14:textId="30B43C34"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03" w:history="1">
        <w:r w:rsidRPr="008B76E7">
          <w:rPr>
            <w:rStyle w:val="Hipervnculo"/>
            <w:noProof/>
          </w:rPr>
          <w:t>2 Planteamiento del problema</w:t>
        </w:r>
        <w:r>
          <w:rPr>
            <w:noProof/>
            <w:webHidden/>
          </w:rPr>
          <w:tab/>
        </w:r>
        <w:r>
          <w:rPr>
            <w:noProof/>
            <w:webHidden/>
          </w:rPr>
          <w:fldChar w:fldCharType="begin"/>
        </w:r>
        <w:r>
          <w:rPr>
            <w:noProof/>
            <w:webHidden/>
          </w:rPr>
          <w:instrText xml:space="preserve"> PAGEREF _Toc243842803 \h </w:instrText>
        </w:r>
        <w:r>
          <w:rPr>
            <w:noProof/>
            <w:webHidden/>
          </w:rPr>
        </w:r>
        <w:r>
          <w:rPr>
            <w:noProof/>
            <w:webHidden/>
          </w:rPr>
          <w:fldChar w:fldCharType="separate"/>
        </w:r>
        <w:r w:rsidR="00804DB0">
          <w:rPr>
            <w:noProof/>
            <w:webHidden/>
          </w:rPr>
          <w:t>9</w:t>
        </w:r>
        <w:r>
          <w:rPr>
            <w:noProof/>
            <w:webHidden/>
          </w:rPr>
          <w:fldChar w:fldCharType="end"/>
        </w:r>
      </w:hyperlink>
    </w:p>
    <w:p w14:paraId="3FCB74CC" w14:textId="1165836A"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04" w:history="1">
        <w:r w:rsidRPr="008B76E7">
          <w:rPr>
            <w:rStyle w:val="Hipervnculo"/>
            <w:noProof/>
          </w:rPr>
          <w:t>2.1 Enunciado del problema</w:t>
        </w:r>
        <w:r>
          <w:rPr>
            <w:noProof/>
            <w:webHidden/>
          </w:rPr>
          <w:tab/>
        </w:r>
        <w:r>
          <w:rPr>
            <w:noProof/>
            <w:webHidden/>
          </w:rPr>
          <w:fldChar w:fldCharType="begin"/>
        </w:r>
        <w:r>
          <w:rPr>
            <w:noProof/>
            <w:webHidden/>
          </w:rPr>
          <w:instrText xml:space="preserve"> PAGEREF _Toc243842804 \h </w:instrText>
        </w:r>
        <w:r>
          <w:rPr>
            <w:noProof/>
            <w:webHidden/>
          </w:rPr>
        </w:r>
        <w:r>
          <w:rPr>
            <w:noProof/>
            <w:webHidden/>
          </w:rPr>
          <w:fldChar w:fldCharType="separate"/>
        </w:r>
        <w:r w:rsidR="00804DB0">
          <w:rPr>
            <w:noProof/>
            <w:webHidden/>
          </w:rPr>
          <w:t>9</w:t>
        </w:r>
        <w:r>
          <w:rPr>
            <w:noProof/>
            <w:webHidden/>
          </w:rPr>
          <w:fldChar w:fldCharType="end"/>
        </w:r>
      </w:hyperlink>
    </w:p>
    <w:p w14:paraId="7B4C81A2" w14:textId="0A992BA9"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05" w:history="1">
        <w:r w:rsidRPr="008B76E7">
          <w:rPr>
            <w:rStyle w:val="Hipervnculo"/>
            <w:noProof/>
          </w:rPr>
          <w:t>2.2 Formulación del problema</w:t>
        </w:r>
        <w:r>
          <w:rPr>
            <w:noProof/>
            <w:webHidden/>
          </w:rPr>
          <w:tab/>
        </w:r>
        <w:r>
          <w:rPr>
            <w:noProof/>
            <w:webHidden/>
          </w:rPr>
          <w:fldChar w:fldCharType="begin"/>
        </w:r>
        <w:r>
          <w:rPr>
            <w:noProof/>
            <w:webHidden/>
          </w:rPr>
          <w:instrText xml:space="preserve"> PAGEREF _Toc243842805 \h </w:instrText>
        </w:r>
        <w:r>
          <w:rPr>
            <w:noProof/>
            <w:webHidden/>
          </w:rPr>
        </w:r>
        <w:r>
          <w:rPr>
            <w:noProof/>
            <w:webHidden/>
          </w:rPr>
          <w:fldChar w:fldCharType="separate"/>
        </w:r>
        <w:r w:rsidR="00804DB0">
          <w:rPr>
            <w:noProof/>
            <w:webHidden/>
          </w:rPr>
          <w:t>11</w:t>
        </w:r>
        <w:r>
          <w:rPr>
            <w:noProof/>
            <w:webHidden/>
          </w:rPr>
          <w:fldChar w:fldCharType="end"/>
        </w:r>
      </w:hyperlink>
    </w:p>
    <w:p w14:paraId="411627A7" w14:textId="1B06551D"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06" w:history="1">
        <w:r w:rsidRPr="008B76E7">
          <w:rPr>
            <w:rStyle w:val="Hipervnculo"/>
            <w:noProof/>
          </w:rPr>
          <w:t>2.3 Preguntas específicas</w:t>
        </w:r>
        <w:r>
          <w:rPr>
            <w:noProof/>
            <w:webHidden/>
          </w:rPr>
          <w:tab/>
        </w:r>
        <w:r>
          <w:rPr>
            <w:noProof/>
            <w:webHidden/>
          </w:rPr>
          <w:fldChar w:fldCharType="begin"/>
        </w:r>
        <w:r>
          <w:rPr>
            <w:noProof/>
            <w:webHidden/>
          </w:rPr>
          <w:instrText xml:space="preserve"> PAGEREF _Toc243842806 \h </w:instrText>
        </w:r>
        <w:r>
          <w:rPr>
            <w:noProof/>
            <w:webHidden/>
          </w:rPr>
        </w:r>
        <w:r>
          <w:rPr>
            <w:noProof/>
            <w:webHidden/>
          </w:rPr>
          <w:fldChar w:fldCharType="separate"/>
        </w:r>
        <w:r w:rsidR="00804DB0">
          <w:rPr>
            <w:noProof/>
            <w:webHidden/>
          </w:rPr>
          <w:t>12</w:t>
        </w:r>
        <w:r>
          <w:rPr>
            <w:noProof/>
            <w:webHidden/>
          </w:rPr>
          <w:fldChar w:fldCharType="end"/>
        </w:r>
      </w:hyperlink>
    </w:p>
    <w:p w14:paraId="09FBF8A1" w14:textId="4B13377B"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07" w:history="1">
        <w:r w:rsidRPr="008B76E7">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_Toc243842807 \h </w:instrText>
        </w:r>
        <w:r>
          <w:rPr>
            <w:noProof/>
            <w:webHidden/>
          </w:rPr>
        </w:r>
        <w:r>
          <w:rPr>
            <w:noProof/>
            <w:webHidden/>
          </w:rPr>
          <w:fldChar w:fldCharType="separate"/>
        </w:r>
        <w:r w:rsidR="00804DB0">
          <w:rPr>
            <w:noProof/>
            <w:webHidden/>
          </w:rPr>
          <w:t>12</w:t>
        </w:r>
        <w:r>
          <w:rPr>
            <w:noProof/>
            <w:webHidden/>
          </w:rPr>
          <w:fldChar w:fldCharType="end"/>
        </w:r>
      </w:hyperlink>
    </w:p>
    <w:p w14:paraId="227DEC7E" w14:textId="45F8F0AD"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08" w:history="1">
        <w:r w:rsidRPr="008B76E7">
          <w:rPr>
            <w:rStyle w:val="Hipervnculo"/>
            <w:noProof/>
          </w:rPr>
          <w:t>3.1 Objetivo general</w:t>
        </w:r>
        <w:r>
          <w:rPr>
            <w:noProof/>
            <w:webHidden/>
          </w:rPr>
          <w:tab/>
        </w:r>
        <w:r>
          <w:rPr>
            <w:noProof/>
            <w:webHidden/>
          </w:rPr>
          <w:fldChar w:fldCharType="begin"/>
        </w:r>
        <w:r>
          <w:rPr>
            <w:noProof/>
            <w:webHidden/>
          </w:rPr>
          <w:instrText xml:space="preserve"> PAGEREF _Toc243842808 \h </w:instrText>
        </w:r>
        <w:r>
          <w:rPr>
            <w:noProof/>
            <w:webHidden/>
          </w:rPr>
        </w:r>
        <w:r>
          <w:rPr>
            <w:noProof/>
            <w:webHidden/>
          </w:rPr>
          <w:fldChar w:fldCharType="separate"/>
        </w:r>
        <w:r w:rsidR="00804DB0">
          <w:rPr>
            <w:noProof/>
            <w:webHidden/>
          </w:rPr>
          <w:t>13</w:t>
        </w:r>
        <w:r>
          <w:rPr>
            <w:noProof/>
            <w:webHidden/>
          </w:rPr>
          <w:fldChar w:fldCharType="end"/>
        </w:r>
      </w:hyperlink>
    </w:p>
    <w:p w14:paraId="53E6537F" w14:textId="05EBF118"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09" w:history="1">
        <w:r w:rsidRPr="008B76E7">
          <w:rPr>
            <w:rStyle w:val="Hipervnculo"/>
            <w:noProof/>
          </w:rPr>
          <w:t>3.2 Objetivos específicos</w:t>
        </w:r>
        <w:r>
          <w:rPr>
            <w:noProof/>
            <w:webHidden/>
          </w:rPr>
          <w:tab/>
        </w:r>
        <w:r>
          <w:rPr>
            <w:noProof/>
            <w:webHidden/>
          </w:rPr>
          <w:fldChar w:fldCharType="begin"/>
        </w:r>
        <w:r>
          <w:rPr>
            <w:noProof/>
            <w:webHidden/>
          </w:rPr>
          <w:instrText xml:space="preserve"> PAGEREF _Toc243842809 \h </w:instrText>
        </w:r>
        <w:r>
          <w:rPr>
            <w:noProof/>
            <w:webHidden/>
          </w:rPr>
        </w:r>
        <w:r>
          <w:rPr>
            <w:noProof/>
            <w:webHidden/>
          </w:rPr>
          <w:fldChar w:fldCharType="separate"/>
        </w:r>
        <w:r w:rsidR="00804DB0">
          <w:rPr>
            <w:noProof/>
            <w:webHidden/>
          </w:rPr>
          <w:t>13</w:t>
        </w:r>
        <w:r>
          <w:rPr>
            <w:noProof/>
            <w:webHidden/>
          </w:rPr>
          <w:fldChar w:fldCharType="end"/>
        </w:r>
      </w:hyperlink>
    </w:p>
    <w:p w14:paraId="461E120B" w14:textId="7F643CA1"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10" w:history="1">
        <w:r w:rsidRPr="008B76E7">
          <w:rPr>
            <w:rStyle w:val="Hipervnculo"/>
            <w:noProof/>
          </w:rPr>
          <w:t>4 Justificación</w:t>
        </w:r>
        <w:r>
          <w:rPr>
            <w:noProof/>
            <w:webHidden/>
          </w:rPr>
          <w:tab/>
        </w:r>
        <w:r>
          <w:rPr>
            <w:noProof/>
            <w:webHidden/>
          </w:rPr>
          <w:fldChar w:fldCharType="begin"/>
        </w:r>
        <w:r>
          <w:rPr>
            <w:noProof/>
            <w:webHidden/>
          </w:rPr>
          <w:instrText xml:space="preserve"> PAGEREF _Toc243842810 \h </w:instrText>
        </w:r>
        <w:r>
          <w:rPr>
            <w:noProof/>
            <w:webHidden/>
          </w:rPr>
        </w:r>
        <w:r>
          <w:rPr>
            <w:noProof/>
            <w:webHidden/>
          </w:rPr>
          <w:fldChar w:fldCharType="separate"/>
        </w:r>
        <w:r w:rsidR="00804DB0">
          <w:rPr>
            <w:noProof/>
            <w:webHidden/>
          </w:rPr>
          <w:t>14</w:t>
        </w:r>
        <w:r>
          <w:rPr>
            <w:noProof/>
            <w:webHidden/>
          </w:rPr>
          <w:fldChar w:fldCharType="end"/>
        </w:r>
      </w:hyperlink>
    </w:p>
    <w:p w14:paraId="0AA700D9" w14:textId="42F8E458"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11" w:history="1">
        <w:r w:rsidRPr="008B76E7">
          <w:rPr>
            <w:rStyle w:val="Hipervnculo"/>
            <w:noProof/>
          </w:rPr>
          <w:t>4.1 Relevancia teórica</w:t>
        </w:r>
        <w:r>
          <w:rPr>
            <w:noProof/>
            <w:webHidden/>
          </w:rPr>
          <w:tab/>
        </w:r>
        <w:r>
          <w:rPr>
            <w:noProof/>
            <w:webHidden/>
          </w:rPr>
          <w:fldChar w:fldCharType="begin"/>
        </w:r>
        <w:r>
          <w:rPr>
            <w:noProof/>
            <w:webHidden/>
          </w:rPr>
          <w:instrText xml:space="preserve"> PAGEREF _Toc243842811 \h </w:instrText>
        </w:r>
        <w:r>
          <w:rPr>
            <w:noProof/>
            <w:webHidden/>
          </w:rPr>
        </w:r>
        <w:r>
          <w:rPr>
            <w:noProof/>
            <w:webHidden/>
          </w:rPr>
          <w:fldChar w:fldCharType="separate"/>
        </w:r>
        <w:r w:rsidR="00804DB0">
          <w:rPr>
            <w:noProof/>
            <w:webHidden/>
          </w:rPr>
          <w:t>14</w:t>
        </w:r>
        <w:r>
          <w:rPr>
            <w:noProof/>
            <w:webHidden/>
          </w:rPr>
          <w:fldChar w:fldCharType="end"/>
        </w:r>
      </w:hyperlink>
    </w:p>
    <w:p w14:paraId="43D837EF" w14:textId="41041366"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12" w:history="1">
        <w:r w:rsidRPr="008B76E7">
          <w:rPr>
            <w:rStyle w:val="Hipervnculo"/>
            <w:noProof/>
          </w:rPr>
          <w:t>4.2 Relevancia práctica</w:t>
        </w:r>
        <w:r>
          <w:rPr>
            <w:noProof/>
            <w:webHidden/>
          </w:rPr>
          <w:tab/>
        </w:r>
        <w:r>
          <w:rPr>
            <w:noProof/>
            <w:webHidden/>
          </w:rPr>
          <w:fldChar w:fldCharType="begin"/>
        </w:r>
        <w:r>
          <w:rPr>
            <w:noProof/>
            <w:webHidden/>
          </w:rPr>
          <w:instrText xml:space="preserve"> PAGEREF _Toc243842812 \h </w:instrText>
        </w:r>
        <w:r>
          <w:rPr>
            <w:noProof/>
            <w:webHidden/>
          </w:rPr>
        </w:r>
        <w:r>
          <w:rPr>
            <w:noProof/>
            <w:webHidden/>
          </w:rPr>
          <w:fldChar w:fldCharType="separate"/>
        </w:r>
        <w:r w:rsidR="00804DB0">
          <w:rPr>
            <w:noProof/>
            <w:webHidden/>
          </w:rPr>
          <w:t>15</w:t>
        </w:r>
        <w:r>
          <w:rPr>
            <w:noProof/>
            <w:webHidden/>
          </w:rPr>
          <w:fldChar w:fldCharType="end"/>
        </w:r>
      </w:hyperlink>
    </w:p>
    <w:p w14:paraId="58E6A104" w14:textId="5DE0FA06"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13" w:history="1">
        <w:r w:rsidRPr="008B76E7">
          <w:rPr>
            <w:rStyle w:val="Hipervnculo"/>
            <w:noProof/>
          </w:rPr>
          <w:t>4.3 Relevancia social e institucional</w:t>
        </w:r>
        <w:r>
          <w:rPr>
            <w:noProof/>
            <w:webHidden/>
          </w:rPr>
          <w:tab/>
        </w:r>
        <w:r>
          <w:rPr>
            <w:noProof/>
            <w:webHidden/>
          </w:rPr>
          <w:fldChar w:fldCharType="begin"/>
        </w:r>
        <w:r>
          <w:rPr>
            <w:noProof/>
            <w:webHidden/>
          </w:rPr>
          <w:instrText xml:space="preserve"> PAGEREF _Toc243842813 \h </w:instrText>
        </w:r>
        <w:r>
          <w:rPr>
            <w:noProof/>
            <w:webHidden/>
          </w:rPr>
        </w:r>
        <w:r>
          <w:rPr>
            <w:noProof/>
            <w:webHidden/>
          </w:rPr>
          <w:fldChar w:fldCharType="separate"/>
        </w:r>
        <w:r w:rsidR="00804DB0">
          <w:rPr>
            <w:noProof/>
            <w:webHidden/>
          </w:rPr>
          <w:t>16</w:t>
        </w:r>
        <w:r>
          <w:rPr>
            <w:noProof/>
            <w:webHidden/>
          </w:rPr>
          <w:fldChar w:fldCharType="end"/>
        </w:r>
      </w:hyperlink>
    </w:p>
    <w:p w14:paraId="22BC0473" w14:textId="5099DAC5"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14" w:history="1">
        <w:r w:rsidRPr="008B76E7">
          <w:rPr>
            <w:rStyle w:val="Hipervnculo"/>
            <w:noProof/>
          </w:rPr>
          <w:t>4.4 Originalidad</w:t>
        </w:r>
        <w:r>
          <w:rPr>
            <w:noProof/>
            <w:webHidden/>
          </w:rPr>
          <w:tab/>
        </w:r>
        <w:r>
          <w:rPr>
            <w:noProof/>
            <w:webHidden/>
          </w:rPr>
          <w:fldChar w:fldCharType="begin"/>
        </w:r>
        <w:r>
          <w:rPr>
            <w:noProof/>
            <w:webHidden/>
          </w:rPr>
          <w:instrText xml:space="preserve"> PAGEREF _Toc243842814 \h </w:instrText>
        </w:r>
        <w:r>
          <w:rPr>
            <w:noProof/>
            <w:webHidden/>
          </w:rPr>
        </w:r>
        <w:r>
          <w:rPr>
            <w:noProof/>
            <w:webHidden/>
          </w:rPr>
          <w:fldChar w:fldCharType="separate"/>
        </w:r>
        <w:r w:rsidR="00804DB0">
          <w:rPr>
            <w:noProof/>
            <w:webHidden/>
          </w:rPr>
          <w:t>17</w:t>
        </w:r>
        <w:r>
          <w:rPr>
            <w:noProof/>
            <w:webHidden/>
          </w:rPr>
          <w:fldChar w:fldCharType="end"/>
        </w:r>
      </w:hyperlink>
    </w:p>
    <w:p w14:paraId="22037C22" w14:textId="474240FF"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15" w:history="1">
        <w:r w:rsidRPr="008B76E7">
          <w:rPr>
            <w:rStyle w:val="Hipervnculo"/>
            <w:noProof/>
          </w:rPr>
          <w:t>4.5 Viabilidad</w:t>
        </w:r>
        <w:r>
          <w:rPr>
            <w:noProof/>
            <w:webHidden/>
          </w:rPr>
          <w:tab/>
        </w:r>
        <w:r>
          <w:rPr>
            <w:noProof/>
            <w:webHidden/>
          </w:rPr>
          <w:fldChar w:fldCharType="begin"/>
        </w:r>
        <w:r>
          <w:rPr>
            <w:noProof/>
            <w:webHidden/>
          </w:rPr>
          <w:instrText xml:space="preserve"> PAGEREF _Toc243842815 \h </w:instrText>
        </w:r>
        <w:r>
          <w:rPr>
            <w:noProof/>
            <w:webHidden/>
          </w:rPr>
        </w:r>
        <w:r>
          <w:rPr>
            <w:noProof/>
            <w:webHidden/>
          </w:rPr>
          <w:fldChar w:fldCharType="separate"/>
        </w:r>
        <w:r w:rsidR="00804DB0">
          <w:rPr>
            <w:noProof/>
            <w:webHidden/>
          </w:rPr>
          <w:t>18</w:t>
        </w:r>
        <w:r>
          <w:rPr>
            <w:noProof/>
            <w:webHidden/>
          </w:rPr>
          <w:fldChar w:fldCharType="end"/>
        </w:r>
      </w:hyperlink>
    </w:p>
    <w:p w14:paraId="7ABDDB58" w14:textId="2FA8EEF7"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16" w:history="1">
        <w:r w:rsidRPr="008B76E7">
          <w:rPr>
            <w:rStyle w:val="Hipervnculo"/>
            <w:noProof/>
          </w:rPr>
          <w:t>5 Hipótesis de trabajo</w:t>
        </w:r>
        <w:r>
          <w:rPr>
            <w:noProof/>
            <w:webHidden/>
          </w:rPr>
          <w:tab/>
        </w:r>
        <w:r>
          <w:rPr>
            <w:noProof/>
            <w:webHidden/>
          </w:rPr>
          <w:fldChar w:fldCharType="begin"/>
        </w:r>
        <w:r>
          <w:rPr>
            <w:noProof/>
            <w:webHidden/>
          </w:rPr>
          <w:instrText xml:space="preserve"> PAGEREF _Toc243842816 \h </w:instrText>
        </w:r>
        <w:r>
          <w:rPr>
            <w:noProof/>
            <w:webHidden/>
          </w:rPr>
        </w:r>
        <w:r>
          <w:rPr>
            <w:noProof/>
            <w:webHidden/>
          </w:rPr>
          <w:fldChar w:fldCharType="separate"/>
        </w:r>
        <w:r w:rsidR="00804DB0">
          <w:rPr>
            <w:noProof/>
            <w:webHidden/>
          </w:rPr>
          <w:t>20</w:t>
        </w:r>
        <w:r>
          <w:rPr>
            <w:noProof/>
            <w:webHidden/>
          </w:rPr>
          <w:fldChar w:fldCharType="end"/>
        </w:r>
      </w:hyperlink>
    </w:p>
    <w:p w14:paraId="6094CB9C" w14:textId="15BD985D"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17" w:history="1">
        <w:r w:rsidRPr="008B76E7">
          <w:rPr>
            <w:rStyle w:val="Hipervnculo"/>
            <w:noProof/>
          </w:rPr>
          <w:t>5.1 Hipótesis general</w:t>
        </w:r>
        <w:r>
          <w:rPr>
            <w:noProof/>
            <w:webHidden/>
          </w:rPr>
          <w:tab/>
        </w:r>
        <w:r>
          <w:rPr>
            <w:noProof/>
            <w:webHidden/>
          </w:rPr>
          <w:fldChar w:fldCharType="begin"/>
        </w:r>
        <w:r>
          <w:rPr>
            <w:noProof/>
            <w:webHidden/>
          </w:rPr>
          <w:instrText xml:space="preserve"> PAGEREF _Toc243842817 \h </w:instrText>
        </w:r>
        <w:r>
          <w:rPr>
            <w:noProof/>
            <w:webHidden/>
          </w:rPr>
        </w:r>
        <w:r>
          <w:rPr>
            <w:noProof/>
            <w:webHidden/>
          </w:rPr>
          <w:fldChar w:fldCharType="separate"/>
        </w:r>
        <w:r w:rsidR="00804DB0">
          <w:rPr>
            <w:noProof/>
            <w:webHidden/>
          </w:rPr>
          <w:t>20</w:t>
        </w:r>
        <w:r>
          <w:rPr>
            <w:noProof/>
            <w:webHidden/>
          </w:rPr>
          <w:fldChar w:fldCharType="end"/>
        </w:r>
      </w:hyperlink>
    </w:p>
    <w:p w14:paraId="4753F743" w14:textId="5D9F8D44"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18" w:history="1">
        <w:r w:rsidRPr="008B76E7">
          <w:rPr>
            <w:rStyle w:val="Hipervnculo"/>
            <w:noProof/>
          </w:rPr>
          <w:t>5.2 Hipótesis específica</w:t>
        </w:r>
        <w:r>
          <w:rPr>
            <w:noProof/>
            <w:webHidden/>
          </w:rPr>
          <w:tab/>
        </w:r>
        <w:r>
          <w:rPr>
            <w:noProof/>
            <w:webHidden/>
          </w:rPr>
          <w:fldChar w:fldCharType="begin"/>
        </w:r>
        <w:r>
          <w:rPr>
            <w:noProof/>
            <w:webHidden/>
          </w:rPr>
          <w:instrText xml:space="preserve"> PAGEREF _Toc243842818 \h </w:instrText>
        </w:r>
        <w:r>
          <w:rPr>
            <w:noProof/>
            <w:webHidden/>
          </w:rPr>
        </w:r>
        <w:r>
          <w:rPr>
            <w:noProof/>
            <w:webHidden/>
          </w:rPr>
          <w:fldChar w:fldCharType="separate"/>
        </w:r>
        <w:r w:rsidR="00804DB0">
          <w:rPr>
            <w:noProof/>
            <w:webHidden/>
          </w:rPr>
          <w:t>21</w:t>
        </w:r>
        <w:r>
          <w:rPr>
            <w:noProof/>
            <w:webHidden/>
          </w:rPr>
          <w:fldChar w:fldCharType="end"/>
        </w:r>
      </w:hyperlink>
    </w:p>
    <w:p w14:paraId="7B41AC23" w14:textId="5FF8EA8B"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19" w:history="1">
        <w:r w:rsidRPr="008B76E7">
          <w:rPr>
            <w:rStyle w:val="Hipervnculo"/>
            <w:noProof/>
          </w:rPr>
          <w:t>5.3 Tipo de hipótesis</w:t>
        </w:r>
        <w:r>
          <w:rPr>
            <w:noProof/>
            <w:webHidden/>
          </w:rPr>
          <w:tab/>
        </w:r>
        <w:r>
          <w:rPr>
            <w:noProof/>
            <w:webHidden/>
          </w:rPr>
          <w:fldChar w:fldCharType="begin"/>
        </w:r>
        <w:r>
          <w:rPr>
            <w:noProof/>
            <w:webHidden/>
          </w:rPr>
          <w:instrText xml:space="preserve"> PAGEREF _Toc243842819 \h </w:instrText>
        </w:r>
        <w:r>
          <w:rPr>
            <w:noProof/>
            <w:webHidden/>
          </w:rPr>
        </w:r>
        <w:r>
          <w:rPr>
            <w:noProof/>
            <w:webHidden/>
          </w:rPr>
          <w:fldChar w:fldCharType="separate"/>
        </w:r>
        <w:r w:rsidR="00804DB0">
          <w:rPr>
            <w:noProof/>
            <w:webHidden/>
          </w:rPr>
          <w:t>22</w:t>
        </w:r>
        <w:r>
          <w:rPr>
            <w:noProof/>
            <w:webHidden/>
          </w:rPr>
          <w:fldChar w:fldCharType="end"/>
        </w:r>
      </w:hyperlink>
    </w:p>
    <w:p w14:paraId="2175C303" w14:textId="2E584284"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20" w:history="1">
        <w:r w:rsidRPr="008B76E7">
          <w:rPr>
            <w:rStyle w:val="Hipervnculo"/>
            <w:noProof/>
          </w:rPr>
          <w:t>5.4 Criterios de calidad y contraste documental</w:t>
        </w:r>
        <w:r>
          <w:rPr>
            <w:noProof/>
            <w:webHidden/>
          </w:rPr>
          <w:tab/>
        </w:r>
        <w:r>
          <w:rPr>
            <w:noProof/>
            <w:webHidden/>
          </w:rPr>
          <w:fldChar w:fldCharType="begin"/>
        </w:r>
        <w:r>
          <w:rPr>
            <w:noProof/>
            <w:webHidden/>
          </w:rPr>
          <w:instrText xml:space="preserve"> PAGEREF _Toc243842820 \h </w:instrText>
        </w:r>
        <w:r>
          <w:rPr>
            <w:noProof/>
            <w:webHidden/>
          </w:rPr>
        </w:r>
        <w:r>
          <w:rPr>
            <w:noProof/>
            <w:webHidden/>
          </w:rPr>
          <w:fldChar w:fldCharType="separate"/>
        </w:r>
        <w:r w:rsidR="00804DB0">
          <w:rPr>
            <w:noProof/>
            <w:webHidden/>
          </w:rPr>
          <w:t>23</w:t>
        </w:r>
        <w:r>
          <w:rPr>
            <w:noProof/>
            <w:webHidden/>
          </w:rPr>
          <w:fldChar w:fldCharType="end"/>
        </w:r>
      </w:hyperlink>
    </w:p>
    <w:p w14:paraId="3DC70D27" w14:textId="14933338"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21" w:history="1">
        <w:r w:rsidRPr="008B76E7">
          <w:rPr>
            <w:rStyle w:val="Hipervnculo"/>
            <w:noProof/>
          </w:rPr>
          <w:t>6 Alcances y limitaciones</w:t>
        </w:r>
        <w:r>
          <w:rPr>
            <w:noProof/>
            <w:webHidden/>
          </w:rPr>
          <w:tab/>
        </w:r>
        <w:r>
          <w:rPr>
            <w:noProof/>
            <w:webHidden/>
          </w:rPr>
          <w:fldChar w:fldCharType="begin"/>
        </w:r>
        <w:r>
          <w:rPr>
            <w:noProof/>
            <w:webHidden/>
          </w:rPr>
          <w:instrText xml:space="preserve"> PAGEREF _Toc243842821 \h </w:instrText>
        </w:r>
        <w:r>
          <w:rPr>
            <w:noProof/>
            <w:webHidden/>
          </w:rPr>
        </w:r>
        <w:r>
          <w:rPr>
            <w:noProof/>
            <w:webHidden/>
          </w:rPr>
          <w:fldChar w:fldCharType="separate"/>
        </w:r>
        <w:r w:rsidR="00804DB0">
          <w:rPr>
            <w:noProof/>
            <w:webHidden/>
          </w:rPr>
          <w:t>25</w:t>
        </w:r>
        <w:r>
          <w:rPr>
            <w:noProof/>
            <w:webHidden/>
          </w:rPr>
          <w:fldChar w:fldCharType="end"/>
        </w:r>
      </w:hyperlink>
    </w:p>
    <w:p w14:paraId="18505A73" w14:textId="75B5E1BB"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22" w:history="1">
        <w:r w:rsidRPr="008B76E7">
          <w:rPr>
            <w:rStyle w:val="Hipervnculo"/>
            <w:noProof/>
          </w:rPr>
          <w:t>6.1 Alcances</w:t>
        </w:r>
        <w:r>
          <w:rPr>
            <w:noProof/>
            <w:webHidden/>
          </w:rPr>
          <w:tab/>
        </w:r>
        <w:r>
          <w:rPr>
            <w:noProof/>
            <w:webHidden/>
          </w:rPr>
          <w:fldChar w:fldCharType="begin"/>
        </w:r>
        <w:r>
          <w:rPr>
            <w:noProof/>
            <w:webHidden/>
          </w:rPr>
          <w:instrText xml:space="preserve"> PAGEREF _Toc243842822 \h </w:instrText>
        </w:r>
        <w:r>
          <w:rPr>
            <w:noProof/>
            <w:webHidden/>
          </w:rPr>
        </w:r>
        <w:r>
          <w:rPr>
            <w:noProof/>
            <w:webHidden/>
          </w:rPr>
          <w:fldChar w:fldCharType="separate"/>
        </w:r>
        <w:r w:rsidR="00804DB0">
          <w:rPr>
            <w:noProof/>
            <w:webHidden/>
          </w:rPr>
          <w:t>25</w:t>
        </w:r>
        <w:r>
          <w:rPr>
            <w:noProof/>
            <w:webHidden/>
          </w:rPr>
          <w:fldChar w:fldCharType="end"/>
        </w:r>
      </w:hyperlink>
    </w:p>
    <w:p w14:paraId="5DAAB9FA" w14:textId="22C4DC15"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23" w:history="1">
        <w:r w:rsidRPr="008B76E7">
          <w:rPr>
            <w:rStyle w:val="Hipervnculo"/>
            <w:noProof/>
          </w:rPr>
          <w:t>6.2 Limitaciones</w:t>
        </w:r>
        <w:r>
          <w:rPr>
            <w:noProof/>
            <w:webHidden/>
          </w:rPr>
          <w:tab/>
        </w:r>
        <w:r>
          <w:rPr>
            <w:noProof/>
            <w:webHidden/>
          </w:rPr>
          <w:fldChar w:fldCharType="begin"/>
        </w:r>
        <w:r>
          <w:rPr>
            <w:noProof/>
            <w:webHidden/>
          </w:rPr>
          <w:instrText xml:space="preserve"> PAGEREF _Toc243842823 \h </w:instrText>
        </w:r>
        <w:r>
          <w:rPr>
            <w:noProof/>
            <w:webHidden/>
          </w:rPr>
        </w:r>
        <w:r>
          <w:rPr>
            <w:noProof/>
            <w:webHidden/>
          </w:rPr>
          <w:fldChar w:fldCharType="separate"/>
        </w:r>
        <w:r w:rsidR="00804DB0">
          <w:rPr>
            <w:noProof/>
            <w:webHidden/>
          </w:rPr>
          <w:t>26</w:t>
        </w:r>
        <w:r>
          <w:rPr>
            <w:noProof/>
            <w:webHidden/>
          </w:rPr>
          <w:fldChar w:fldCharType="end"/>
        </w:r>
      </w:hyperlink>
    </w:p>
    <w:p w14:paraId="79ADA19B" w14:textId="15245F05"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24" w:history="1">
        <w:r w:rsidRPr="008B76E7">
          <w:rPr>
            <w:rStyle w:val="Hipervnculo"/>
            <w:noProof/>
          </w:rPr>
          <w:t>7 Marco teórico</w:t>
        </w:r>
        <w:r>
          <w:rPr>
            <w:noProof/>
            <w:webHidden/>
          </w:rPr>
          <w:tab/>
        </w:r>
        <w:r>
          <w:rPr>
            <w:noProof/>
            <w:webHidden/>
          </w:rPr>
          <w:fldChar w:fldCharType="begin"/>
        </w:r>
        <w:r>
          <w:rPr>
            <w:noProof/>
            <w:webHidden/>
          </w:rPr>
          <w:instrText xml:space="preserve"> PAGEREF _Toc243842824 \h </w:instrText>
        </w:r>
        <w:r>
          <w:rPr>
            <w:noProof/>
            <w:webHidden/>
          </w:rPr>
        </w:r>
        <w:r>
          <w:rPr>
            <w:noProof/>
            <w:webHidden/>
          </w:rPr>
          <w:fldChar w:fldCharType="separate"/>
        </w:r>
        <w:r w:rsidR="00804DB0">
          <w:rPr>
            <w:noProof/>
            <w:webHidden/>
          </w:rPr>
          <w:t>27</w:t>
        </w:r>
        <w:r>
          <w:rPr>
            <w:noProof/>
            <w:webHidden/>
          </w:rPr>
          <w:fldChar w:fldCharType="end"/>
        </w:r>
      </w:hyperlink>
    </w:p>
    <w:p w14:paraId="151DA5D5" w14:textId="4600076A"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25" w:history="1">
        <w:r w:rsidRPr="008B76E7">
          <w:rPr>
            <w:rStyle w:val="Hipervnculo"/>
            <w:noProof/>
          </w:rPr>
          <w:t>8 Métodos o procedimientos</w:t>
        </w:r>
        <w:r>
          <w:rPr>
            <w:noProof/>
            <w:webHidden/>
          </w:rPr>
          <w:tab/>
        </w:r>
        <w:r>
          <w:rPr>
            <w:noProof/>
            <w:webHidden/>
          </w:rPr>
          <w:fldChar w:fldCharType="begin"/>
        </w:r>
        <w:r>
          <w:rPr>
            <w:noProof/>
            <w:webHidden/>
          </w:rPr>
          <w:instrText xml:space="preserve"> PAGEREF _Toc243842825 \h </w:instrText>
        </w:r>
        <w:r>
          <w:rPr>
            <w:noProof/>
            <w:webHidden/>
          </w:rPr>
        </w:r>
        <w:r>
          <w:rPr>
            <w:noProof/>
            <w:webHidden/>
          </w:rPr>
          <w:fldChar w:fldCharType="separate"/>
        </w:r>
        <w:r w:rsidR="00804DB0">
          <w:rPr>
            <w:noProof/>
            <w:webHidden/>
          </w:rPr>
          <w:t>27</w:t>
        </w:r>
        <w:r>
          <w:rPr>
            <w:noProof/>
            <w:webHidden/>
          </w:rPr>
          <w:fldChar w:fldCharType="end"/>
        </w:r>
      </w:hyperlink>
    </w:p>
    <w:p w14:paraId="2D6F8CDC" w14:textId="6BB17DDD"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26" w:history="1">
        <w:r w:rsidRPr="008B76E7">
          <w:rPr>
            <w:rStyle w:val="Hipervnculo"/>
            <w:noProof/>
          </w:rPr>
          <w:t>9 Cronograma de actividades</w:t>
        </w:r>
        <w:r>
          <w:rPr>
            <w:noProof/>
            <w:webHidden/>
          </w:rPr>
          <w:tab/>
        </w:r>
        <w:r>
          <w:rPr>
            <w:noProof/>
            <w:webHidden/>
          </w:rPr>
          <w:fldChar w:fldCharType="begin"/>
        </w:r>
        <w:r>
          <w:rPr>
            <w:noProof/>
            <w:webHidden/>
          </w:rPr>
          <w:instrText xml:space="preserve"> PAGEREF _Toc243842826 \h </w:instrText>
        </w:r>
        <w:r>
          <w:rPr>
            <w:noProof/>
            <w:webHidden/>
          </w:rPr>
        </w:r>
        <w:r>
          <w:rPr>
            <w:noProof/>
            <w:webHidden/>
          </w:rPr>
          <w:fldChar w:fldCharType="separate"/>
        </w:r>
        <w:r w:rsidR="00804DB0">
          <w:rPr>
            <w:noProof/>
            <w:webHidden/>
          </w:rPr>
          <w:t>27</w:t>
        </w:r>
        <w:r>
          <w:rPr>
            <w:noProof/>
            <w:webHidden/>
          </w:rPr>
          <w:fldChar w:fldCharType="end"/>
        </w:r>
      </w:hyperlink>
    </w:p>
    <w:p w14:paraId="2B7B9B68" w14:textId="2E09D762"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27" w:history="1">
        <w:r w:rsidRPr="008B76E7">
          <w:rPr>
            <w:rStyle w:val="Hipervnculo"/>
            <w:noProof/>
          </w:rPr>
          <w:t>Referencias</w:t>
        </w:r>
        <w:r>
          <w:rPr>
            <w:noProof/>
            <w:webHidden/>
          </w:rPr>
          <w:tab/>
        </w:r>
        <w:r>
          <w:rPr>
            <w:noProof/>
            <w:webHidden/>
          </w:rPr>
          <w:fldChar w:fldCharType="begin"/>
        </w:r>
        <w:r>
          <w:rPr>
            <w:noProof/>
            <w:webHidden/>
          </w:rPr>
          <w:instrText xml:space="preserve"> PAGEREF _Toc243842827 \h </w:instrText>
        </w:r>
        <w:r>
          <w:rPr>
            <w:noProof/>
            <w:webHidden/>
          </w:rPr>
        </w:r>
        <w:r>
          <w:rPr>
            <w:noProof/>
            <w:webHidden/>
          </w:rPr>
          <w:fldChar w:fldCharType="separate"/>
        </w:r>
        <w:r w:rsidR="00804DB0">
          <w:rPr>
            <w:noProof/>
            <w:webHidden/>
          </w:rPr>
          <w:t>28</w:t>
        </w:r>
        <w:r>
          <w:rPr>
            <w:noProof/>
            <w:webHidden/>
          </w:rPr>
          <w:fldChar w:fldCharType="end"/>
        </w:r>
      </w:hyperlink>
    </w:p>
    <w:p w14:paraId="4005A332" w14:textId="5A2ED426"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28" w:history="1">
        <w:r w:rsidRPr="008B76E7">
          <w:rPr>
            <w:rStyle w:val="Hipervnculo"/>
            <w:noProof/>
          </w:rPr>
          <w:t>Anexo 1 Matriz de consistencia</w:t>
        </w:r>
        <w:r>
          <w:rPr>
            <w:noProof/>
            <w:webHidden/>
          </w:rPr>
          <w:tab/>
        </w:r>
        <w:r>
          <w:rPr>
            <w:noProof/>
            <w:webHidden/>
          </w:rPr>
          <w:fldChar w:fldCharType="begin"/>
        </w:r>
        <w:r>
          <w:rPr>
            <w:noProof/>
            <w:webHidden/>
          </w:rPr>
          <w:instrText xml:space="preserve"> PAGEREF _Toc243842828 \h </w:instrText>
        </w:r>
        <w:r>
          <w:rPr>
            <w:noProof/>
            <w:webHidden/>
          </w:rPr>
        </w:r>
        <w:r>
          <w:rPr>
            <w:noProof/>
            <w:webHidden/>
          </w:rPr>
          <w:fldChar w:fldCharType="separate"/>
        </w:r>
        <w:r w:rsidR="00804DB0">
          <w:rPr>
            <w:noProof/>
            <w:webHidden/>
          </w:rPr>
          <w:t>32</w:t>
        </w:r>
        <w:r>
          <w:rPr>
            <w:noProof/>
            <w:webHidden/>
          </w:rPr>
          <w:fldChar w:fldCharType="end"/>
        </w:r>
      </w:hyperlink>
    </w:p>
    <w:p w14:paraId="33529AC5" w14:textId="3F539889" w:rsidR="00380A98" w:rsidRDefault="00380A98">
      <w:pPr>
        <w:pStyle w:val="TDC2"/>
        <w:rPr>
          <w:rFonts w:asciiTheme="minorHAnsi" w:eastAsiaTheme="minorEastAsia" w:hAnsiTheme="minorHAnsi" w:cstheme="minorBidi"/>
          <w:noProof/>
          <w:color w:val="auto"/>
          <w:kern w:val="2"/>
          <w:sz w:val="24"/>
          <w:szCs w:val="24"/>
          <w:lang w:eastAsia="es-MX"/>
          <w14:ligatures w14:val="standardContextual"/>
        </w:rPr>
      </w:pPr>
      <w:hyperlink w:anchor="_Toc243842829" w:history="1">
        <w:r w:rsidRPr="008B76E7">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_Toc243842829 \h </w:instrText>
        </w:r>
        <w:r>
          <w:rPr>
            <w:noProof/>
            <w:webHidden/>
          </w:rPr>
        </w:r>
        <w:r>
          <w:rPr>
            <w:noProof/>
            <w:webHidden/>
          </w:rPr>
          <w:fldChar w:fldCharType="separate"/>
        </w:r>
        <w:r w:rsidR="00804DB0">
          <w:rPr>
            <w:noProof/>
            <w:webHidden/>
          </w:rPr>
          <w:t>33</w:t>
        </w:r>
        <w:r>
          <w:rPr>
            <w:noProof/>
            <w:webHidden/>
          </w:rPr>
          <w:fldChar w:fldCharType="end"/>
        </w:r>
      </w:hyperlink>
    </w:p>
    <w:p w14:paraId="030836BC" w14:textId="422BAB5A" w:rsidR="00380A98" w:rsidRDefault="00380A98">
      <w:pPr>
        <w:pStyle w:val="TDC1"/>
        <w:rPr>
          <w:rFonts w:asciiTheme="minorHAnsi" w:eastAsiaTheme="minorEastAsia" w:hAnsiTheme="minorHAnsi" w:cstheme="minorBidi"/>
          <w:noProof/>
          <w:color w:val="auto"/>
          <w:kern w:val="2"/>
          <w:sz w:val="24"/>
          <w:szCs w:val="24"/>
          <w:lang w:eastAsia="es-MX"/>
          <w14:ligatures w14:val="standardContextual"/>
        </w:rPr>
      </w:pPr>
      <w:hyperlink w:anchor="_Toc243842830" w:history="1">
        <w:r w:rsidRPr="008B76E7">
          <w:rPr>
            <w:rStyle w:val="Hipervnculo"/>
            <w:noProof/>
          </w:rPr>
          <w:t>Anexo 2 Círculo de Covey</w:t>
        </w:r>
        <w:r>
          <w:rPr>
            <w:noProof/>
            <w:webHidden/>
          </w:rPr>
          <w:tab/>
        </w:r>
        <w:r>
          <w:rPr>
            <w:noProof/>
            <w:webHidden/>
          </w:rPr>
          <w:fldChar w:fldCharType="begin"/>
        </w:r>
        <w:r>
          <w:rPr>
            <w:noProof/>
            <w:webHidden/>
          </w:rPr>
          <w:instrText xml:space="preserve"> PAGEREF _Toc243842830 \h </w:instrText>
        </w:r>
        <w:r>
          <w:rPr>
            <w:noProof/>
            <w:webHidden/>
          </w:rPr>
        </w:r>
        <w:r>
          <w:rPr>
            <w:noProof/>
            <w:webHidden/>
          </w:rPr>
          <w:fldChar w:fldCharType="separate"/>
        </w:r>
        <w:r w:rsidR="00804DB0">
          <w:rPr>
            <w:noProof/>
            <w:webHidden/>
          </w:rPr>
          <w:t>36</w:t>
        </w:r>
        <w:r>
          <w:rPr>
            <w:noProof/>
            <w:webHidden/>
          </w:rPr>
          <w:fldChar w:fldCharType="end"/>
        </w:r>
      </w:hyperlink>
    </w:p>
    <w:p w14:paraId="1EAD0E37" w14:textId="6D28827E" w:rsidR="00B55F17" w:rsidRDefault="00CF4059">
      <w:pPr>
        <w:ind w:firstLine="0"/>
      </w:pPr>
      <w:r>
        <w:fldChar w:fldCharType="end"/>
      </w:r>
    </w:p>
    <w:p w14:paraId="7007134B" w14:textId="77777777" w:rsidR="00B55F17" w:rsidRDefault="00CF4059">
      <w:pPr>
        <w:pStyle w:val="Ttulo1"/>
        <w:pageBreakBefore/>
        <w:spacing w:before="120" w:after="80"/>
      </w:pPr>
      <w:bookmarkStart w:id="0" w:name="_Toc243842802"/>
      <w:r>
        <w:lastRenderedPageBreak/>
        <w:t>1 Antecedentes</w:t>
      </w:r>
      <w:bookmarkEnd w:id="0"/>
    </w:p>
    <w:p w14:paraId="5A7C10BE" w14:textId="77777777" w:rsidR="00B55F17" w:rsidRDefault="00CF4059">
      <w:pPr>
        <w:keepNext/>
        <w:ind w:firstLine="0"/>
      </w:pPr>
      <w:r>
        <w:rPr>
          <w:b/>
        </w:rPr>
        <w:t>Contextualización general</w:t>
      </w:r>
    </w:p>
    <w:p w14:paraId="649B2376"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2EAC48EC"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22766485"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32FB138A" w14:textId="77777777" w:rsidR="00B55F17" w:rsidRDefault="00CF4059">
      <w:pPr>
        <w:keepNext/>
        <w:ind w:firstLine="0"/>
      </w:pPr>
      <w:r>
        <w:rPr>
          <w:b/>
        </w:rPr>
        <w:t>Estado del arte</w:t>
      </w:r>
    </w:p>
    <w:p w14:paraId="65296B13"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00FD9EDC"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1CC40111"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2669A3EC"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3DC2634C"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65683289"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6967A4B5" w14:textId="77777777" w:rsidR="00B8658C" w:rsidRDefault="00395729">
      <w:r>
        <w:t>La gestión del cumplimiento exige distinguir entre adoptar documentos formales y administrar su aplicación. En el resumen editorial de Parker y Nielsen (2009) se describe un análisis de respuestas de 999 grandes empresas australianas sobre sistemas de cumplimiento de normas de competencia y protección al consumidor. Los autores diferencian la adopción formal de los sistemas y su gestión práctica, y destacan la importancia del compromiso directivo, la supervisión, la planeación y los recursos organizacionales (Parker &amp; Nielsen, 2009). Este antecedente se relaciona directamente con el objeto administrativo de vTaxi: no basta reunir requisitos; deben examinarse responsabilidades, controles y evidencias. La muestra, el sector y el país no permiten trasladar sus resultados como diagnóstico del proyecto.</w:t>
      </w:r>
    </w:p>
    <w:p w14:paraId="4826A605" w14:textId="77777777" w:rsidR="00B8658C" w:rsidRDefault="00395729">
      <w:r>
        <w:lastRenderedPageBreak/>
        <w:t>En movilidad digital, el resumen editorial de Thelen (2018) compara la recepción de Uber en Estados Unidos, Alemania y Suecia. Describe respuestas regulatorias diferentes y relaciona los conflictos con los actores y coaliciones movilizados en cada contexto (Thelen, 2018). Su aportación al anteproyecto es advertir que una plataforma opera dentro de relaciones institucionales concretas, no bajo una ruta universal de formalización. A diferencia de Parker y Nielsen, su nivel de análisis es el entorno político-institucional, no los controles internos de una empresa. Ambos enfoques son complementarios para distinguir la organización interna del cumplimiento y las condiciones externas, sin equiparar vTaxi con Uber ni importar requisitos de otros países.</w:t>
      </w:r>
    </w:p>
    <w:p w14:paraId="0DBBE7BC" w14:textId="77777777" w:rsidR="00B8658C" w:rsidRDefault="00395729">
      <w:r>
        <w:t>Esta ampliación constituye un primer puente entre los antecedentes sobre transformación digital y la gestión del cumplimiento en servicios de movilidad. Se sustenta en los resúmenes editoriales consultados, no en la revisión de los textos íntegros ni de sus datos. Los estudios no ofrecen evidencia empírica de vTaxi o de Nuevo León; permanece abierta la búsqueda de investigaciones recientes y regionales sobre gestión regulatoria, formalización de plataformas y movilidad. Por ello, no sustituyen la revisión específica posterior ni los diez estudios de la matriz anterior. El vacío que orienta el caso es cómo convertir obligaciones aplicables en procedimientos, responsabilidades, documentación y seguimiento verificables dentro de la organización.</w:t>
      </w:r>
    </w:p>
    <w:p w14:paraId="7CB5C992" w14:textId="77777777" w:rsidR="001A6421" w:rsidRDefault="00BF28F6">
      <w:r>
        <w:t xml:space="preserve">En México, Lamas Flores y Acosta Reveles (2025) estudian las estrategias de cabildeo de plataformas de transporte y reparto desde un enfoque cualitativo y analítico. Combinan seguimiento de etiquetas de Twitter entre 2015 y 2018, revisión hemerográfica y entrevistas semiestructuradas a un integrante de cada una de dos organizaciones de conductores y repartidores. Las autoras identifican acciones mediante medios de comunicación, redes sociales y movilización de apoyos con recursos jurisdiccionales para influir en la regulación. Este antecedente muestra la importancia del entorno institucional y de distinguir la información </w:t>
      </w:r>
      <w:r>
        <w:lastRenderedPageBreak/>
        <w:t>empresarial de la evidencia verificable; no mide controles internos de vTaxi ni permite generalizar a todas las plataformas mexicanas.</w:t>
      </w:r>
    </w:p>
    <w:p w14:paraId="6502E1AB" w14:textId="77777777" w:rsidR="001A6421" w:rsidRDefault="00BF28F6">
      <w:r>
        <w:t>La diferencia del presente caso es su escala organizacional: examina la correspondencia entre controles de gestión y preparación de documentos de una plataforma para taxis concesionados en Monterrey. El estudio de Lamas Flores y Acosta Reveles (2025) aporta contexto mexicano sobre formación y controversia de reglas, mientras Parker y Nielsen (2009) orientan la distinción entre sistemas formales y gestión práctica. Ninguno sustituye el diagnóstico del expediente. La aportación propuesta consiste en hacer trazable cada requisito aplicable, responsable, evidencia y observación, sin atribuir a vTaxi prácticas de las empresas estudiadas ni trasladarles sus resultados.</w:t>
      </w:r>
    </w:p>
    <w:p w14:paraId="3A98523C" w14:textId="77777777" w:rsidR="00B55F17" w:rsidRDefault="00CF4059">
      <w:pPr>
        <w:keepNext/>
        <w:ind w:firstLine="0"/>
      </w:pPr>
      <w:r>
        <w:rPr>
          <w:b/>
        </w:rPr>
        <w:t>Vacíos identificados</w:t>
      </w:r>
    </w:p>
    <w:p w14:paraId="00979DF8"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5393E239" w14:textId="77777777" w:rsidR="00B55F17" w:rsidRDefault="00CF4059">
      <w:r>
        <w:t>También persiste un límite de transferencia. Las asociaciones identificadas en otros países o en muestras de empresas mexicanas no acreditan la situación jurídica de una 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6B5A8836" w14:textId="77777777" w:rsidR="00B55F17" w:rsidRDefault="00CF4059">
      <w:pPr>
        <w:keepNext/>
        <w:ind w:firstLine="0"/>
      </w:pPr>
      <w:r>
        <w:rPr>
          <w:b/>
        </w:rPr>
        <w:lastRenderedPageBreak/>
        <w:t>Pertinencia del estudio</w:t>
      </w:r>
    </w:p>
    <w:p w14:paraId="0B286D51"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28F66CE8"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10BCC7C4" w14:textId="77777777" w:rsidR="00B55F17" w:rsidRDefault="00CF4059">
      <w:pPr>
        <w:keepNext/>
        <w:ind w:firstLine="0"/>
      </w:pPr>
      <w:r>
        <w:rPr>
          <w:b/>
        </w:rPr>
        <w:t>Cierre de los antecedentes</w:t>
      </w:r>
    </w:p>
    <w:p w14:paraId="3548689F"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Monterrey, Nuevo León.</w:t>
      </w:r>
    </w:p>
    <w:p w14:paraId="35E25B01" w14:textId="77777777" w:rsidR="00B55F17" w:rsidRDefault="00CF4059">
      <w:pPr>
        <w:pStyle w:val="Ttulo1"/>
        <w:pageBreakBefore/>
        <w:spacing w:before="120" w:after="80"/>
      </w:pPr>
      <w:bookmarkStart w:id="1" w:name="_Toc243842803"/>
      <w:r>
        <w:lastRenderedPageBreak/>
        <w:t>2 Planteamiento del problema</w:t>
      </w:r>
      <w:bookmarkEnd w:id="1"/>
    </w:p>
    <w:p w14:paraId="47C9F487"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29B6BD9B" w14:textId="77777777" w:rsidR="00B55F17" w:rsidRDefault="00CF4059">
      <w:pPr>
        <w:pStyle w:val="Ttulo2"/>
        <w:spacing w:before="240" w:after="80"/>
      </w:pPr>
      <w:bookmarkStart w:id="2" w:name="_Toc243842804"/>
      <w:r>
        <w:t>2.1 Enunciado del problema</w:t>
      </w:r>
      <w:bookmarkEnd w:id="2"/>
    </w:p>
    <w:p w14:paraId="62949FA0"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7ABC9F6D"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313D24CA"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11B92D88"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08146D36" w14:textId="77777777" w:rsidR="00B55F17" w:rsidRDefault="00CF4059">
      <w:r>
        <w:t>La unidad de análisis será el proyecto vTaxi y su proceso de preparación administrativa. El ámbito espacial es el municipio de Monterrey,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12AE69F1"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4822F44E" w14:textId="77777777" w:rsidR="00B55F17" w:rsidRDefault="00CF4059">
      <w:r>
        <w:rPr>
          <w:b/>
        </w:rPr>
        <w:t>Los borradores regulatorios de vTaxi no acreditan una ruta validada de requisitos, responsables y evidencias para su formalización como plataforma de taxis concesionados en Monterrey, Nuevo León.</w:t>
      </w:r>
    </w:p>
    <w:p w14:paraId="00031F32" w14:textId="77777777" w:rsidR="00B8658C" w:rsidRDefault="00395729">
      <w:r>
        <w:lastRenderedPageBreak/>
        <w:t>El núcleo del problema es administrativo: la falta de una ruta acreditada impide comprobar cómo se distribuyen responsabilidades, se documentan decisiones y se da seguimiento a las observaciones del expediente. La normativa funciona como referente para identificar obligaciones aplicables, no como objeto exclusivo de una interpretación jurídica. El diagnóstico distinguirá la existencia de documentos de la existencia de mecanismos de gestión que permitan mantenerlos íntegros, coherentes y actualizados. Se examinarán procedimientos, responsables, controles e indicadores propuestos de preparación organizacional, sin afirmar que ya estén implementados.</w:t>
      </w:r>
    </w:p>
    <w:p w14:paraId="12D05FE3" w14:textId="77777777" w:rsidR="00B55F17" w:rsidRDefault="00CF4059">
      <w:pPr>
        <w:pStyle w:val="Ttulo2"/>
        <w:spacing w:before="240" w:after="80"/>
      </w:pPr>
      <w:bookmarkStart w:id="3" w:name="_Toc243842805"/>
      <w:r>
        <w:t>2.2 Formulación del problema</w:t>
      </w:r>
      <w:bookmarkEnd w:id="3"/>
    </w:p>
    <w:p w14:paraId="5EFB4D13" w14:textId="77777777" w:rsidR="00B55F17" w:rsidRDefault="00CF4059">
      <w:r>
        <w:t>¿Cómo se relaciona el nivel de gestión del cumplimiento normativo con el grado de preparación administrativa de vTaxi para su formalización como plataforma de taxis concesionados en Monterrey, Nuevo León durante septiembre a noviembre de 2026?</w:t>
      </w:r>
    </w:p>
    <w:p w14:paraId="69C8AFBF"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530B32D0"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6FA93C23" w14:textId="77777777" w:rsidR="00B55F17" w:rsidRDefault="00CF4059">
      <w:pPr>
        <w:pStyle w:val="Ttulo2"/>
        <w:spacing w:before="240" w:after="80"/>
      </w:pPr>
      <w:bookmarkStart w:id="4" w:name="_Toc243842806"/>
      <w:r>
        <w:lastRenderedPageBreak/>
        <w:t>2.3 Preguntas específicas</w:t>
      </w:r>
      <w:bookmarkEnd w:id="4"/>
    </w:p>
    <w:p w14:paraId="4A74FE1B"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05452129" w14:textId="77777777" w:rsidR="00B55F17" w:rsidRDefault="00CF4059">
      <w:pPr>
        <w:ind w:left="360" w:hanging="360"/>
      </w:pPr>
      <w:r>
        <w:t>2. ¿Qué diferencias existen entre los requisitos aplicables y las evidencias jurídicas, técnicas y operativas disponibles en los borradores del proyecto?</w:t>
      </w:r>
    </w:p>
    <w:p w14:paraId="4815E315"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0AB57785" w14:textId="77777777" w:rsidR="00B55F17" w:rsidRDefault="00CF4059">
      <w:pPr>
        <w:ind w:left="360" w:hanging="360"/>
      </w:pPr>
      <w:r>
        <w:t>4. ¿Qué acciones de gestión deben priorizarse para fortalecer la preparación del expediente de vTaxi sin confundir capacitación de conductores con autorización de la plataforma?</w:t>
      </w:r>
    </w:p>
    <w:p w14:paraId="6EB6E974" w14:textId="77777777" w:rsidR="00B55F17" w:rsidRDefault="00CF4059">
      <w:pPr>
        <w:pStyle w:val="Ttulo1"/>
        <w:spacing w:before="120" w:after="80"/>
      </w:pPr>
      <w:bookmarkStart w:id="5" w:name="_Toc243842807"/>
      <w:r>
        <w:t>3 Formulación de objetivos general y específicos</w:t>
      </w:r>
      <w:bookmarkEnd w:id="5"/>
    </w:p>
    <w:p w14:paraId="7A26F38F" w14:textId="77777777" w:rsidR="00B8658C" w:rsidRDefault="00395729">
      <w:r>
        <w:t>Los objetivos traducen la brecha documental del proyecto en metas observables y alcanzables, de acuerdo con las pautas de formulación del material de Seminario I (Instituto Tecnológico Superior de Cajeme, s. f.-a). El objetivo general conserva las variables, el ámbito y el periodo de la pregunta de investigación. Los cuatro objetivos específicos corresponden, en el mismo orden, a las preguntas sobre requisitos, brechas, controles de gestión y prioridades de atención; sus resultados parciales permitirán examinar la preparación administrativa de vTaxi.</w:t>
      </w:r>
      <w:r>
        <w:rPr>
          <w:vertAlign w:val="superscript"/>
        </w:rPr>
        <w:footnoteReference w:id="1"/>
      </w:r>
    </w:p>
    <w:p w14:paraId="435AAEDC" w14:textId="77777777" w:rsidR="00B55F17" w:rsidRDefault="00CF4059">
      <w:pPr>
        <w:pStyle w:val="Ttulo2"/>
        <w:spacing w:before="120" w:after="80"/>
      </w:pPr>
      <w:bookmarkStart w:id="6" w:name="_Toc243842808"/>
      <w:r>
        <w:lastRenderedPageBreak/>
        <w:t>3.1 Objetivo general</w:t>
      </w:r>
      <w:bookmarkEnd w:id="6"/>
    </w:p>
    <w:p w14:paraId="08F2F5C8" w14:textId="77777777" w:rsidR="00B8658C" w:rsidRDefault="00395729">
      <w:pPr>
        <w:keepLines/>
      </w:pPr>
      <w:r>
        <w:t>Analizar la relación entre el nivel de gestión del cumplimiento normativo y el grado de preparación administrativa de vTaxi para su formalización como plataforma de taxis concesionados en Monterrey, Nuevo León durante septiembre a noviembre de 2026, mediante el contraste documental de requisitos, responsabilidades y evidencias del proyecto.</w:t>
      </w:r>
    </w:p>
    <w:p w14:paraId="6BCBB48C" w14:textId="77777777" w:rsidR="00B55F17" w:rsidRDefault="00CF4059">
      <w:pPr>
        <w:pStyle w:val="Ttulo2"/>
        <w:spacing w:before="120" w:after="80"/>
      </w:pPr>
      <w:bookmarkStart w:id="7" w:name="_Toc243842809"/>
      <w:r>
        <w:t>3.2 Objetivos específicos</w:t>
      </w:r>
      <w:bookmarkEnd w:id="7"/>
    </w:p>
    <w:p w14:paraId="00DA5639" w14:textId="77777777" w:rsidR="00B8658C" w:rsidRDefault="00395729">
      <w:pPr>
        <w:keepLines/>
        <w:ind w:firstLine="0"/>
      </w:pPr>
      <w:r>
        <w:t>1. 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p>
    <w:p w14:paraId="532A89D2" w14:textId="77777777" w:rsidR="00B8658C" w:rsidRDefault="00395729">
      <w:pPr>
        <w:keepLines/>
        <w:ind w:firstLine="0"/>
      </w:pPr>
      <w:r>
        <w:t>2. Diagnosticar las brechas de organización y gestión documental entre los requisitos aplicables y las evidencias disponibles de vTaxi, considerando la asignación de responsabilidades, los controles de seguimiento y la integridad y coherencia del expediente.</w:t>
      </w:r>
    </w:p>
    <w:p w14:paraId="21F61136" w14:textId="77777777" w:rsidR="00B8658C" w:rsidRDefault="00395729">
      <w:pPr>
        <w:keepLines/>
        <w:ind w:firstLine="0"/>
      </w:pPr>
      <w: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77FF1456" w14:textId="77777777" w:rsidR="00B8658C" w:rsidRDefault="00395729">
      <w:pPr>
        <w:keepLines/>
        <w:ind w:firstLine="0"/>
      </w:pPr>
      <w:r>
        <w:t>4. Proponer una ruta priorizada de gestión para fortalecer la preparación administrativa del expediente de vTaxi, con acciones, responsables propuestos y evidencias de atención, diferenciando la capacitación de conductores de la autorización de la plataforma.</w:t>
      </w:r>
    </w:p>
    <w:p w14:paraId="0FBC31A3" w14:textId="77777777" w:rsidR="00B8658C" w:rsidRDefault="00395729">
      <w:r>
        <w:t xml:space="preserve">La verificación se realizará mediante un catálogo administrativo de requisitos y procesos, un diagnóstico de brechas de gestión, una matriz de controles e indicadores y una ruta priorizada de atención. El centro del análisis serán la organización de procedimientos, las responsabilidades, la gestión documental y el seguimiento, no una enumeración de disposiciones. La distinción entre adopción formal y gestión práctica del cumplimiento orienta </w:t>
      </w:r>
      <w:r>
        <w:lastRenderedPageBreak/>
        <w:t>esta prioridad (Parker &amp; Nielsen, 2009). Cada resultado deberá tener respaldo identificable. La relación entre variables se examinará dentro del caso, sin inferir causalidad ni correlación poblacional. Se distinguirán formación de conductores y autorización: la oferta del ICET no acredita el permiso de la plataforma (Instituto de Capacitación y Educación para el Trabajo del Estado de Nuevo León, s. f.).</w:t>
      </w:r>
      <w:r>
        <w:br/>
      </w:r>
      <w:r>
        <w:br/>
        <w:t>Como criterios propuestos de seguimiento se registrarán la cobertura de responsabilidades (requisitos aplicables con responsable documentado entre requisitos aplicables revisados), la trazabilidad documental (requisitos con evidencia verificable entre requisitos aplicables revisados) y el cierre de observaciones (observaciones cerradas con evidencia de revisión entre observaciones registradas). Las razones podrán expresarse en porcentaje; si el denominador es cero se indicará no aplicable. Se conservarán numerador, denominador y documento de respaldo, sin inventar mediciones ni metas. Son indicadores del caso para orientar el diagnóstico, no escalas validadas ni pruebas de causalidad. Su interpretación conjunta permitirá distinguir una lista normativa de un proceso administrado de preparación del expediente.</w:t>
      </w:r>
    </w:p>
    <w:p w14:paraId="41C90093" w14:textId="77777777" w:rsidR="00B55F17" w:rsidRDefault="00CF4059">
      <w:pPr>
        <w:pStyle w:val="Ttulo1"/>
        <w:spacing w:before="120" w:after="80"/>
      </w:pPr>
      <w:bookmarkStart w:id="8" w:name="_Toc243842810"/>
      <w:r>
        <w:t>4 Justificación</w:t>
      </w:r>
      <w:bookmarkEnd w:id="8"/>
    </w:p>
    <w:p w14:paraId="5727D062" w14:textId="77777777" w:rsidR="00526E6F" w:rsidRDefault="008A3FBF">
      <w:pPr>
        <w:pStyle w:val="Ttulo2"/>
      </w:pPr>
      <w:bookmarkStart w:id="9" w:name="_Toc243842811"/>
      <w:r>
        <w:t>4.1 Relevancia teórica</w:t>
      </w:r>
      <w:bookmarkEnd w:id="9"/>
    </w:p>
    <w:p w14:paraId="2D72164C" w14:textId="77777777" w:rsidR="00526E6F" w:rsidRDefault="008A3FBF">
      <w:r>
        <w:t>La transformación digital de una organización no se reduce a incorporar una aplicación: requiere relacionar los recursos tecnológicos con decisiones, responsabilidades y procesos. Kraus et al. (2021) ofrecen un panorama de ese campo, mientras que los antecedentes del corpus de MiPyMEs muestran la necesidad de delimitar el contexto antes de trasladar sus resultados. En este estudio, el interés teórico consiste en examinar cómo se relaciona la gestión del cumplimiento normativo con la preparación administrativa de un expediente; no en demostrar que la digitalización produzca automáticamente formalización o competitividad.</w:t>
      </w:r>
    </w:p>
    <w:p w14:paraId="0CCE1B28" w14:textId="77777777" w:rsidR="00526E6F" w:rsidRDefault="008A3FBF">
      <w:r>
        <w:lastRenderedPageBreak/>
        <w:t>El objetivo general de Tarea 10 concreta esa relación en vTaxi, como proyecto de plataforma de taxis concesionados en Monterrey, Nuevo León, durante septiembre a noviembre de 2026. Sus categorías analíticas son la asignación de responsables, la verificación de requisitos y el seguimiento documental, contrastadas con la integridad del expediente y la atención de observaciones internas. La contribución esperada es una lectura trazable del caso que permita distinguir requisitos identificados, evidencias disponibles y controles propuestos. No se plantea validar un modelo causal ni generalizar resultados de un solo proyecto a todo el sector.</w:t>
      </w:r>
    </w:p>
    <w:p w14:paraId="59F49430" w14:textId="77777777" w:rsidR="001A6421" w:rsidRDefault="00BF28F6">
      <w:r>
        <w:t>El enfoque conceptual distingue adopción formal, gestión práctica y preparación documental. Parker y Nielsen (2009), con el alcance de resumen editorial señalado en los antecedentes, permiten separar la presencia de un sistema de cumplimiento de su administración efectiva. OECD (2018, p. 39) orienta la atención hacia registros actualizados, gestión de casos y flujos de trabajo en organismos de supervisión; su aplicación a vTaxi es analítica, no una obligación adicional impuesta al proyecto. El mecanismo propuesto es que identificar responsables y revisar requisitos facilita detectar y atender brechas; la integridad del documento resultante se evalúa por separado. La complejidad del requisito y el acceso a información pueden explicar divergencias. Así, X describe controles observables y Y describe calidad del expediente, sin definir una variable mediante la otra ni anticipar causalidad.</w:t>
      </w:r>
    </w:p>
    <w:p w14:paraId="16E5DA4B" w14:textId="77777777" w:rsidR="00526E6F" w:rsidRDefault="008A3FBF">
      <w:pPr>
        <w:pStyle w:val="Ttulo2"/>
      </w:pPr>
      <w:bookmarkStart w:id="10" w:name="_Toc243842812"/>
      <w:r>
        <w:t>4.2 Relevancia práctica</w:t>
      </w:r>
      <w:bookmarkEnd w:id="10"/>
    </w:p>
    <w:p w14:paraId="0AF43575" w14:textId="77777777" w:rsidR="00526E6F" w:rsidRDefault="008A3FBF">
      <w:r>
        <w:t>El problema formulado en Tarea 9 es una brecha de preparación documental, no una declaración de incumplimiento comprobado de la empresa. La utilidad práctica del estudio reside en convertir esa brecha en decisiones verificables: qué requisito corresponde al modelo del proyecto, qué evidencia lo respalda, quién debe revisarla y qué observación permanece abierta. Esta orientación responde a la LGAC Gestión e Innovación de las Organizaciones, porque concentra el análisis en procedimientos, responsables, documentos, controles e indicadores y no en un dictamen predominantemente jurídico.</w:t>
      </w:r>
    </w:p>
    <w:p w14:paraId="55B3848C" w14:textId="77777777" w:rsidR="00526E6F" w:rsidRDefault="008A3FBF">
      <w:r>
        <w:lastRenderedPageBreak/>
        <w:t>Los objetivos específicos definen cuatro productos coherentes con esa utilidad: un catálogo de requisitos por modalidad y autoridad; un diagnóstico de brechas; una matriz de contraste entre controles y estado del expediente; y una ruta priorizada de atención. Un escenario de aplicación sería detectar que una afirmación de un borrador carece de fuente o documento de respaldo y asignar su comprobación antes de usarla en una solicitud. Otro sería separar la capacitación de conductores de la autorización de la plataforma. Los indicadores propuestos —cobertura de responsabilidades y cierre documentado de observaciones— se calcularían con denominadores y criterios explícitos; no se presentan valores obtenidos ni ahorros financieros demostrados.</w:t>
      </w:r>
    </w:p>
    <w:p w14:paraId="62F0CDCB" w14:textId="77777777" w:rsidR="00890E97" w:rsidRDefault="00296D41">
      <w:r>
        <w:t>La delimitación actual del caso es Monterrey, Nuevo León, por indicación del estudiante. El municipio no se equipara automáticamente con el área metropolitana ni con toda la entidad. Los Censos Económicos 2024 y el Censo de Población y Vivienda 2020 del INEGI constituyen fuentes para contextualizar establecimientos y población, pero los datos agregados del portal no se presentan como cifras municipales ni como demanda validada de vTaxi. La ley de movilidad de Nuevo León corresponde al ámbito normativo estatal. Los antecedentes de Cajeme se conservan como referencias históricas, no como evidencia empírica del caso de Monterrey.</w:t>
      </w:r>
    </w:p>
    <w:p w14:paraId="4B13C3E8" w14:textId="77777777" w:rsidR="00526E6F" w:rsidRDefault="008A3FBF">
      <w:pPr>
        <w:pStyle w:val="Ttulo2"/>
      </w:pPr>
      <w:bookmarkStart w:id="11" w:name="_Toc243842813"/>
      <w:r>
        <w:t>4.3 Relevancia social e institucional</w:t>
      </w:r>
      <w:bookmarkEnd w:id="11"/>
    </w:p>
    <w:p w14:paraId="504F68FB" w14:textId="77777777" w:rsidR="00526E6F" w:rsidRDefault="008A3FBF">
      <w:r>
        <w:t>Los beneficiarios directos potenciales son las personas responsables de la preparación y revisión administrativa del proyecto vTaxi. Una documentación ordenada podría facilitar la coordinación y evitar que propuestas internas se comuniquen como permisos o requisitos oficiales. Los conductores vinculados al proyecto serían beneficiarios indirectos potenciales de información más clara sobre funciones y documentación, pero el estudio no acredita su participación, la existencia de concesiones de vTaxi ni una autorización operativa.</w:t>
      </w:r>
    </w:p>
    <w:p w14:paraId="117B4CE3" w14:textId="77777777" w:rsidR="00526E6F" w:rsidRDefault="008A3FBF">
      <w:r>
        <w:t xml:space="preserve">En el ámbito institucional, el caso permite aplicar competencias de la MGA: delimitar un problema organizacional, construir criterios de análisis, identificar evidencia y argumentar </w:t>
      </w:r>
      <w:r>
        <w:lastRenderedPageBreak/>
        <w:t>decisiones responsables. La distinción entre taxis concesionados y transporte privado mediante empresas de redes de transporte debe sostenerse en fuentes aplicables, como la ley estatal consultada, y no en analogías automáticas (H. Congreso del Estado de Nuevo León, 2026). El impacto se limita a la calidad de la preparación administrativa evaluable; no se promete seguridad vial, empleo, aprobación gubernamental o beneficio comunitario que el diseño documental no puede demostrar.</w:t>
      </w:r>
    </w:p>
    <w:p w14:paraId="424162ED" w14:textId="77777777" w:rsidR="00526E6F" w:rsidRDefault="008A3FBF">
      <w:pPr>
        <w:pStyle w:val="Ttulo2"/>
      </w:pPr>
      <w:bookmarkStart w:id="12" w:name="_Toc243842814"/>
      <w:r>
        <w:t>4.4 Originalidad</w:t>
      </w:r>
      <w:bookmarkEnd w:id="12"/>
    </w:p>
    <w:p w14:paraId="617CFC5B" w14:textId="77777777" w:rsidR="00526E6F" w:rsidRDefault="008A3FBF">
      <w:r>
        <w:t>La originalidad propuesta es contextual y operativa: integrar la clasificación de requisitos por modalidad, el examen de borradores y la trazabilidad de responsabilidades en un mismo diagnóstico de preparación administrativa. Los diez antecedentes científicos de Tarea 3 proporcionan referencias sobre transformación digital e innovación en MiPyMEs; no se sustituyen por nuevos estudios ni se asume que investiguen exactamente plataformas de taxis en Nuevo León. Parker y Nielsen (2009) aportan un antecedente conceptual sobre cumplimiento empresarial, utilizado con el alcance de resumen editorial documentado en la revisión previa, no como evidencia empírica local.</w:t>
      </w:r>
    </w:p>
    <w:p w14:paraId="12EA1C3B" w14:textId="77777777" w:rsidR="00526E6F" w:rsidRDefault="008A3FBF">
      <w:r>
        <w:t>El valor agregado esperado frente a una simple recopilación normativa es vincular cada afirmación del expediente con su fuente, responsable propuesto, evidencia y condición de cierre. El vacío atendido es la falta de esa articulación en los componentes disponibles del caso, según el problema delimitado; no se sostiene que sea el primer estudio del tema ni que exista una ausencia universal de investigación. La novedad deberá evaluarse frente a la evidencia reunida y a la ampliación bibliográfica regional, que sigue pendiente.</w:t>
      </w:r>
    </w:p>
    <w:p w14:paraId="3A49CFDC" w14:textId="77777777" w:rsidR="001A6421" w:rsidRDefault="00BF28F6">
      <w:r>
        <w:t xml:space="preserve">Frente al antecedente mexicano de Lamas Flores y Acosta Reveles (2025), centrado en actores y estrategias de influencia regulatoria, la originalidad del caso reside en la evaluación interna de controles y calidad documental antes de una eventual formalización. La comparación precisa una diferencia de objeto, escala y evidencia; no constituye una afirmación de primacía ni agota la literatura sobre movilidad en México. La revisión deberá ampliarse conforme avance </w:t>
      </w:r>
      <w:r>
        <w:lastRenderedPageBreak/>
        <w:t>el estudio, en especial con trabajos directamente referidos a Monterrey y a taxis concesionados.</w:t>
      </w:r>
    </w:p>
    <w:p w14:paraId="3CB80F40" w14:textId="77777777" w:rsidR="00526E6F" w:rsidRDefault="008A3FBF">
      <w:pPr>
        <w:pStyle w:val="Ttulo2"/>
      </w:pPr>
      <w:bookmarkStart w:id="13" w:name="_Toc243842815"/>
      <w:r>
        <w:t>4.5 Viabilidad</w:t>
      </w:r>
      <w:bookmarkEnd w:id="13"/>
    </w:p>
    <w:p w14:paraId="7C2DEC67" w14:textId="77777777" w:rsidR="00526E6F" w:rsidRDefault="008A3FBF">
      <w:r>
        <w:t>La fase documental es realizable con los recursos locales comprobados: los antecedentes de Tareas 8–10, las matrices, las copias de borradores y los textos institucionales conservados. El material docente señala que la justificación debe argumentar tiempo, recursos, acceso, ética y limitaciones, no limitarse a afirmar que el tema es importante (Instituto Tecnológico Superior de Cajeme, s. f.-c). Para el periodo septiembre–noviembre de 2026 se propone utilizar lo ya recopilado en septiembre como línea de base y distribuir el trabajo restante en revisión de requisitos durante octubre, diagnóstico y contraste documental entre finales de octubre e inicios de noviembre, y priorización y revisión de resultados durante noviembre. Es una programación propuesta, no un registro de tareas ya realizadas.</w:t>
      </w:r>
    </w:p>
    <w:p w14:paraId="08D329AD" w14:textId="77777777" w:rsidR="00526E6F" w:rsidRDefault="008A3FBF">
      <w:r>
        <w:t>La disponibilidad de las copias internas permite revisar su contenido, pero no demuestra autorización para entrevistar actores, acceder a expedientes completos o divulgar datos privados. Cualquier entrevista o incorporación de nuevos documentos quedará condicionada al consentimiento, autorización y disponibilidad de las personas responsables. Si no se obtiene ese acceso, el estudio se limitará al corpus documental autorizado, declarará sus faltantes y no inferirá el funcionamiento real de la empresa. No se requiere comprar software especializado para esta fase; se emplearán los procesadores de texto, hojas de cálculo y herramientas de consulta disponibles, sin afirmar un presupuesto aprobado ni compromisos de dedicación ajenos.</w:t>
      </w:r>
    </w:p>
    <w:p w14:paraId="27F287DF" w14:textId="77777777" w:rsidR="00526E6F" w:rsidRDefault="008A3FBF">
      <w:r>
        <w:t xml:space="preserve">Los controles éticos comprenden minimizar datos personales, separar documentos de ejemplo de hechos confirmados, restringir el acceso a los archivos internos y citar fuentes sin redistribuir información sensible. Las limitaciones controlables son la trazabilidad de cada extracción, el registro de fecha de consulta, la revisión de coherencia y la identificación de afirmaciones no respaldadas. La vigencia normativa y la completitud del expediente son riesgos </w:t>
      </w:r>
      <w:r>
        <w:lastRenderedPageBreak/>
        <w:t>que deben comprobarse durante la investigación; por ello, la factibilidad es suficiente para iniciar el análisis documental y condicionada para ampliar su alcance. La matriz mantiene preguntas y objetivos, sin una columna adicional de justificación, y el Covey conserva problema y objetivo general como prioridades importantes y no urgentes, sin nuevos elementos.</w:t>
      </w:r>
    </w:p>
    <w:p w14:paraId="1E534E6E" w14:textId="77777777" w:rsidR="001A6421" w:rsidRDefault="00BF28F6">
      <w:r>
        <w:t>El acceso se gestionará mediante una solicitud escrita al responsable autorizado del proyecto, con propósito, periodo y lista de documentos requeridos. La autorización deberá precisar qué versiones pueden consultarse, qué datos deben anonimizarse, quién tendrá acceso a las copias y qué extractos pueden incorporarse al informe. Se llevará un registro con solicitud, respuesta, alcance concedido y restricciones por documento. Los materiales no autorizados o no disponibles se clasificarán como no verificables; no se interpretarán como incumplimientos ni se reemplazarán por registros ficticios.</w:t>
      </w:r>
    </w:p>
    <w:p w14:paraId="7CF49252" w14:textId="77777777" w:rsidR="001A6421" w:rsidRDefault="00BF28F6">
      <w:r>
        <w:t>Las entrevistas, si resultan necesarias, requerirán invitación y consentimiento individual separados del permiso documental. Se informarán finalidad, participación voluntaria, posibilidad de omitir respuestas o retirarse, uso de citas y condiciones de resguardo. La grabación exigirá consentimiento específico; sin él se utilizarán únicamente notas autorizadas. El plazo de conservación y la eliminación de archivos se acordarán antes de recopilar datos. Si no se obtienen permisos dentro del periodo, se mantendrá el alcance documental autorizado y se reportarán las limitaciones sin atribuir testimonios ni verificaciones inexistentes.</w:t>
      </w:r>
    </w:p>
    <w:p w14:paraId="4D9E551D" w14:textId="77777777" w:rsidR="001A6421" w:rsidRDefault="00BF28F6">
      <w:r>
        <w:t>La delimitación geográfica del caso es el municipio de Monterrey, Nuevo León. El objeto no es el mercado de transporte de toda la entidad ni el conjunto del área metropolitana. La legislación y las competencias institucionales se examinan a escala estatal porque ese es su ámbito de aplicación; esta escala normativa no amplía la unidad de análisis territorial. Los registros de vTaxi considerados deberán referirse al caso delimitado y se identificarán por fecha y versión.</w:t>
      </w:r>
    </w:p>
    <w:p w14:paraId="4E342728" w14:textId="77777777" w:rsidR="00B55F17" w:rsidRDefault="00CF4059">
      <w:pPr>
        <w:pStyle w:val="Ttulo1"/>
        <w:spacing w:before="120" w:after="80"/>
      </w:pPr>
      <w:bookmarkStart w:id="14" w:name="_Toc243842816"/>
      <w:r>
        <w:lastRenderedPageBreak/>
        <w:t>5 Hipótesis de trabajo</w:t>
      </w:r>
      <w:bookmarkEnd w:id="14"/>
    </w:p>
    <w:p w14:paraId="41CEF968" w14:textId="77777777" w:rsidR="004E4A6D" w:rsidRDefault="007807B0">
      <w:pPr>
        <w:pStyle w:val="Ttulo2"/>
      </w:pPr>
      <w:bookmarkStart w:id="15" w:name="_Toc243842817"/>
      <w:r>
        <w:t>5.1 Hipótesis general</w:t>
      </w:r>
      <w:bookmarkEnd w:id="15"/>
    </w:p>
    <w:p w14:paraId="3C42D662" w14:textId="77777777" w:rsidR="004E4A6D" w:rsidRDefault="007807B0">
      <w:r>
        <w:t>HG. En los componentes documentales aplicables al proyecto vTaxi como plataforma de taxis concesionados en Monterrey, Nuevo León durante septiembre a noviembre de 2026, un mayor nivel de gestión del cumplimiento normativo se relaciona con un mayor grado de preparación administrativa del expediente, expresado en documentos completos y coherentes con los requisitos aplicables y en observaciones internas atendidas con respaldo verificable.</w:t>
      </w:r>
    </w:p>
    <w:p w14:paraId="6B275201" w14:textId="77777777" w:rsidR="004E4A6D" w:rsidRDefault="007807B0">
      <w:r>
        <w:t>X (campo VI de la consigna) es el nivel de gestión del cumplimiento normativo: asignación documentada de responsabilidades, verificación de aplicabilidad y seguimiento de acciones. Y (campo VD) es el grado de preparación administrativa del expediente: integridad, coherencia con requisitos aplicables y cierre respaldado de observaciones. Son roles analíticos no causales; X no está manipulada ni Y es un efecto demostrado. Preparación no significa autorización gubernamental, operación legal acreditada ni formalización consumada.</w:t>
      </w:r>
    </w:p>
    <w:p w14:paraId="5E81D97C" w14:textId="77777777" w:rsidR="004E4A6D" w:rsidRDefault="007807B0">
      <w:r>
        <w:t>La hipótesis deriva de la brecha descrita en antecedentes y planteamiento: los borradores no acreditan una ruta validada entre requisitos, responsables y evidencias. Responde a la pregunta general y al objetivo de analizar esa relación mediante contraste documental. Los antecedentes justifican examinar procedimientos y controles administrativos, pero no demuestran anticipadamente la relación en vTaxi ni permiten trasladar hallazgos de otros contextos como resultados locales.</w:t>
      </w:r>
    </w:p>
    <w:p w14:paraId="36816441" w14:textId="77777777" w:rsidR="009D42F1" w:rsidRDefault="00890EF2">
      <w:r>
        <w:t>Fundamento metodológico. Hernández Sampieri et al. (2014) definen las hipótesis como “explicaciones tentativas del fenómeno investigado” (p. 104). Por ello, HG es una respuesta provisional a la pregunta general, no una conclusión sobre vTaxi. Los autores vinculan su formulación con problema, antecedentes y marco teórico y exigen variables observables, relaciones precisas y técnicas disponibles para contrastarlas (pp. 105–107). La formulación conserva el caso, periodo y objetos documentales delimitados en los capítulos anteriores.</w:t>
      </w:r>
    </w:p>
    <w:p w14:paraId="1CEFF545" w14:textId="77777777" w:rsidR="009D42F1" w:rsidRDefault="00890EF2">
      <w:r>
        <w:lastRenderedPageBreak/>
        <w:t>Fundamento administrativo. El criterio 8.1 del toolkit de OECD (2018, p. 39) considera relevantes los datos actualizados, la gestión de casos, los registros y los flujos de trabajo para planear y dar seguimiento a la inspección y ejecución regulatoria. Se toma como orientación conceptual sobre trazabilidad, no como norma exigible a vTaxi: su destinatario son estructuras de inspección y supervisión, no plataformas privadas. Su adaptación al caso consiste en examinar responsables identificables, revisión de aplicabilidad y seguimiento registrado frente a documentos verificables. Esos controles pueden facilitar la localización de brechas y su revisión, pero un expediente puede permanecer incompleto pese a ellos; de ahí que se proponga una relación contrastable y no un efecto garantizado.</w:t>
      </w:r>
    </w:p>
    <w:p w14:paraId="3CA121DF" w14:textId="77777777" w:rsidR="009D42F1" w:rsidRDefault="00890EF2">
      <w:r>
        <w:t>Enlace con los antecedentes. Parker y Nielsen (2009), incorporados en el capítulo 1 con el alcance limitado de la revisión disponible, plantean el examen de sistemas de cumplimiento y su posible diferencia en la práctica. Ese antecedente y la orientación de OECD justifican investigar controles y evidencia, no dar por acreditada su eficacia. La inferencia de trabajo para vTaxi es propia: donde existen más controles documentados se espera encontrar mayor preparación del expediente, manteniendo separados los registros de gestión y la evaluación del documento resultante. Las divergencias también se registrarán y podrán debilitar la hipótesis.</w:t>
      </w:r>
    </w:p>
    <w:p w14:paraId="0C9D3EA2" w14:textId="77777777" w:rsidR="004E4A6D" w:rsidRDefault="007807B0">
      <w:pPr>
        <w:pStyle w:val="Ttulo2"/>
      </w:pPr>
      <w:bookmarkStart w:id="16" w:name="_Toc243842818"/>
      <w:r>
        <w:t>5.2 Hipótesis específica</w:t>
      </w:r>
      <w:bookmarkEnd w:id="16"/>
    </w:p>
    <w:p w14:paraId="07787F6F" w14:textId="77777777" w:rsidR="004E4A6D" w:rsidRDefault="007807B0">
      <w:r>
        <w:t>HE1. En los componentes del expediente de vTaxi, la asignación documentada de responsables y el seguimiento de observaciones se relacionan con una mayor proporción de observaciones internas cerradas mediante evidencia documental aceptable en la revisión del caso.</w:t>
      </w:r>
    </w:p>
    <w:p w14:paraId="34BD69BE" w14:textId="77777777" w:rsidR="004E4A6D" w:rsidRDefault="007807B0">
      <w:r>
        <w:t>Se vincula con la pregunta específica 3 y el objetivo específico 3: examinar la correspondencia entre responsables, verificación y seguimiento, por una parte, e integridad del expediente y resolución de observaciones, por otra. Los objetivos 1 y 2 identifican requisitos y diagnostican brechas; el objetivo 4 propone prioridades. No requieren hipótesis adicionales porque no todos los objetivos descriptivos o propositivos expresan una relación entre variables.</w:t>
      </w:r>
    </w:p>
    <w:p w14:paraId="618E5C23" w14:textId="77777777" w:rsidR="004E4A6D" w:rsidRDefault="007807B0">
      <w:pPr>
        <w:pStyle w:val="Ttulo2"/>
      </w:pPr>
      <w:bookmarkStart w:id="17" w:name="_Toc243842819"/>
      <w:r>
        <w:lastRenderedPageBreak/>
        <w:t>5.3 Tipo de hipótesis</w:t>
      </w:r>
      <w:bookmarkEnd w:id="17"/>
    </w:p>
    <w:p w14:paraId="2D719ACF" w14:textId="77777777" w:rsidR="009D42F1" w:rsidRDefault="00890EF2">
      <w:r>
        <w:t>HG y HE1 son hipótesis de investigación correlacionales por su contenido relacional, direccionales positivas y no causales. Esto clasifica la proposición, no anuncia un estudio de correlación estadística ya diseñado o ejecutado. El procedimiento previsto para este caso es contraste documental descriptivo por patrones de correspondencia y casos contrarios. No se propone experimento, manipulación, comparación de plataformas ni generalización estadística. Hernández Sampieri et al. (2014) señalan que “Correlación y causalidad son conceptos asociados, pero distintos” (p. 111); encontrar correspondencia no demuestra que la gestión haya producido la preparación del expediente.</w:t>
      </w:r>
    </w:p>
    <w:p w14:paraId="7A4CC6D8" w14:textId="77777777" w:rsidR="009D42F1" w:rsidRDefault="00890EF2">
      <w:r>
        <w:t>Convención de variables. Para responder al campo VI–VD de la consigna se identifica X: gestión del cumplimiento, y Y: preparación administrativa del expediente. En la ficha de esta actividad VI se emplea sólo como rótulo de X y VD como rótulo de Y; no se atribuyen causa y efecto. Hernández Sampieri et al. (2014, pp. 109–111) reservan la interpretación independiente/causal y dependiente/efecto para hipótesis causales; Price et al. (2015) también distinguen medición no experimental y causalidad. En el análisis se usarán X e Y y no se interpretará X como variable manipulada.</w:t>
      </w:r>
    </w:p>
    <w:p w14:paraId="6E754FE4" w14:textId="77777777" w:rsidR="009D42F1" w:rsidRDefault="00890EF2">
      <w:r>
        <w:t>La unidad de análisis es el proyecto vTaxi; los componentes del expediente y las observaciones son unidades de registro internas, no empresas independientes. Se compararán controles y calidad documental en cortes compatibles, sin tratar versiones del mismo documento como nuevos casos. No se calcularán coeficientes, valores p ni niveles de significación: no se ha previsto una prueba inferencial. La ausencia de variación o de datos evaluables impide contrastar, no confirma HG. Cualquier incorporación posterior de un análisis estadístico requeriría justificar previamente diseño, registros suficientes y supuestos; no se presupone en esta tarea.</w:t>
      </w:r>
    </w:p>
    <w:p w14:paraId="2586CEBF" w14:textId="77777777" w:rsidR="004E4A6D" w:rsidRDefault="007807B0">
      <w:pPr>
        <w:pStyle w:val="Ttulo2"/>
      </w:pPr>
      <w:bookmarkStart w:id="18" w:name="_Toc243842820"/>
      <w:r>
        <w:lastRenderedPageBreak/>
        <w:t>5.4 Criterios de calidad y contraste documental</w:t>
      </w:r>
      <w:bookmarkEnd w:id="18"/>
    </w:p>
    <w:p w14:paraId="3FB64509" w14:textId="77777777" w:rsidR="009D42F1" w:rsidRDefault="00890EF2">
      <w:r>
        <w:t>Reglas observables de X e Y. Por componente, X se describirá mediante tres controles comprobables: responsable efectivamente designado, revisión de aplicabilidad fechada y seguimiento documentado; el perfil contará de cero a tres presencias sólo si los tres controles son evaluables. No verificable no se recodifica como ausencia ni entra en ese perfil. Y se observará por separado: proporción de contenidos exigibles presentes, concordancia de cada contenido con el requisito y proporción de observaciones cerradas con evidencia aceptable. Se reportarán los indicadores individualmente, sin sumar porcentajes o inventar ponderaciones. Integridad será contenidos exigibles presentes entre contenidos exigibles evaluables; cierre será observaciones cerradas respaldadas entre observaciones evaluables. Con denominador cero se anotará no calculable. La falta de observaciones no prueba integridad. Antes del cotejo se fijarán aplicabilidad y criterios de aceptación; sólo después se examinará si perfiles con más controles coinciden con mejores resultados documentales comparables.</w:t>
      </w:r>
    </w:p>
    <w:p w14:paraId="4E834754" w14:textId="77777777" w:rsidR="004E4A6D" w:rsidRDefault="007807B0">
      <w:r>
        <w:t>Claridad. Se diferencian gestión (acciones y registros de control) y preparación (calidad de los documentos resultantes). Se utilizará una ficha por componente con identificador, requisito aplicable, fuente, documento revisado, fecha, versión y limitaciones de acceso. La clasificación previa de taxis concesionados, SETIAP/ERT y capacitación evita atribuir requisitos de otra modalidad a vTaxi.</w:t>
      </w:r>
    </w:p>
    <w:p w14:paraId="1D545249" w14:textId="77777777" w:rsidR="004E4A6D" w:rsidRDefault="007807B0">
      <w:r>
        <w:t>Verificabilidad de la VI. Registrar por separado: responsable documentado (sí/no/no verificable); revisión de aplicabilidad con fuente y fecha (sí/no/no verificable); y seguimiento de acciones u observaciones mediante registro fechado (sí/no/no verificable). Distinguir responsable efectivamente designado de responsable sólo propuesto. La cobertura de cada control será el número de componentes con presencia comprobada dividido entre componentes evaluables; reportar numerador, denominador y casos no verificables. No confundir una recomendación con control ejecutado.</w:t>
      </w:r>
    </w:p>
    <w:p w14:paraId="46E57C28" w14:textId="77777777" w:rsidR="004E4A6D" w:rsidRDefault="007807B0">
      <w:r>
        <w:lastRenderedPageBreak/>
        <w:t>Verificabilidad de la VD. Una lista distinta registrará integridad de los contenidos exigibles y concordancia del documento con el requisito aplicable, sin puntuar como preparación la mera existencia de responsable o bitácora. Cada observación se clasificará abierta, cerrada con evidencia aceptable o no verificable. La proporción de cierre será observaciones con cierre respaldado entre observaciones evaluables en el mismo corte; informar los conteos. Ausencia de observaciones registradas no equivale a expediente completo ni se divide entre cero.</w:t>
      </w:r>
    </w:p>
    <w:p w14:paraId="6CD8E8DD" w14:textId="77777777" w:rsidR="004E4A6D" w:rsidRDefault="007807B0">
      <w:r>
        <w:t>Separación y revisión. Los criterios de aceptabilidad documental se fijarán antes de comparar VI y VD, con fundamento y alcance por requisito. Cuando sea viable, una segunda revisión documentará acuerdos y discrepancias; no se afirma validación experta ya realizada. Una fuente inaccesible se registra no verificable, no incumplida. Comparar sólo componentes con exigencias y cortes compatibles; las versiones repetidas del mismo documento no cuentan como casos independientes.</w:t>
      </w:r>
    </w:p>
    <w:p w14:paraId="586A5A6C" w14:textId="77777777" w:rsidR="004E4A6D" w:rsidRDefault="007807B0">
      <w:r>
        <w:t>Contraste de HG. En una matriz por componente se cotejarán los controles observados con integridad y coherencia documental en el mismo corte. Se buscará el patrón de mejor preparación cuando existen más controles documentados y se revisarán casos contrarios: controles presentes con expediente incompleto, o documentos adecuados sin controles registrados. Tales casos pueden debilitar o acotar la hipótesis. Si no hay variación, acceso suficiente o criterios comparables, el resultado será no contrastable con la evidencia disponible, no hipótesis confirmada.</w:t>
      </w:r>
    </w:p>
    <w:p w14:paraId="031BD00F" w14:textId="77777777" w:rsidR="004E4A6D" w:rsidRDefault="007807B0">
      <w:r>
        <w:t>Contraste de HE1. Por observación se examinarán designación documentada, seguimiento fechado y evidencia de cierre. Se distinguirá el registro de acciones de la corrección verificable del documento. Se atenderán explicaciones alternativas: complejidad del requisito, disponibilidad de información y etapa de elaboración. La correspondencia observada no prueba que los controles hayan causado el cierre. Las relaciones se describirán sólo dentro del caso y con sus limitaciones.</w:t>
      </w:r>
    </w:p>
    <w:p w14:paraId="5D09755D" w14:textId="77777777" w:rsidR="004E4A6D" w:rsidRDefault="007807B0">
      <w:r>
        <w:lastRenderedPageBreak/>
        <w:t>Pertinencia y consistencia. Las hipótesis responden al problema y objetivos sin sustituirlos ni ampliar el estudio a todas las plataformas. Su interés pertenece a la LGAC Gestión e Innovación de las Organizaciones: procedimientos, responsables, documentos, controles e indicadores. El Círculo de Covey conserva problema y objetivo general en Importante/No urgente; no se agrega la hipótesis al esquema. La clasificación establece una prioridad de planeación, no una prueba de la relación propuesta.</w:t>
      </w:r>
    </w:p>
    <w:p w14:paraId="4EE8472E" w14:textId="77777777" w:rsidR="004E4A6D" w:rsidRDefault="007807B0">
      <w:r>
        <w:t>Estado de evidencia. Se formulan hipótesis para orientar el estudio, no resultados. Los borradores y fuentes disponibles permiten preparar la revisión inicial, pero no se cuenta aquí con mediciones completas, entrevistas realizadas, controles implementados ni cierres verificados. El acceso adicional requerirá autorización; no se fabricarán registros ni se tratará la falta de datos como confirmación. Los alcances y procedimientos detallados se desarrollarán en sus apartados posteriores sin anticipar su ejecución.</w:t>
      </w:r>
    </w:p>
    <w:p w14:paraId="3FFF8AC0" w14:textId="77777777" w:rsidR="00B55F17" w:rsidRDefault="00CF4059">
      <w:pPr>
        <w:pStyle w:val="Ttulo1"/>
        <w:spacing w:before="120" w:after="80"/>
      </w:pPr>
      <w:bookmarkStart w:id="19" w:name="_Toc243842821"/>
      <w:r>
        <w:t>6 Alcances y limitaciones</w:t>
      </w:r>
      <w:bookmarkEnd w:id="19"/>
    </w:p>
    <w:p w14:paraId="497AB5D3" w14:textId="77777777" w:rsidR="00B55F17" w:rsidRDefault="00CF4059">
      <w:pPr>
        <w:pStyle w:val="Ttulo2"/>
        <w:spacing w:before="240" w:after="80"/>
      </w:pPr>
      <w:bookmarkStart w:id="20" w:name="_Toc243842822"/>
      <w:r>
        <w:t>6.1 Alcances</w:t>
      </w:r>
      <w:bookmarkEnd w:id="20"/>
    </w:p>
    <w:p w14:paraId="039E43D6" w14:textId="77777777" w:rsidR="00DF38BA" w:rsidRDefault="00804DB0">
      <w:r>
        <w:rPr>
          <w:b/>
        </w:rPr>
        <w:t xml:space="preserve">Alcance temático. </w:t>
      </w:r>
      <w:r>
        <w:t xml:space="preserve">El estudio se restringe a la gestión administrativa del cumplimiento normativo en vTaxi: procedimientos internos, asignación de responsables, verificación de aplicabilidad y seguimiento documental, contrastados con la integridad, la concordancia y el cierre respaldado de observaciones del expediente. La normativa estatal sirve para definir criterios del expediente, no para emitir un dictamen jurídico. Quedan fuera el desarrollo del software de despacho, la rentabilidad del modelo de negocio, la demanda del </w:t>
      </w:r>
      <w:r>
        <w:t>servicio y la defensa contenciosa ante autoridades (Parker &amp; Nielsen, 2009; vTaxi, 2026).</w:t>
      </w:r>
    </w:p>
    <w:p w14:paraId="699D1699" w14:textId="77777777" w:rsidR="00DF38BA" w:rsidRDefault="00804DB0">
      <w:r>
        <w:rPr>
          <w:b/>
        </w:rPr>
        <w:t xml:space="preserve">Alcance espacial y temporal. </w:t>
      </w:r>
      <w:r>
        <w:t xml:space="preserve">La unidad territorial es el municipio de Monterrey, Nuevo León. La Ley de Movilidad se examina a escala estatal por ser su ámbito de aplicación, sin extender los resultados a toda la entidad, al área metropolitana ni a la modalidad SETIAP/ERT (H. Congreso del Estado de Nuevo León, 2026). El periodo comprende septiembre a noviembre </w:t>
      </w:r>
      <w:r>
        <w:lastRenderedPageBreak/>
        <w:t xml:space="preserve">de 2026: la documentación con corte al 27 de septiembre funciona como línea de base, octubre se dedica a la revisión de requisitos y noviembre al contraste y la priorización. Son </w:t>
      </w:r>
      <w:r>
        <w:t>actividades programadas, no ejecutadas.</w:t>
      </w:r>
    </w:p>
    <w:p w14:paraId="4A78CBB7" w14:textId="77777777" w:rsidR="00DF38BA" w:rsidRDefault="00804DB0">
      <w:r>
        <w:rPr>
          <w:b/>
        </w:rPr>
        <w:t xml:space="preserve">Alcance metodológico y resultados esperados. </w:t>
      </w:r>
      <w:r>
        <w:t>Se trata de un estudio de caso único, no experimental, documental, descriptivo y propositivo, con contraste por patrones entre los controles de gestión (X) y la calidad del expediente (Y). Se esperan cuatro productos vinculados con los objetivos específicos: catálogo de requisitos aplicables, diagnóstico de brechas, matriz de correspondencias y ruta priorizada de atención. No se demostrará causalidad ni se generalizarán resultados estadísticamente, pues las variables y técnicas deben ser observables y dispo</w:t>
      </w:r>
      <w:r>
        <w:t>nibles (Hernández Sampieri et al., 2014, pp. 106–107).</w:t>
      </w:r>
    </w:p>
    <w:p w14:paraId="172C070C" w14:textId="77777777" w:rsidR="00B55F17" w:rsidRDefault="00CF4059">
      <w:pPr>
        <w:pStyle w:val="Ttulo2"/>
        <w:spacing w:before="240" w:after="80"/>
      </w:pPr>
      <w:bookmarkStart w:id="21" w:name="_Toc243842823"/>
      <w:r>
        <w:t>6.2 Limitaciones</w:t>
      </w:r>
      <w:bookmarkEnd w:id="21"/>
    </w:p>
    <w:p w14:paraId="0F17097D" w14:textId="77777777" w:rsidR="00DF38BA" w:rsidRDefault="00804DB0">
      <w:r>
        <w:rPr>
          <w:b/>
        </w:rPr>
        <w:t xml:space="preserve">Limitación teórica. </w:t>
      </w:r>
      <w:r>
        <w:t>Los antecedentes sobre transformación digital en MiPyMEs explican las capacidades organizacionales de forma indirecta, y Parker y Nielsen (2009) se han utilizado con el alcance de su resumen editorial. Ello reduce la fuerza explicativa del marco para un caso de movilidad en México. Para atenuarlo, se ampliará la revisión sobre compliance organizacional y formalización de plataformas, distinguiendo las orientaciones conceptuales de la evidencia local.</w:t>
      </w:r>
    </w:p>
    <w:p w14:paraId="01D3C7BF" w14:textId="77777777" w:rsidR="00DF38BA" w:rsidRDefault="00804DB0">
      <w:r>
        <w:rPr>
          <w:b/>
        </w:rPr>
        <w:t xml:space="preserve">Limitación metodológica y de acceso. </w:t>
      </w:r>
      <w:r>
        <w:t>vTaxi se encuentra en planeación; el corpus autorizado se limita a borradores, ficha técnica y resúmenes regulatorios, sin contratos ni actas protocolizadas. Puede faltar variación suficiente de controles o cierres para contrastar HG y HE1, en cuyo caso el resultado será no contrastable, no hipótesis confirmada. Las versiones de un mismo documento no se contarán como casos independientes; la información faltante se registrará como no verificable y no como incumplimiento. Las entrevistas quedan condicionadas</w:t>
      </w:r>
      <w:r>
        <w:t xml:space="preserve"> a autorización y consentimiento.</w:t>
      </w:r>
    </w:p>
    <w:p w14:paraId="34A29ADE" w14:textId="77777777" w:rsidR="00DF38BA" w:rsidRDefault="00804DB0">
      <w:r>
        <w:rPr>
          <w:b/>
        </w:rPr>
        <w:lastRenderedPageBreak/>
        <w:t xml:space="preserve">Limitación técnica y temporal. </w:t>
      </w:r>
      <w:r>
        <w:t>Los datos de ejemplo de los borradores, las fuentes inaccesibles y las reformas normativas pueden impedir comprobar la aplicabilidad o vigencia de un requisito en el corte. Se registrarán procedencia, fecha y versión de cada fuente. El cierre de noviembre restringe verificaciones adicionales, por lo que se priorizarán las brechas documentables conforme al Círculo de Covey. Los resultados no acreditarán concesiones, operación legal ni autorización gubernamental.</w:t>
      </w:r>
    </w:p>
    <w:p w14:paraId="5D1BFE22" w14:textId="77777777" w:rsidR="00B55F17" w:rsidRDefault="00CF4059">
      <w:pPr>
        <w:pStyle w:val="Ttulo1"/>
        <w:spacing w:before="120" w:after="80"/>
      </w:pPr>
      <w:bookmarkStart w:id="22" w:name="_Toc243842824"/>
      <w:r>
        <w:t>7 Marco teórico</w:t>
      </w:r>
      <w:bookmarkEnd w:id="22"/>
    </w:p>
    <w:p w14:paraId="15F133C6" w14:textId="77777777" w:rsidR="00B55F17" w:rsidRDefault="00CF4059">
      <w:pPr>
        <w:pStyle w:val="Ttulo1"/>
        <w:spacing w:before="120" w:after="80"/>
      </w:pPr>
      <w:bookmarkStart w:id="23" w:name="_Toc243842825"/>
      <w:r>
        <w:t>8 Métodos o procedimientos</w:t>
      </w:r>
      <w:bookmarkEnd w:id="23"/>
    </w:p>
    <w:p w14:paraId="615BE91A" w14:textId="77777777" w:rsidR="00B55F17" w:rsidRDefault="00CF4059">
      <w:pPr>
        <w:pStyle w:val="Ttulo1"/>
        <w:keepNext w:val="0"/>
        <w:spacing w:before="120" w:after="80"/>
      </w:pPr>
      <w:bookmarkStart w:id="24" w:name="_Toc243842826"/>
      <w:r>
        <w:t>9 Cronograma de actividades</w:t>
      </w:r>
      <w:bookmarkEnd w:id="24"/>
    </w:p>
    <w:p w14:paraId="1E0A70CD" w14:textId="77777777" w:rsidR="00B55F17" w:rsidRDefault="00CF4059">
      <w:pPr>
        <w:pStyle w:val="Ttulo1"/>
        <w:pageBreakBefore/>
        <w:spacing w:before="120" w:after="80"/>
      </w:pPr>
      <w:bookmarkStart w:id="25" w:name="_Toc243842827"/>
      <w:r>
        <w:lastRenderedPageBreak/>
        <w:t>Referencias</w:t>
      </w:r>
      <w:bookmarkEnd w:id="25"/>
    </w:p>
    <w:p w14:paraId="11962099"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476D42EE"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45AD8AE3" w14:textId="77777777" w:rsidR="009D42F1" w:rsidRDefault="00890EF2">
      <w:pPr>
        <w:keepLines/>
        <w:ind w:left="720" w:hanging="720"/>
      </w:pPr>
      <w:r>
        <w:t>Hernández Sampieri, R., Fernández Collado, C., &amp; Baptista Lucio, M. del P. (2014). Metodología de la investigación (6.ª ed.). McGraw-Hill Education.</w:t>
      </w:r>
    </w:p>
    <w:p w14:paraId="2DB60BEB"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3BF40DF6" w14:textId="77777777" w:rsidR="00B8658C" w:rsidRDefault="00395729">
      <w:pPr>
        <w:ind w:left="720" w:hanging="720"/>
      </w:pPr>
      <w:r>
        <w:t xml:space="preserve">Instituto Tecnológico Superior de Cajeme. (s. f.-a). </w:t>
      </w:r>
      <w:r>
        <w:rPr>
          <w:i/>
        </w:rPr>
        <w:t>Formulación de objetivos general y específicos</w:t>
      </w:r>
      <w:r>
        <w:t xml:space="preserve"> [Material didáctico de Seminario I, Unidad 3, apartado 3.3]. https://cursos3.e-itesca.edu.mx/mod/resource/view.php?id=2897</w:t>
      </w:r>
    </w:p>
    <w:p w14:paraId="1CC87D2C" w14:textId="77777777" w:rsidR="00B55F17" w:rsidRDefault="00CF4059">
      <w:pPr>
        <w:keepLines/>
        <w:ind w:left="720" w:hanging="720"/>
      </w:pPr>
      <w:r>
        <w:t xml:space="preserve">Instituto Tecnológico Superior de Cajeme. (s. f.-b). </w:t>
      </w:r>
      <w:r>
        <w:rPr>
          <w:i/>
        </w:rPr>
        <w:t>Introducción al uso de la matriz de consistencia y el círculo de Covey</w:t>
      </w:r>
      <w:r>
        <w:t xml:space="preserve"> [Material didáctico de Seminario I, pp. 4–6]. https://cursos3.e-itesca.edu.mx/mod/assign/view.php?id=2887</w:t>
      </w:r>
    </w:p>
    <w:p w14:paraId="5276BC8D" w14:textId="77777777" w:rsidR="00526E6F" w:rsidRDefault="008A3FBF">
      <w:pPr>
        <w:keepLines/>
        <w:ind w:left="720" w:hanging="720"/>
      </w:pPr>
      <w:r>
        <w:t>Instituto Tecnológico Superior de Cajeme. (s. f.-c). Justificación [Material didáctico de Seminario I, Unidad 3, apartado 3.4]. https://cursos3.e-itesca.edu.mx/mod/assign/view.php?id=2911</w:t>
      </w:r>
    </w:p>
    <w:p w14:paraId="302C5693" w14:textId="77777777" w:rsidR="00B55F17" w:rsidRDefault="00CF4059">
      <w:pPr>
        <w:keepLines/>
        <w:ind w:left="720" w:hanging="720"/>
      </w:pPr>
      <w:r>
        <w:lastRenderedPageBreak/>
        <w:t xml:space="preserve">Kraus, S., Jones, P., Kailer, N., Weinmann, A., Chaparro-Banegas, N., &amp; Roig-Tierno, N. (2021). Digital transformation: An overview of the current state of the art of research. </w:t>
      </w:r>
      <w:r>
        <w:rPr>
          <w:i/>
        </w:rPr>
        <w:t>SAGE Open, 11</w:t>
      </w:r>
      <w:r>
        <w:t>(3). https://doi.org/10.1177/21582440211047576</w:t>
      </w:r>
    </w:p>
    <w:p w14:paraId="300207B7" w14:textId="77777777" w:rsidR="001A6421" w:rsidRDefault="00BF28F6">
      <w:pPr>
        <w:keepLines/>
        <w:ind w:left="720" w:hanging="720"/>
      </w:pPr>
      <w:r>
        <w:t xml:space="preserve">Lamas Flores, M. S., &amp; Acosta Reveles, I. L. (2025). El cabildeo mediático y en redes sociales como freno a la regulación de plataformas digitales de transporte y reparto en México. </w:t>
      </w:r>
      <w:r>
        <w:rPr>
          <w:i/>
        </w:rPr>
        <w:t>Cuadernos del Ciesal, 2</w:t>
      </w:r>
      <w:r>
        <w:t>(24), 1–28. https://doi.org/10.35305/cc.v2i24.174</w:t>
      </w:r>
    </w:p>
    <w:p w14:paraId="58EEC7CD" w14:textId="77777777" w:rsidR="00B55F17" w:rsidRDefault="00CF4059">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5B73F8E2"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0B1FE825" w14:textId="77777777" w:rsidR="009D42F1" w:rsidRDefault="00890EF2">
      <w:pPr>
        <w:keepLines/>
        <w:ind w:left="720" w:hanging="720"/>
      </w:pPr>
      <w:r>
        <w:t>OECD. (2018). OECD regulatory enforcement and inspections toolkit. OECD Publishing. https://doi.org/10.1787/9789264303959-en</w:t>
      </w:r>
    </w:p>
    <w:p w14:paraId="62199873"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0AFA58C9" w14:textId="77777777" w:rsidR="00B8658C" w:rsidRDefault="00395729">
      <w:pPr>
        <w:ind w:left="720" w:hanging="720"/>
      </w:pPr>
      <w:r>
        <w:t xml:space="preserve">Parker, C., &amp; Nielsen, V. L. (2009). </w:t>
      </w:r>
      <w:r>
        <w:rPr>
          <w:i/>
        </w:rPr>
        <w:t>Corporate compliance systems: Could they make any difference?</w:t>
      </w:r>
      <w:r>
        <w:t xml:space="preserve"> Administration &amp; Society, 41(1), 3–37. https://doi.org/10.1177/0095399708328869</w:t>
      </w:r>
    </w:p>
    <w:p w14:paraId="412CC4CD" w14:textId="77777777" w:rsidR="004E4A6D" w:rsidRDefault="007807B0">
      <w:pPr>
        <w:keepLines/>
        <w:ind w:left="720" w:hanging="720"/>
      </w:pPr>
      <w:r>
        <w:t>Price, P. C., Jhangiani, R. S., &amp; Chiang, I.-C. A. (2015). Research methods in psychology (2nd Canadian ed.). BCcampus. https://opentextbc.ca/researchmethods/chapter/correlational-research/</w:t>
      </w:r>
    </w:p>
    <w:p w14:paraId="6D86C5A3" w14:textId="77777777" w:rsidR="00B55F17" w:rsidRDefault="00CF4059">
      <w:pPr>
        <w:keepLines/>
        <w:ind w:left="720" w:hanging="720"/>
      </w:pPr>
      <w:r>
        <w:lastRenderedPageBreak/>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6658DDE5" w14:textId="77777777" w:rsidR="00B55F17" w:rsidRDefault="00CF4059">
      <w:pPr>
        <w:keepLines/>
        <w:ind w:left="720" w:hanging="720"/>
      </w:pPr>
      <w:r>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7A4598BE"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5B01A935" w14:textId="77777777" w:rsidR="00B8658C" w:rsidRDefault="00395729">
      <w:pPr>
        <w:ind w:left="720" w:hanging="720"/>
      </w:pPr>
      <w:r>
        <w:t xml:space="preserve">Thelen, K. (2018). </w:t>
      </w:r>
      <w:r>
        <w:rPr>
          <w:i/>
        </w:rPr>
        <w:t>Regulating Uber: The politics of the platform economy in Europe and the United States</w:t>
      </w:r>
      <w:r>
        <w:t>. Perspectives on Politics, 16(4), 938–953. https://doi.org/10.1017/S1537592718001081</w:t>
      </w:r>
    </w:p>
    <w:p w14:paraId="69C53D94" w14:textId="77777777" w:rsidR="00B55F17" w:rsidRDefault="00CF4059">
      <w:pPr>
        <w:keepNext/>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4ED8431D" w14:textId="77777777" w:rsidR="00B55F17" w:rsidRDefault="00CF4059">
      <w:pPr>
        <w:keepNext/>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59937C09"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0A0A5092" w14:textId="77777777" w:rsidR="00890E97" w:rsidRDefault="00296D41">
      <w:pPr>
        <w:ind w:left="720" w:hanging="720"/>
      </w:pPr>
      <w:r>
        <w:lastRenderedPageBreak/>
        <w:t>Instituto Nacional de Estadística y Geografía. (2024). Censos Económicos 2024. https://www.inegi.org.mx/programas/ce/2024/</w:t>
      </w:r>
    </w:p>
    <w:p w14:paraId="48C1A8B6" w14:textId="77777777" w:rsidR="00890E97" w:rsidRDefault="00296D41">
      <w:pPr>
        <w:ind w:left="720" w:hanging="720"/>
      </w:pPr>
      <w:r>
        <w:t>Instituto Nacional de Estadística y Geografía. (2020). Censo de Población y Vivienda 2020. https://www.inegi.org.mx/programas/ccpv/2020/</w:t>
      </w:r>
    </w:p>
    <w:p w14:paraId="48722662" w14:textId="77777777" w:rsidR="00B8658C" w:rsidRDefault="00395729">
      <w:pPr>
        <w:pStyle w:val="Ttulo1"/>
        <w:pageBreakBefore/>
      </w:pPr>
      <w:bookmarkStart w:id="26" w:name="_Toc243842828"/>
      <w:r>
        <w:lastRenderedPageBreak/>
        <w:t>Anexo 1 Matriz de consistencia</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B8658C" w14:paraId="1988D5F9" w14:textId="77777777">
        <w:trPr>
          <w:cantSplit/>
          <w:tblHeader/>
          <w:jc w:val="center"/>
        </w:trPr>
        <w:tc>
          <w:tcPr>
            <w:tcW w:w="3168" w:type="dxa"/>
            <w:shd w:val="clear" w:color="auto" w:fill="E7EDF2"/>
            <w:tcMar>
              <w:top w:w="100" w:type="dxa"/>
              <w:left w:w="100" w:type="dxa"/>
              <w:bottom w:w="100" w:type="dxa"/>
              <w:right w:w="100" w:type="dxa"/>
            </w:tcMar>
            <w:vAlign w:val="center"/>
          </w:tcPr>
          <w:p w14:paraId="5E375664" w14:textId="77777777" w:rsidR="00B8658C" w:rsidRDefault="00395729">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0BFA1D89" w14:textId="77777777" w:rsidR="00B8658C" w:rsidRDefault="00395729">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154BD721" w14:textId="77777777" w:rsidR="00B8658C" w:rsidRDefault="00395729">
            <w:pPr>
              <w:spacing w:after="60" w:line="252" w:lineRule="auto"/>
              <w:ind w:firstLine="0"/>
            </w:pPr>
            <w:r>
              <w:rPr>
                <w:b/>
                <w:sz w:val="20"/>
              </w:rPr>
              <w:t>Objetivo general</w:t>
            </w:r>
          </w:p>
        </w:tc>
      </w:tr>
      <w:tr w:rsidR="00B8658C" w14:paraId="5F1AC3C0" w14:textId="77777777">
        <w:trPr>
          <w:cantSplit/>
          <w:jc w:val="center"/>
        </w:trPr>
        <w:tc>
          <w:tcPr>
            <w:tcW w:w="3168" w:type="dxa"/>
            <w:tcMar>
              <w:top w:w="100" w:type="dxa"/>
              <w:left w:w="100" w:type="dxa"/>
              <w:bottom w:w="100" w:type="dxa"/>
              <w:right w:w="100" w:type="dxa"/>
            </w:tcMar>
            <w:vAlign w:val="center"/>
          </w:tcPr>
          <w:p w14:paraId="318561C9" w14:textId="77777777" w:rsidR="00B8658C" w:rsidRDefault="00395729">
            <w:pPr>
              <w:spacing w:after="60" w:line="252" w:lineRule="auto"/>
              <w:ind w:firstLine="0"/>
            </w:pPr>
            <w:r>
              <w:rPr>
                <w:sz w:val="20"/>
              </w:rPr>
              <w:t>Gestión del cumplimiento normativo para formalizar vTaxi como plataforma de taxis en Monterrey, Nuevo León</w:t>
            </w:r>
            <w:r>
              <w:rPr>
                <w:sz w:val="20"/>
              </w:rPr>
              <w:br/>
            </w:r>
            <w:r>
              <w:rPr>
                <w:sz w:val="20"/>
              </w:rPr>
              <w:br/>
              <w:t>Los borradores regulatorios de vTaxi no acreditan una ruta validada de requisitos, responsables y evidencias para su formalización como plataforma de taxis concesionados en Monterrey, Nuevo León.</w:t>
            </w:r>
          </w:p>
        </w:tc>
        <w:tc>
          <w:tcPr>
            <w:tcW w:w="3096" w:type="dxa"/>
            <w:tcMar>
              <w:top w:w="100" w:type="dxa"/>
              <w:left w:w="100" w:type="dxa"/>
              <w:bottom w:w="100" w:type="dxa"/>
              <w:right w:w="100" w:type="dxa"/>
            </w:tcMar>
            <w:vAlign w:val="center"/>
          </w:tcPr>
          <w:p w14:paraId="65053BED" w14:textId="77777777" w:rsidR="00B8658C" w:rsidRDefault="00395729">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Monterrey, Nuevo León durante septiembre a noviembre de 2026?</w:t>
            </w:r>
          </w:p>
        </w:tc>
        <w:tc>
          <w:tcPr>
            <w:tcW w:w="3096" w:type="dxa"/>
            <w:tcMar>
              <w:top w:w="100" w:type="dxa"/>
              <w:left w:w="100" w:type="dxa"/>
              <w:bottom w:w="100" w:type="dxa"/>
              <w:right w:w="100" w:type="dxa"/>
            </w:tcMar>
            <w:vAlign w:val="center"/>
          </w:tcPr>
          <w:p w14:paraId="14D8E01F" w14:textId="77777777" w:rsidR="00B8658C" w:rsidRDefault="00395729">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Monterrey, Nuevo León durante septiembre a noviembre de 2026, mediante el contraste documental de requisitos, responsabilidades y evidencias del proyecto.</w:t>
            </w:r>
          </w:p>
        </w:tc>
      </w:tr>
      <w:tr w:rsidR="004E4A6D" w14:paraId="169F8D1A" w14:textId="77777777">
        <w:trPr>
          <w:jc w:val="center"/>
        </w:trPr>
        <w:tc>
          <w:tcPr>
            <w:tcW w:w="9360" w:type="dxa"/>
            <w:gridSpan w:val="3"/>
          </w:tcPr>
          <w:p w14:paraId="20D48953" w14:textId="77777777" w:rsidR="004E4A6D" w:rsidRDefault="007807B0">
            <w:r>
              <w:t>Hipótesis general (HG)</w:t>
            </w:r>
            <w:r>
              <w:br/>
              <w:t>En los componentes documentales aplicables al proyecto vTaxi como plataforma de taxis concesionados en Monterrey, Nuevo León durante septiembre a noviembre de 2026, un mayor nivel de gestión del cumplimiento normativo se relaciona con un mayor grado de preparación administrativa del expediente, expresado en documentos completos y coherentes con los requisitos aplicables y en observaciones internas atendidas con respaldo verificable.</w:t>
            </w:r>
          </w:p>
          <w:p w14:paraId="14A4F033" w14:textId="77777777" w:rsidR="00DF38BA" w:rsidRDefault="00804DB0">
            <w:r>
              <w:t xml:space="preserve">Alcance (T13): estudio de caso documental de vTaxi en Monterrey, Nuevo León, </w:t>
            </w:r>
            <w:r>
              <w:t>septiembre a noviembre de 2026. OE1: catálogo de requisitos; OE2: diagnóstico de brechas; OE3: contraste por patrones entre controles y expediente; OE4: ruta priorizada. Faltantes registrados como no verificables; sin causalidad ni generalización estadística. El Círculo de Covey conserva problema y objetivo general en Importante/No urgente.</w:t>
            </w:r>
          </w:p>
        </w:tc>
      </w:tr>
    </w:tbl>
    <w:p w14:paraId="01F4D73F" w14:textId="77777777" w:rsidR="00B8658C" w:rsidRDefault="00395729">
      <w:pPr>
        <w:pStyle w:val="Ttulo2"/>
        <w:pageBreakBefore/>
      </w:pPr>
      <w:bookmarkStart w:id="27" w:name="_Toc243842829"/>
      <w:r>
        <w:lastRenderedPageBreak/>
        <w:t>Correspondencia de preguntas y objetivos específicos</w:t>
      </w:r>
      <w:bookmarkEnd w:id="2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B8658C" w14:paraId="23A40A9C" w14:textId="77777777">
        <w:trPr>
          <w:cantSplit/>
          <w:tblHeader/>
          <w:jc w:val="center"/>
        </w:trPr>
        <w:tc>
          <w:tcPr>
            <w:tcW w:w="3528" w:type="dxa"/>
            <w:shd w:val="clear" w:color="auto" w:fill="E7EDF2"/>
            <w:tcMar>
              <w:top w:w="100" w:type="dxa"/>
              <w:left w:w="100" w:type="dxa"/>
              <w:bottom w:w="100" w:type="dxa"/>
              <w:right w:w="100" w:type="dxa"/>
            </w:tcMar>
            <w:vAlign w:val="center"/>
          </w:tcPr>
          <w:p w14:paraId="28F2333A" w14:textId="77777777" w:rsidR="00B8658C" w:rsidRDefault="00395729">
            <w:pPr>
              <w:spacing w:after="60" w:line="252" w:lineRule="auto"/>
              <w:ind w:firstLine="0"/>
            </w:pPr>
            <w:r>
              <w:rPr>
                <w:b/>
                <w:sz w:val="20"/>
              </w:rPr>
              <w:t>Pregunta específica</w:t>
            </w:r>
          </w:p>
        </w:tc>
        <w:tc>
          <w:tcPr>
            <w:tcW w:w="5832" w:type="dxa"/>
            <w:shd w:val="clear" w:color="auto" w:fill="E7EDF2"/>
            <w:tcMar>
              <w:top w:w="100" w:type="dxa"/>
              <w:left w:w="100" w:type="dxa"/>
              <w:bottom w:w="100" w:type="dxa"/>
              <w:right w:w="100" w:type="dxa"/>
            </w:tcMar>
            <w:vAlign w:val="center"/>
          </w:tcPr>
          <w:p w14:paraId="6EA3F968" w14:textId="77777777" w:rsidR="00B8658C" w:rsidRDefault="00395729">
            <w:pPr>
              <w:spacing w:after="60" w:line="252" w:lineRule="auto"/>
              <w:ind w:firstLine="0"/>
            </w:pPr>
            <w:r>
              <w:rPr>
                <w:b/>
                <w:sz w:val="20"/>
              </w:rPr>
              <w:t>Objetivo, procedimiento y producto</w:t>
            </w:r>
          </w:p>
        </w:tc>
      </w:tr>
      <w:tr w:rsidR="00B8658C" w14:paraId="5AB9954A" w14:textId="77777777">
        <w:trPr>
          <w:cantSplit/>
          <w:jc w:val="center"/>
        </w:trPr>
        <w:tc>
          <w:tcPr>
            <w:tcW w:w="3528" w:type="dxa"/>
            <w:tcMar>
              <w:top w:w="100" w:type="dxa"/>
              <w:left w:w="100" w:type="dxa"/>
              <w:bottom w:w="100" w:type="dxa"/>
              <w:right w:w="100" w:type="dxa"/>
            </w:tcMar>
            <w:vAlign w:val="center"/>
          </w:tcPr>
          <w:p w14:paraId="6737D803" w14:textId="77777777" w:rsidR="00B8658C" w:rsidRDefault="00395729">
            <w:pPr>
              <w:spacing w:after="60" w:line="252" w:lineRule="auto"/>
              <w:ind w:firstLine="0"/>
            </w:pPr>
            <w:r>
              <w:rPr>
                <w:sz w:val="20"/>
              </w:rPr>
              <w:t>1. ¿Qué requisitos y competencias institucionales corresponden al modelo de taxis concesionados de vTaxi y cuáles pertenecen a la modalidad de transporte privado mediante empresas de redes de transporte?</w:t>
            </w:r>
          </w:p>
        </w:tc>
        <w:tc>
          <w:tcPr>
            <w:tcW w:w="5832" w:type="dxa"/>
            <w:tcMar>
              <w:top w:w="100" w:type="dxa"/>
              <w:left w:w="100" w:type="dxa"/>
              <w:bottom w:w="100" w:type="dxa"/>
              <w:right w:w="100" w:type="dxa"/>
            </w:tcMar>
            <w:vAlign w:val="center"/>
          </w:tcPr>
          <w:p w14:paraId="6466E705" w14:textId="77777777" w:rsidR="00B8658C" w:rsidRDefault="00395729">
            <w:pPr>
              <w:spacing w:after="60" w:line="252" w:lineRule="auto"/>
              <w:ind w:firstLine="0"/>
            </w:pPr>
            <w:r>
              <w:rPr>
                <w:sz w:val="20"/>
              </w:rPr>
              <w:t>Objetivo 1</w:t>
            </w:r>
            <w:r>
              <w:rPr>
                <w:sz w:val="20"/>
              </w:rPr>
              <w:br/>
              <w:t>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r>
              <w:rPr>
                <w:sz w:val="20"/>
              </w:rPr>
              <w:br/>
            </w:r>
            <w:r>
              <w:rPr>
                <w:sz w:val="20"/>
              </w:rPr>
              <w:br/>
              <w:t>Procedimiento</w:t>
            </w:r>
            <w:r>
              <w:rPr>
                <w:sz w:val="20"/>
              </w:rPr>
              <w:br/>
              <w:t>Contrastar el modelo de servicio con las fuentes aplicables y asociar cada obligación con el proceso interno que deberá atenderla. Identificar responsabilidades y evidencias esperadas; separar requisitos confirmados, recomendaciones y cuestiones que requieren aclaración.</w:t>
            </w:r>
            <w:r>
              <w:rPr>
                <w:sz w:val="20"/>
              </w:rPr>
              <w:br/>
            </w:r>
            <w:r>
              <w:rPr>
                <w:sz w:val="20"/>
              </w:rPr>
              <w:br/>
              <w:t>Producto verificable</w:t>
            </w:r>
            <w:r>
              <w:rPr>
                <w:sz w:val="20"/>
              </w:rPr>
              <w:br/>
              <w:t>Catálogo administrativo que relacione cada requisito aplicable con proceso, responsable documentado o por asignar, fuente y evidencia necesaria. La modalidad y competencia institucional se usarán para fundamentar su pertinencia, no para sustituir el análisis de gestión.</w:t>
            </w:r>
          </w:p>
        </w:tc>
      </w:tr>
      <w:tr w:rsidR="00B8658C" w14:paraId="1E159FE6" w14:textId="77777777">
        <w:trPr>
          <w:cantSplit/>
          <w:jc w:val="center"/>
        </w:trPr>
        <w:tc>
          <w:tcPr>
            <w:tcW w:w="3528" w:type="dxa"/>
            <w:tcMar>
              <w:top w:w="100" w:type="dxa"/>
              <w:left w:w="100" w:type="dxa"/>
              <w:bottom w:w="100" w:type="dxa"/>
              <w:right w:w="100" w:type="dxa"/>
            </w:tcMar>
            <w:vAlign w:val="center"/>
          </w:tcPr>
          <w:p w14:paraId="1CA115FF" w14:textId="77777777" w:rsidR="00B8658C" w:rsidRDefault="00395729">
            <w:pPr>
              <w:spacing w:after="60" w:line="252" w:lineRule="auto"/>
              <w:ind w:firstLine="0"/>
            </w:pPr>
            <w:r>
              <w:rPr>
                <w:sz w:val="20"/>
              </w:rPr>
              <w:t>2. ¿Qué diferencias existen entre los requisitos aplicables y las evidencias jurídicas, técnicas y operativas disponibles en los borradores del proyecto?</w:t>
            </w:r>
          </w:p>
        </w:tc>
        <w:tc>
          <w:tcPr>
            <w:tcW w:w="5832" w:type="dxa"/>
            <w:tcMar>
              <w:top w:w="100" w:type="dxa"/>
              <w:left w:w="100" w:type="dxa"/>
              <w:bottom w:w="100" w:type="dxa"/>
              <w:right w:w="100" w:type="dxa"/>
            </w:tcMar>
            <w:vAlign w:val="center"/>
          </w:tcPr>
          <w:p w14:paraId="6AD59081" w14:textId="77777777" w:rsidR="00B8658C" w:rsidRDefault="00395729">
            <w:pPr>
              <w:spacing w:after="60" w:line="252" w:lineRule="auto"/>
              <w:ind w:firstLine="0"/>
            </w:pPr>
            <w:r>
              <w:rPr>
                <w:sz w:val="20"/>
              </w:rPr>
              <w:t>Objetivo 2</w:t>
            </w:r>
            <w:r>
              <w:rPr>
                <w:sz w:val="20"/>
              </w:rPr>
              <w:br/>
              <w:t>Diagnosticar las brechas de organización y gestión documental entre los requisitos aplicables y las evidencias disponibles de vTaxi, considerando la asignación de responsabilidades, los controles de seguimiento y la integridad y coherencia del expediente.</w:t>
            </w:r>
            <w:r>
              <w:rPr>
                <w:sz w:val="20"/>
              </w:rPr>
              <w:br/>
            </w:r>
            <w:r>
              <w:rPr>
                <w:sz w:val="20"/>
              </w:rPr>
              <w:br/>
              <w:t>Procedimiento</w:t>
            </w:r>
            <w:r>
              <w:rPr>
                <w:sz w:val="20"/>
              </w:rPr>
              <w:br/>
              <w:t>Cotejar documentos y registros internos para detectar brechas en distribución de tareas, procedimientos y seguimiento, además de inconsistencias del expediente. Distinguir prácticas documentadas de propuestas futuras; no tratar ejemplos internos como hechos comprobados.</w:t>
            </w:r>
            <w:r>
              <w:rPr>
                <w:sz w:val="20"/>
              </w:rPr>
              <w:br/>
            </w:r>
            <w:r>
              <w:rPr>
                <w:sz w:val="20"/>
              </w:rPr>
              <w:br/>
              <w:t>Producto verificable</w:t>
            </w:r>
            <w:r>
              <w:rPr>
                <w:sz w:val="20"/>
              </w:rPr>
              <w:br/>
              <w:t>Diagnóstico de brechas en responsabilidades, procedimientos, control y documentación, con hallazgo y respaldo identificable. La ausencia de información se registrará como falta de evidencia, no como incumplimiento jurídico acreditado.</w:t>
            </w:r>
          </w:p>
        </w:tc>
      </w:tr>
      <w:tr w:rsidR="00B8658C" w14:paraId="65487C85" w14:textId="77777777">
        <w:trPr>
          <w:cantSplit/>
          <w:jc w:val="center"/>
        </w:trPr>
        <w:tc>
          <w:tcPr>
            <w:tcW w:w="3528" w:type="dxa"/>
            <w:tcMar>
              <w:top w:w="100" w:type="dxa"/>
              <w:left w:w="100" w:type="dxa"/>
              <w:bottom w:w="100" w:type="dxa"/>
              <w:right w:w="100" w:type="dxa"/>
            </w:tcMar>
            <w:vAlign w:val="center"/>
          </w:tcPr>
          <w:p w14:paraId="3EA3F7EC" w14:textId="77777777" w:rsidR="00B8658C" w:rsidRDefault="00395729">
            <w:pPr>
              <w:spacing w:after="60" w:line="252" w:lineRule="auto"/>
              <w:ind w:firstLine="0"/>
            </w:pPr>
            <w:r>
              <w:rPr>
                <w:sz w:val="20"/>
              </w:rPr>
              <w:lastRenderedPageBreak/>
              <w:t>3. ¿Cómo se vinculan la asignación de responsables, la verificación de requisitos y el seguimiento documental con la integridad del expediente y la resolución de observaciones internas?</w:t>
            </w:r>
          </w:p>
        </w:tc>
        <w:tc>
          <w:tcPr>
            <w:tcW w:w="5832" w:type="dxa"/>
            <w:tcMar>
              <w:top w:w="100" w:type="dxa"/>
              <w:left w:w="100" w:type="dxa"/>
              <w:bottom w:w="100" w:type="dxa"/>
              <w:right w:w="100" w:type="dxa"/>
            </w:tcMar>
            <w:vAlign w:val="center"/>
          </w:tcPr>
          <w:p w14:paraId="336AE982" w14:textId="77777777" w:rsidR="00B8658C" w:rsidRDefault="00395729">
            <w:pPr>
              <w:spacing w:after="60" w:line="252" w:lineRule="auto"/>
              <w:ind w:firstLine="0"/>
            </w:pPr>
            <w:r>
              <w:rPr>
                <w:sz w:val="20"/>
              </w:rPr>
              <w:t>Objetivo 3</w:t>
            </w:r>
            <w:r>
              <w:rPr>
                <w:sz w:val="20"/>
              </w:rPr>
              <w:br/>
              <w:t>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r>
              <w:rPr>
                <w:sz w:val="20"/>
              </w:rPr>
              <w:br/>
            </w:r>
            <w:r>
              <w:rPr>
                <w:sz w:val="20"/>
              </w:rPr>
              <w:br/>
              <w:t>Procedimiento</w:t>
            </w:r>
            <w:r>
              <w:rPr>
                <w:sz w:val="20"/>
              </w:rPr>
              <w:br/>
              <w:t>Comparar controles de asignación y seguimiento con evidencias y observaciones del expediente. Registrar numeradores, denominadores y soportes de los indicadores propuestos cuando existan datos; interpretar correspondencias dentro del caso, sin inferir causalidad.</w:t>
            </w:r>
            <w:r>
              <w:rPr>
                <w:sz w:val="20"/>
              </w:rPr>
              <w:br/>
            </w:r>
            <w:r>
              <w:rPr>
                <w:sz w:val="20"/>
              </w:rPr>
              <w:br/>
              <w:t>Producto verificable</w:t>
            </w:r>
            <w:r>
              <w:rPr>
                <w:sz w:val="20"/>
              </w:rPr>
              <w:br/>
              <w:t>Matriz de controles y evidencias con cobertura de responsabilidades, trazabilidad documental y cierre de observaciones como indicadores propuestos. Cada registro conservará su soporte; no se reportarán mediciones inexistentes ni efectos causales.</w:t>
            </w:r>
          </w:p>
          <w:p w14:paraId="278CF2B9" w14:textId="77777777" w:rsidR="004E4A6D" w:rsidRDefault="007807B0">
            <w:r>
              <w:t>Hipótesis específica (HE1)</w:t>
            </w:r>
            <w:r>
              <w:br/>
              <w:t>En los componentes del expediente de vTaxi, la asignación documentada de responsables y el seguimiento de observaciones se relacionan con una mayor proporción de observaciones internas cerradas mediante evidencia documental aceptable en la revisión del caso.</w:t>
            </w:r>
          </w:p>
        </w:tc>
      </w:tr>
      <w:tr w:rsidR="00B8658C" w14:paraId="7C16DB69" w14:textId="77777777">
        <w:trPr>
          <w:cantSplit/>
          <w:jc w:val="center"/>
        </w:trPr>
        <w:tc>
          <w:tcPr>
            <w:tcW w:w="3528" w:type="dxa"/>
            <w:tcMar>
              <w:top w:w="100" w:type="dxa"/>
              <w:left w:w="100" w:type="dxa"/>
              <w:bottom w:w="100" w:type="dxa"/>
              <w:right w:w="100" w:type="dxa"/>
            </w:tcMar>
            <w:vAlign w:val="center"/>
          </w:tcPr>
          <w:p w14:paraId="28DDE7F0" w14:textId="77777777" w:rsidR="00B8658C" w:rsidRDefault="00395729">
            <w:pPr>
              <w:spacing w:after="60" w:line="252" w:lineRule="auto"/>
              <w:ind w:firstLine="0"/>
            </w:pPr>
            <w:r>
              <w:rPr>
                <w:sz w:val="20"/>
              </w:rPr>
              <w:lastRenderedPageBreak/>
              <w:t>4. ¿Qué acciones de gestión deben priorizarse para fortalecer la preparación del expediente de vTaxi sin confundir capacitación de conductores con autorización de la plataforma?</w:t>
            </w:r>
          </w:p>
        </w:tc>
        <w:tc>
          <w:tcPr>
            <w:tcW w:w="5832" w:type="dxa"/>
            <w:tcMar>
              <w:top w:w="100" w:type="dxa"/>
              <w:left w:w="100" w:type="dxa"/>
              <w:bottom w:w="100" w:type="dxa"/>
              <w:right w:w="100" w:type="dxa"/>
            </w:tcMar>
            <w:vAlign w:val="center"/>
          </w:tcPr>
          <w:p w14:paraId="6417B20F" w14:textId="77777777" w:rsidR="00B8658C" w:rsidRDefault="00395729">
            <w:pPr>
              <w:spacing w:after="60" w:line="252" w:lineRule="auto"/>
              <w:ind w:firstLine="0"/>
            </w:pPr>
            <w:r>
              <w:rPr>
                <w:sz w:val="20"/>
              </w:rPr>
              <w:t>Objetivo 4</w:t>
            </w:r>
            <w:r>
              <w:rPr>
                <w:sz w:val="20"/>
              </w:rPr>
              <w:br/>
              <w:t>Proponer una ruta priorizada de gestión para fortalecer la preparación administrativa del expediente de vTaxi, con acciones, responsables propuestos y evidencias de atención, diferenciando la capacitación de conductores de la autorización de la plataforma.</w:t>
            </w:r>
            <w:r>
              <w:rPr>
                <w:sz w:val="20"/>
              </w:rPr>
              <w:br/>
            </w:r>
            <w:r>
              <w:rPr>
                <w:sz w:val="20"/>
              </w:rPr>
              <w:br/>
              <w:t>Procedimiento</w:t>
            </w:r>
            <w:r>
              <w:rPr>
                <w:sz w:val="20"/>
              </w:rPr>
              <w:br/>
              <w:t>Ordenar las brechas identificadas por fundamento y dependencia administrativa. Proponer acciones y responsables funcionales, señalando la evidencia necesaria para cerrar cada observación y distinguiendo formación de conductores, concesiones y autorización de la plataforma.</w:t>
            </w:r>
            <w:r>
              <w:rPr>
                <w:sz w:val="20"/>
              </w:rPr>
              <w:br/>
            </w:r>
            <w:r>
              <w:rPr>
                <w:sz w:val="20"/>
              </w:rPr>
              <w:br/>
              <w:t>Producto verificable</w:t>
            </w:r>
            <w:r>
              <w:rPr>
                <w:sz w:val="20"/>
              </w:rPr>
              <w:br/>
              <w:t>Ruta priorizada de atención con acción, responsable propuesto, dependencia y criterio documental de cierre. Las prioridades se justificarán por pertinencia normativa y secuencia de integración; no representarán compromisos aceptados ni autorización de la plataforma.</w:t>
            </w:r>
          </w:p>
        </w:tc>
      </w:tr>
    </w:tbl>
    <w:p w14:paraId="13EC55EA" w14:textId="77777777" w:rsidR="00B8658C" w:rsidRDefault="00395729">
      <w:pPr>
        <w:pStyle w:val="Ttulo1"/>
        <w:pageBreakBefore/>
      </w:pPr>
      <w:bookmarkStart w:id="28" w:name="_Toc243842830"/>
      <w:r>
        <w:lastRenderedPageBreak/>
        <w:t>Anexo 2 Círculo de Covey</w:t>
      </w:r>
      <w:bookmarkEnd w:id="28"/>
    </w:p>
    <w:p w14:paraId="6CA8B4C4" w14:textId="77777777" w:rsidR="00B8658C" w:rsidRDefault="00395729">
      <w:pPr>
        <w:ind w:firstLine="0"/>
      </w:pPr>
      <w: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B8658C" w14:paraId="0CCB0022" w14:textId="77777777">
        <w:trPr>
          <w:cantSplit/>
          <w:tblHeader/>
          <w:jc w:val="center"/>
        </w:trPr>
        <w:tc>
          <w:tcPr>
            <w:tcW w:w="3096" w:type="dxa"/>
            <w:shd w:val="clear" w:color="auto" w:fill="E7EDF2"/>
            <w:tcMar>
              <w:top w:w="100" w:type="dxa"/>
              <w:left w:w="100" w:type="dxa"/>
              <w:bottom w:w="100" w:type="dxa"/>
              <w:right w:w="100" w:type="dxa"/>
            </w:tcMar>
            <w:vAlign w:val="center"/>
          </w:tcPr>
          <w:p w14:paraId="1F2BBD57" w14:textId="77777777" w:rsidR="00B8658C" w:rsidRDefault="00395729">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6C0B6913" w14:textId="77777777" w:rsidR="00B8658C" w:rsidRDefault="00395729">
            <w:pPr>
              <w:spacing w:after="60" w:line="252" w:lineRule="auto"/>
              <w:ind w:firstLine="0"/>
            </w:pPr>
            <w:r>
              <w:rPr>
                <w:b/>
                <w:sz w:val="20"/>
              </w:rPr>
              <w:t>No urgente</w:t>
            </w:r>
          </w:p>
        </w:tc>
      </w:tr>
      <w:tr w:rsidR="00B8658C" w14:paraId="16839363" w14:textId="77777777">
        <w:trPr>
          <w:cantSplit/>
          <w:jc w:val="center"/>
        </w:trPr>
        <w:tc>
          <w:tcPr>
            <w:tcW w:w="3096" w:type="dxa"/>
            <w:tcMar>
              <w:top w:w="100" w:type="dxa"/>
              <w:left w:w="100" w:type="dxa"/>
              <w:bottom w:w="100" w:type="dxa"/>
              <w:right w:w="100" w:type="dxa"/>
            </w:tcMar>
            <w:vAlign w:val="center"/>
          </w:tcPr>
          <w:p w14:paraId="62D0C023" w14:textId="77777777" w:rsidR="00B8658C" w:rsidRDefault="00395729">
            <w:pPr>
              <w:spacing w:after="60" w:line="252" w:lineRule="auto"/>
              <w:ind w:firstLine="0"/>
            </w:pPr>
            <w:r>
              <w:rPr>
                <w:sz w:val="20"/>
              </w:rPr>
              <w:t>I Importante</w:t>
            </w:r>
          </w:p>
        </w:tc>
        <w:tc>
          <w:tcPr>
            <w:tcW w:w="6264" w:type="dxa"/>
            <w:tcMar>
              <w:top w:w="100" w:type="dxa"/>
              <w:left w:w="100" w:type="dxa"/>
              <w:bottom w:w="100" w:type="dxa"/>
              <w:right w:w="100" w:type="dxa"/>
            </w:tcMar>
            <w:vAlign w:val="center"/>
          </w:tcPr>
          <w:p w14:paraId="7D67E9DC" w14:textId="77777777" w:rsidR="00B8658C" w:rsidRDefault="00395729">
            <w:pPr>
              <w:spacing w:after="60" w:line="252" w:lineRule="auto"/>
              <w:ind w:firstLine="0"/>
            </w:pPr>
            <w:r>
              <w:rPr>
                <w:sz w:val="20"/>
              </w:rPr>
              <w:t>II Importante</w:t>
            </w:r>
            <w:r>
              <w:rPr>
                <w:sz w:val="20"/>
              </w:rPr>
              <w:br/>
            </w:r>
            <w:r>
              <w:rPr>
                <w:sz w:val="20"/>
              </w:rPr>
              <w:br/>
              <w:t>Problema general</w:t>
            </w:r>
            <w:r>
              <w:rPr>
                <w:sz w:val="20"/>
              </w:rPr>
              <w:br/>
              <w:t>Los borradores regulatorios de vTaxi no acreditan una ruta validada de requisitos, responsables y evidencias para su formalización como plataforma de taxis concesionados en Monterrey,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Monterrey, Nuevo León durante septiembre a noviembre de 2026, mediante el contraste documental de requisitos, responsabilidades y evidencias del proyecto.</w:t>
            </w:r>
          </w:p>
        </w:tc>
      </w:tr>
      <w:tr w:rsidR="00B8658C" w14:paraId="5C65FCC1" w14:textId="77777777">
        <w:trPr>
          <w:cantSplit/>
          <w:jc w:val="center"/>
        </w:trPr>
        <w:tc>
          <w:tcPr>
            <w:tcW w:w="3096" w:type="dxa"/>
            <w:tcMar>
              <w:top w:w="100" w:type="dxa"/>
              <w:left w:w="100" w:type="dxa"/>
              <w:bottom w:w="100" w:type="dxa"/>
              <w:right w:w="100" w:type="dxa"/>
            </w:tcMar>
            <w:vAlign w:val="center"/>
          </w:tcPr>
          <w:p w14:paraId="50B9F72F" w14:textId="77777777" w:rsidR="00B8658C" w:rsidRDefault="00395729">
            <w:pPr>
              <w:spacing w:after="60" w:line="252" w:lineRule="auto"/>
              <w:ind w:firstLine="0"/>
            </w:pPr>
            <w:r>
              <w:rPr>
                <w:sz w:val="20"/>
              </w:rPr>
              <w:t>III No importante</w:t>
            </w:r>
          </w:p>
        </w:tc>
        <w:tc>
          <w:tcPr>
            <w:tcW w:w="6264" w:type="dxa"/>
            <w:tcMar>
              <w:top w:w="100" w:type="dxa"/>
              <w:left w:w="100" w:type="dxa"/>
              <w:bottom w:w="100" w:type="dxa"/>
              <w:right w:w="100" w:type="dxa"/>
            </w:tcMar>
            <w:vAlign w:val="center"/>
          </w:tcPr>
          <w:p w14:paraId="094CA516" w14:textId="77777777" w:rsidR="00B8658C" w:rsidRDefault="00395729">
            <w:pPr>
              <w:spacing w:after="60" w:line="252" w:lineRule="auto"/>
              <w:ind w:firstLine="0"/>
            </w:pPr>
            <w:r>
              <w:rPr>
                <w:sz w:val="20"/>
              </w:rPr>
              <w:t>IV No importante</w:t>
            </w:r>
          </w:p>
        </w:tc>
      </w:tr>
    </w:tbl>
    <w:p w14:paraId="4F9E680E" w14:textId="77777777" w:rsidR="00395729" w:rsidRDefault="00395729"/>
    <w:sectPr w:rsidR="0039572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2FD50" w14:textId="77777777" w:rsidR="00CF4059" w:rsidRDefault="00CF4059">
      <w:pPr>
        <w:spacing w:line="240" w:lineRule="auto"/>
      </w:pPr>
      <w:r>
        <w:separator/>
      </w:r>
    </w:p>
  </w:endnote>
  <w:endnote w:type="continuationSeparator" w:id="0">
    <w:p w14:paraId="7BAF7E9D"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26282"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FC821"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5B895"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690C2" w14:textId="77777777" w:rsidR="00CF4059" w:rsidRDefault="00CF4059">
      <w:pPr>
        <w:spacing w:line="240" w:lineRule="auto"/>
      </w:pPr>
      <w:r>
        <w:separator/>
      </w:r>
    </w:p>
  </w:footnote>
  <w:footnote w:type="continuationSeparator" w:id="0">
    <w:p w14:paraId="6D8CB6A3" w14:textId="77777777" w:rsidR="00CF4059" w:rsidRDefault="00CF4059">
      <w:pPr>
        <w:spacing w:line="240" w:lineRule="auto"/>
      </w:pPr>
      <w:r>
        <w:continuationSeparator/>
      </w:r>
    </w:p>
  </w:footnote>
  <w:footnote w:id="1">
    <w:p w14:paraId="1174B64B" w14:textId="77777777" w:rsidR="00B8658C" w:rsidRDefault="00395729">
      <w:r>
        <w:footnoteRef/>
      </w:r>
      <w:r>
        <w:rPr>
          <w:sz w:val="18"/>
        </w:rPr>
        <w:t xml:space="preserve"> Se utilizó GitHub Copilot para revisar la coherencia de los objetivos previamente formulados, redactar apoyos metodológicos y preparar los documentos. La asistencia automatizada no acredita revisión o aprobación docente ni sustituye la valoración crítica y la revisión final del estudiante.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55042"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2F38F"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ECA70"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0368C0"/>
    <w:rsid w:val="001A6421"/>
    <w:rsid w:val="00296D41"/>
    <w:rsid w:val="003104C5"/>
    <w:rsid w:val="00380A98"/>
    <w:rsid w:val="0038211B"/>
    <w:rsid w:val="00395729"/>
    <w:rsid w:val="004B6D39"/>
    <w:rsid w:val="004E4A6D"/>
    <w:rsid w:val="00526E6F"/>
    <w:rsid w:val="005546B7"/>
    <w:rsid w:val="005D2F26"/>
    <w:rsid w:val="006F0C45"/>
    <w:rsid w:val="007807B0"/>
    <w:rsid w:val="00804DB0"/>
    <w:rsid w:val="00890E97"/>
    <w:rsid w:val="00890EF2"/>
    <w:rsid w:val="008A3FBF"/>
    <w:rsid w:val="009D42F1"/>
    <w:rsid w:val="00B35631"/>
    <w:rsid w:val="00B55F17"/>
    <w:rsid w:val="00B8658C"/>
    <w:rsid w:val="00BF28F6"/>
    <w:rsid w:val="00CC43CF"/>
    <w:rsid w:val="00CF4059"/>
    <w:rsid w:val="00DF38BA"/>
    <w:rsid w:val="00EE521E"/>
    <w:rsid w:val="00F12628"/>
    <w:rsid w:val="00FA57BC"/>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BEC84"/>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36</Pages>
  <Words>8535</Words>
  <Characters>53237</Characters>
  <Application>Microsoft Office Word</Application>
  <DocSecurity>0</DocSecurity>
  <Lines>892</Lines>
  <Paragraphs>199</Paragraphs>
  <ScaleCrop>false</ScaleCrop>
  <Company/>
  <LinksUpToDate>false</LinksUpToDate>
  <CharactersWithSpaces>61574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13</cp:revision>
  <cp:lastPrinted>2026-10-25T23:46:00Z</cp:lastPrinted>
  <dcterms:created xsi:type="dcterms:W3CDTF">2025-10-04T21:58:00Z</dcterms:created>
  <dcterms:modified xsi:type="dcterms:W3CDTF">2026-10-25T23:46:00Z</dcterms:modified>
  <dc:language>en-US</dc:language>
</cp:coreProperties>
</file>