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44E27F" w14:textId="77777777" w:rsidR="00890E97" w:rsidRDefault="00296D41">
      <w:pPr>
        <w:spacing w:before="0" w:after="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772400" cy="1005840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portada-t12.png"/>
                    <pic:cNvPicPr/>
                  </pic:nvPicPr>
                  <pic:blipFill>
                    <a:blip r:embed="rId16"/>
                    <a:stretch>
                      <a:fillRect/>
                    </a:stretch>
                  </pic:blipFill>
                  <pic:spPr>
                    <a:xfrm>
                      <a:off x="0" y="0"/>
                      <a:ext cx="7772400" cy="10058400"/>
                    </a:xfrm>
                    <a:prstGeom prst="rect"/>
                  </pic:spPr>
                </pic:pic>
              </a:graphicData>
            </a:graphic>
          </wp:anchor>
        </w:drawing>
      </w:r>
    </w:p>
    <w:p w14:paraId="43FD4B35" w14:textId="77777777" w:rsidR="00B55F17" w:rsidRDefault="00CF4059">
      <w:pPr>
        <w:pStyle w:val="APAttulondice"/>
        <w:pageBreakBefore/>
      </w:pPr>
      <w:r>
        <w:lastRenderedPageBreak/>
        <w:t>Índice</w:t>
      </w:r>
    </w:p>
    <w:p w14:paraId="23167621" w14:textId="62BBEF18" w:rsidR="00890EF2" w:rsidRDefault="00CF4059">
      <w:pPr>
        <w:pStyle w:val="TDC1"/>
        <w:rPr>
          <w:rFonts w:asciiTheme="minorHAnsi" w:eastAsiaTheme="minorEastAsia" w:hAnsiTheme="minorHAnsi" w:cstheme="minorBidi"/>
          <w:noProof/>
          <w:color w:val="auto"/>
          <w:kern w:val="2"/>
          <w:sz w:val="24"/>
          <w:szCs w:val="24"/>
          <w:lang w:eastAsia="es-MX"/>
          <w14:ligatures w14:val="standardContextual"/>
        </w:rPr>
      </w:pPr>
      <w:r>
        <w:fldChar w:fldCharType="begin"/>
      </w:r>
      <w:r>
        <w:instrText xml:space="preserve"> TOC \o "1-2" \h \z \u </w:instrText>
      </w:r>
      <w:r>
        <w:fldChar w:fldCharType="separate"/>
      </w:r>
      <w:hyperlink w:anchor="_Toc242807289" w:history="1">
        <w:r w:rsidR="00890EF2" w:rsidRPr="00DA2969">
          <w:rPr>
            <w:rStyle w:val="Hipervnculo"/>
            <w:noProof/>
          </w:rPr>
          <w:t>1 Antecedentes</w:t>
        </w:r>
        <w:r w:rsidR="00890EF2">
          <w:rPr>
            <w:noProof/>
            <w:webHidden/>
          </w:rPr>
          <w:tab/>
        </w:r>
        <w:r w:rsidR="00890EF2">
          <w:rPr>
            <w:noProof/>
            <w:webHidden/>
          </w:rPr>
          <w:fldChar w:fldCharType="begin"/>
        </w:r>
        <w:r w:rsidR="00890EF2">
          <w:rPr>
            <w:noProof/>
            <w:webHidden/>
          </w:rPr>
          <w:instrText xml:space="preserve"> PAGEREF _Toc242807289 \h </w:instrText>
        </w:r>
        <w:r w:rsidR="00890EF2">
          <w:rPr>
            <w:noProof/>
            <w:webHidden/>
          </w:rPr>
        </w:r>
        <w:r w:rsidR="00890EF2">
          <w:rPr>
            <w:noProof/>
            <w:webHidden/>
          </w:rPr>
          <w:fldChar w:fldCharType="separate"/>
        </w:r>
        <w:r w:rsidR="00890EF2">
          <w:rPr>
            <w:noProof/>
            <w:webHidden/>
          </w:rPr>
          <w:t>3</w:t>
        </w:r>
        <w:r w:rsidR="00890EF2">
          <w:rPr>
            <w:noProof/>
            <w:webHidden/>
          </w:rPr>
          <w:fldChar w:fldCharType="end"/>
        </w:r>
      </w:hyperlink>
    </w:p>
    <w:p w14:paraId="2FBEA064" w14:textId="64505B59" w:rsidR="00890EF2" w:rsidRDefault="00890EF2">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807290" w:history="1">
        <w:r w:rsidRPr="00DA2969">
          <w:rPr>
            <w:rStyle w:val="Hipervnculo"/>
            <w:noProof/>
          </w:rPr>
          <w:t>2 Planteamiento del problema</w:t>
        </w:r>
        <w:r>
          <w:rPr>
            <w:noProof/>
            <w:webHidden/>
          </w:rPr>
          <w:tab/>
        </w:r>
        <w:r>
          <w:rPr>
            <w:noProof/>
            <w:webHidden/>
          </w:rPr>
          <w:fldChar w:fldCharType="begin"/>
        </w:r>
        <w:r>
          <w:rPr>
            <w:noProof/>
            <w:webHidden/>
          </w:rPr>
          <w:instrText xml:space="preserve"> PAGEREF _Toc242807290 \h </w:instrText>
        </w:r>
        <w:r>
          <w:rPr>
            <w:noProof/>
            <w:webHidden/>
          </w:rPr>
        </w:r>
        <w:r>
          <w:rPr>
            <w:noProof/>
            <w:webHidden/>
          </w:rPr>
          <w:fldChar w:fldCharType="separate"/>
        </w:r>
        <w:r>
          <w:rPr>
            <w:noProof/>
            <w:webHidden/>
          </w:rPr>
          <w:t>8</w:t>
        </w:r>
        <w:r>
          <w:rPr>
            <w:noProof/>
            <w:webHidden/>
          </w:rPr>
          <w:fldChar w:fldCharType="end"/>
        </w:r>
      </w:hyperlink>
    </w:p>
    <w:p w14:paraId="3F1BE2FC" w14:textId="59FF7633"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291" w:history="1">
        <w:r w:rsidRPr="00DA2969">
          <w:rPr>
            <w:rStyle w:val="Hipervnculo"/>
            <w:noProof/>
          </w:rPr>
          <w:t>2.1 Enunciado del problema</w:t>
        </w:r>
        <w:r>
          <w:rPr>
            <w:noProof/>
            <w:webHidden/>
          </w:rPr>
          <w:tab/>
        </w:r>
        <w:r>
          <w:rPr>
            <w:noProof/>
            <w:webHidden/>
          </w:rPr>
          <w:fldChar w:fldCharType="begin"/>
        </w:r>
        <w:r>
          <w:rPr>
            <w:noProof/>
            <w:webHidden/>
          </w:rPr>
          <w:instrText xml:space="preserve"> PAGEREF _Toc242807291 \h </w:instrText>
        </w:r>
        <w:r>
          <w:rPr>
            <w:noProof/>
            <w:webHidden/>
          </w:rPr>
        </w:r>
        <w:r>
          <w:rPr>
            <w:noProof/>
            <w:webHidden/>
          </w:rPr>
          <w:fldChar w:fldCharType="separate"/>
        </w:r>
        <w:r>
          <w:rPr>
            <w:noProof/>
            <w:webHidden/>
          </w:rPr>
          <w:t>8</w:t>
        </w:r>
        <w:r>
          <w:rPr>
            <w:noProof/>
            <w:webHidden/>
          </w:rPr>
          <w:fldChar w:fldCharType="end"/>
        </w:r>
      </w:hyperlink>
    </w:p>
    <w:p w14:paraId="2BDFC267" w14:textId="0778468E"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292" w:history="1">
        <w:r w:rsidRPr="00DA2969">
          <w:rPr>
            <w:rStyle w:val="Hipervnculo"/>
            <w:noProof/>
          </w:rPr>
          <w:t>2.2 Formulación del problema</w:t>
        </w:r>
        <w:r>
          <w:rPr>
            <w:noProof/>
            <w:webHidden/>
          </w:rPr>
          <w:tab/>
        </w:r>
        <w:r>
          <w:rPr>
            <w:noProof/>
            <w:webHidden/>
          </w:rPr>
          <w:fldChar w:fldCharType="begin"/>
        </w:r>
        <w:r>
          <w:rPr>
            <w:noProof/>
            <w:webHidden/>
          </w:rPr>
          <w:instrText xml:space="preserve"> PAGEREF _Toc242807292 \h </w:instrText>
        </w:r>
        <w:r>
          <w:rPr>
            <w:noProof/>
            <w:webHidden/>
          </w:rPr>
        </w:r>
        <w:r>
          <w:rPr>
            <w:noProof/>
            <w:webHidden/>
          </w:rPr>
          <w:fldChar w:fldCharType="separate"/>
        </w:r>
        <w:r>
          <w:rPr>
            <w:noProof/>
            <w:webHidden/>
          </w:rPr>
          <w:t>10</w:t>
        </w:r>
        <w:r>
          <w:rPr>
            <w:noProof/>
            <w:webHidden/>
          </w:rPr>
          <w:fldChar w:fldCharType="end"/>
        </w:r>
      </w:hyperlink>
    </w:p>
    <w:p w14:paraId="4231AFA0" w14:textId="30726AB1"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293" w:history="1">
        <w:r w:rsidRPr="00DA2969">
          <w:rPr>
            <w:rStyle w:val="Hipervnculo"/>
            <w:noProof/>
          </w:rPr>
          <w:t>2.3 Preguntas específicas</w:t>
        </w:r>
        <w:r>
          <w:rPr>
            <w:noProof/>
            <w:webHidden/>
          </w:rPr>
          <w:tab/>
        </w:r>
        <w:r>
          <w:rPr>
            <w:noProof/>
            <w:webHidden/>
          </w:rPr>
          <w:fldChar w:fldCharType="begin"/>
        </w:r>
        <w:r>
          <w:rPr>
            <w:noProof/>
            <w:webHidden/>
          </w:rPr>
          <w:instrText xml:space="preserve"> PAGEREF _Toc242807293 \h </w:instrText>
        </w:r>
        <w:r>
          <w:rPr>
            <w:noProof/>
            <w:webHidden/>
          </w:rPr>
        </w:r>
        <w:r>
          <w:rPr>
            <w:noProof/>
            <w:webHidden/>
          </w:rPr>
          <w:fldChar w:fldCharType="separate"/>
        </w:r>
        <w:r>
          <w:rPr>
            <w:noProof/>
            <w:webHidden/>
          </w:rPr>
          <w:t>11</w:t>
        </w:r>
        <w:r>
          <w:rPr>
            <w:noProof/>
            <w:webHidden/>
          </w:rPr>
          <w:fldChar w:fldCharType="end"/>
        </w:r>
      </w:hyperlink>
    </w:p>
    <w:p w14:paraId="072B6E89" w14:textId="30359B59" w:rsidR="00890EF2" w:rsidRDefault="00890EF2">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807294" w:history="1">
        <w:r w:rsidRPr="00DA2969">
          <w:rPr>
            <w:rStyle w:val="Hipervnculo"/>
            <w:noProof/>
          </w:rPr>
          <w:t>3 Formulación de objetivos general y específicos</w:t>
        </w:r>
        <w:r>
          <w:rPr>
            <w:noProof/>
            <w:webHidden/>
          </w:rPr>
          <w:tab/>
        </w:r>
        <w:r>
          <w:rPr>
            <w:noProof/>
            <w:webHidden/>
          </w:rPr>
          <w:fldChar w:fldCharType="begin"/>
        </w:r>
        <w:r>
          <w:rPr>
            <w:noProof/>
            <w:webHidden/>
          </w:rPr>
          <w:instrText xml:space="preserve"> PAGEREF _Toc242807294 \h </w:instrText>
        </w:r>
        <w:r>
          <w:rPr>
            <w:noProof/>
            <w:webHidden/>
          </w:rPr>
        </w:r>
        <w:r>
          <w:rPr>
            <w:noProof/>
            <w:webHidden/>
          </w:rPr>
          <w:fldChar w:fldCharType="separate"/>
        </w:r>
        <w:r>
          <w:rPr>
            <w:noProof/>
            <w:webHidden/>
          </w:rPr>
          <w:t>11</w:t>
        </w:r>
        <w:r>
          <w:rPr>
            <w:noProof/>
            <w:webHidden/>
          </w:rPr>
          <w:fldChar w:fldCharType="end"/>
        </w:r>
      </w:hyperlink>
    </w:p>
    <w:p w14:paraId="283C3658" w14:textId="285A9A60"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295" w:history="1">
        <w:r w:rsidRPr="00DA2969">
          <w:rPr>
            <w:rStyle w:val="Hipervnculo"/>
            <w:noProof/>
          </w:rPr>
          <w:t>3.1 Objetivo general</w:t>
        </w:r>
        <w:r>
          <w:rPr>
            <w:noProof/>
            <w:webHidden/>
          </w:rPr>
          <w:tab/>
        </w:r>
        <w:r>
          <w:rPr>
            <w:noProof/>
            <w:webHidden/>
          </w:rPr>
          <w:fldChar w:fldCharType="begin"/>
        </w:r>
        <w:r>
          <w:rPr>
            <w:noProof/>
            <w:webHidden/>
          </w:rPr>
          <w:instrText xml:space="preserve"> PAGEREF _Toc242807295 \h </w:instrText>
        </w:r>
        <w:r>
          <w:rPr>
            <w:noProof/>
            <w:webHidden/>
          </w:rPr>
        </w:r>
        <w:r>
          <w:rPr>
            <w:noProof/>
            <w:webHidden/>
          </w:rPr>
          <w:fldChar w:fldCharType="separate"/>
        </w:r>
        <w:r>
          <w:rPr>
            <w:noProof/>
            <w:webHidden/>
          </w:rPr>
          <w:t>12</w:t>
        </w:r>
        <w:r>
          <w:rPr>
            <w:noProof/>
            <w:webHidden/>
          </w:rPr>
          <w:fldChar w:fldCharType="end"/>
        </w:r>
      </w:hyperlink>
    </w:p>
    <w:p w14:paraId="28FD86C4" w14:textId="3379F05A"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296" w:history="1">
        <w:r w:rsidRPr="00DA2969">
          <w:rPr>
            <w:rStyle w:val="Hipervnculo"/>
            <w:noProof/>
          </w:rPr>
          <w:t>3.2 Objetivos específicos</w:t>
        </w:r>
        <w:r>
          <w:rPr>
            <w:noProof/>
            <w:webHidden/>
          </w:rPr>
          <w:tab/>
        </w:r>
        <w:r>
          <w:rPr>
            <w:noProof/>
            <w:webHidden/>
          </w:rPr>
          <w:fldChar w:fldCharType="begin"/>
        </w:r>
        <w:r>
          <w:rPr>
            <w:noProof/>
            <w:webHidden/>
          </w:rPr>
          <w:instrText xml:space="preserve"> PAGEREF _Toc242807296 \h </w:instrText>
        </w:r>
        <w:r>
          <w:rPr>
            <w:noProof/>
            <w:webHidden/>
          </w:rPr>
        </w:r>
        <w:r>
          <w:rPr>
            <w:noProof/>
            <w:webHidden/>
          </w:rPr>
          <w:fldChar w:fldCharType="separate"/>
        </w:r>
        <w:r>
          <w:rPr>
            <w:noProof/>
            <w:webHidden/>
          </w:rPr>
          <w:t>12</w:t>
        </w:r>
        <w:r>
          <w:rPr>
            <w:noProof/>
            <w:webHidden/>
          </w:rPr>
          <w:fldChar w:fldCharType="end"/>
        </w:r>
      </w:hyperlink>
    </w:p>
    <w:p w14:paraId="2127DAE8" w14:textId="2AC8045F" w:rsidR="00890EF2" w:rsidRDefault="00890EF2">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807297" w:history="1">
        <w:r w:rsidRPr="00DA2969">
          <w:rPr>
            <w:rStyle w:val="Hipervnculo"/>
            <w:noProof/>
          </w:rPr>
          <w:t>4 Justificación</w:t>
        </w:r>
        <w:r>
          <w:rPr>
            <w:noProof/>
            <w:webHidden/>
          </w:rPr>
          <w:tab/>
        </w:r>
        <w:r>
          <w:rPr>
            <w:noProof/>
            <w:webHidden/>
          </w:rPr>
          <w:fldChar w:fldCharType="begin"/>
        </w:r>
        <w:r>
          <w:rPr>
            <w:noProof/>
            <w:webHidden/>
          </w:rPr>
          <w:instrText xml:space="preserve"> PAGEREF _Toc242807297 \h </w:instrText>
        </w:r>
        <w:r>
          <w:rPr>
            <w:noProof/>
            <w:webHidden/>
          </w:rPr>
        </w:r>
        <w:r>
          <w:rPr>
            <w:noProof/>
            <w:webHidden/>
          </w:rPr>
          <w:fldChar w:fldCharType="separate"/>
        </w:r>
        <w:r>
          <w:rPr>
            <w:noProof/>
            <w:webHidden/>
          </w:rPr>
          <w:t>13</w:t>
        </w:r>
        <w:r>
          <w:rPr>
            <w:noProof/>
            <w:webHidden/>
          </w:rPr>
          <w:fldChar w:fldCharType="end"/>
        </w:r>
      </w:hyperlink>
    </w:p>
    <w:p w14:paraId="1105B79F" w14:textId="353D872B"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298" w:history="1">
        <w:r w:rsidRPr="00DA2969">
          <w:rPr>
            <w:rStyle w:val="Hipervnculo"/>
            <w:noProof/>
          </w:rPr>
          <w:t>4.1 Relevancia teórica</w:t>
        </w:r>
        <w:r>
          <w:rPr>
            <w:noProof/>
            <w:webHidden/>
          </w:rPr>
          <w:tab/>
        </w:r>
        <w:r>
          <w:rPr>
            <w:noProof/>
            <w:webHidden/>
          </w:rPr>
          <w:fldChar w:fldCharType="begin"/>
        </w:r>
        <w:r>
          <w:rPr>
            <w:noProof/>
            <w:webHidden/>
          </w:rPr>
          <w:instrText xml:space="preserve"> PAGEREF _Toc242807298 \h </w:instrText>
        </w:r>
        <w:r>
          <w:rPr>
            <w:noProof/>
            <w:webHidden/>
          </w:rPr>
        </w:r>
        <w:r>
          <w:rPr>
            <w:noProof/>
            <w:webHidden/>
          </w:rPr>
          <w:fldChar w:fldCharType="separate"/>
        </w:r>
        <w:r>
          <w:rPr>
            <w:noProof/>
            <w:webHidden/>
          </w:rPr>
          <w:t>13</w:t>
        </w:r>
        <w:r>
          <w:rPr>
            <w:noProof/>
            <w:webHidden/>
          </w:rPr>
          <w:fldChar w:fldCharType="end"/>
        </w:r>
      </w:hyperlink>
    </w:p>
    <w:p w14:paraId="2362113A" w14:textId="058D4EAF"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299" w:history="1">
        <w:r w:rsidRPr="00DA2969">
          <w:rPr>
            <w:rStyle w:val="Hipervnculo"/>
            <w:noProof/>
          </w:rPr>
          <w:t>4.2 Relevancia práctica</w:t>
        </w:r>
        <w:r>
          <w:rPr>
            <w:noProof/>
            <w:webHidden/>
          </w:rPr>
          <w:tab/>
        </w:r>
        <w:r>
          <w:rPr>
            <w:noProof/>
            <w:webHidden/>
          </w:rPr>
          <w:fldChar w:fldCharType="begin"/>
        </w:r>
        <w:r>
          <w:rPr>
            <w:noProof/>
            <w:webHidden/>
          </w:rPr>
          <w:instrText xml:space="preserve"> PAGEREF _Toc242807299 \h </w:instrText>
        </w:r>
        <w:r>
          <w:rPr>
            <w:noProof/>
            <w:webHidden/>
          </w:rPr>
        </w:r>
        <w:r>
          <w:rPr>
            <w:noProof/>
            <w:webHidden/>
          </w:rPr>
          <w:fldChar w:fldCharType="separate"/>
        </w:r>
        <w:r>
          <w:rPr>
            <w:noProof/>
            <w:webHidden/>
          </w:rPr>
          <w:t>14</w:t>
        </w:r>
        <w:r>
          <w:rPr>
            <w:noProof/>
            <w:webHidden/>
          </w:rPr>
          <w:fldChar w:fldCharType="end"/>
        </w:r>
      </w:hyperlink>
    </w:p>
    <w:p w14:paraId="043B95F9" w14:textId="07EC73D1"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300" w:history="1">
        <w:r w:rsidRPr="00DA2969">
          <w:rPr>
            <w:rStyle w:val="Hipervnculo"/>
            <w:noProof/>
          </w:rPr>
          <w:t>4.3 Relevancia social e institucional</w:t>
        </w:r>
        <w:r>
          <w:rPr>
            <w:noProof/>
            <w:webHidden/>
          </w:rPr>
          <w:tab/>
        </w:r>
        <w:r>
          <w:rPr>
            <w:noProof/>
            <w:webHidden/>
          </w:rPr>
          <w:fldChar w:fldCharType="begin"/>
        </w:r>
        <w:r>
          <w:rPr>
            <w:noProof/>
            <w:webHidden/>
          </w:rPr>
          <w:instrText xml:space="preserve"> PAGEREF _Toc242807300 \h </w:instrText>
        </w:r>
        <w:r>
          <w:rPr>
            <w:noProof/>
            <w:webHidden/>
          </w:rPr>
        </w:r>
        <w:r>
          <w:rPr>
            <w:noProof/>
            <w:webHidden/>
          </w:rPr>
          <w:fldChar w:fldCharType="separate"/>
        </w:r>
        <w:r>
          <w:rPr>
            <w:noProof/>
            <w:webHidden/>
          </w:rPr>
          <w:t>15</w:t>
        </w:r>
        <w:r>
          <w:rPr>
            <w:noProof/>
            <w:webHidden/>
          </w:rPr>
          <w:fldChar w:fldCharType="end"/>
        </w:r>
      </w:hyperlink>
    </w:p>
    <w:p w14:paraId="7CF511E6" w14:textId="50810B61"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301" w:history="1">
        <w:r w:rsidRPr="00DA2969">
          <w:rPr>
            <w:rStyle w:val="Hipervnculo"/>
            <w:noProof/>
          </w:rPr>
          <w:t>4.4 Originalidad</w:t>
        </w:r>
        <w:r>
          <w:rPr>
            <w:noProof/>
            <w:webHidden/>
          </w:rPr>
          <w:tab/>
        </w:r>
        <w:r>
          <w:rPr>
            <w:noProof/>
            <w:webHidden/>
          </w:rPr>
          <w:fldChar w:fldCharType="begin"/>
        </w:r>
        <w:r>
          <w:rPr>
            <w:noProof/>
            <w:webHidden/>
          </w:rPr>
          <w:instrText xml:space="preserve"> PAGEREF _Toc242807301 \h </w:instrText>
        </w:r>
        <w:r>
          <w:rPr>
            <w:noProof/>
            <w:webHidden/>
          </w:rPr>
        </w:r>
        <w:r>
          <w:rPr>
            <w:noProof/>
            <w:webHidden/>
          </w:rPr>
          <w:fldChar w:fldCharType="separate"/>
        </w:r>
        <w:r>
          <w:rPr>
            <w:noProof/>
            <w:webHidden/>
          </w:rPr>
          <w:t>15</w:t>
        </w:r>
        <w:r>
          <w:rPr>
            <w:noProof/>
            <w:webHidden/>
          </w:rPr>
          <w:fldChar w:fldCharType="end"/>
        </w:r>
      </w:hyperlink>
    </w:p>
    <w:p w14:paraId="60BC9758" w14:textId="6B4A76A7"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302" w:history="1">
        <w:r w:rsidRPr="00DA2969">
          <w:rPr>
            <w:rStyle w:val="Hipervnculo"/>
            <w:noProof/>
          </w:rPr>
          <w:t>4.5 Viabilidad</w:t>
        </w:r>
        <w:r>
          <w:rPr>
            <w:noProof/>
            <w:webHidden/>
          </w:rPr>
          <w:tab/>
        </w:r>
        <w:r>
          <w:rPr>
            <w:noProof/>
            <w:webHidden/>
          </w:rPr>
          <w:fldChar w:fldCharType="begin"/>
        </w:r>
        <w:r>
          <w:rPr>
            <w:noProof/>
            <w:webHidden/>
          </w:rPr>
          <w:instrText xml:space="preserve"> PAGEREF _Toc242807302 \h </w:instrText>
        </w:r>
        <w:r>
          <w:rPr>
            <w:noProof/>
            <w:webHidden/>
          </w:rPr>
        </w:r>
        <w:r>
          <w:rPr>
            <w:noProof/>
            <w:webHidden/>
          </w:rPr>
          <w:fldChar w:fldCharType="separate"/>
        </w:r>
        <w:r>
          <w:rPr>
            <w:noProof/>
            <w:webHidden/>
          </w:rPr>
          <w:t>16</w:t>
        </w:r>
        <w:r>
          <w:rPr>
            <w:noProof/>
            <w:webHidden/>
          </w:rPr>
          <w:fldChar w:fldCharType="end"/>
        </w:r>
      </w:hyperlink>
    </w:p>
    <w:p w14:paraId="3E06EF4C" w14:textId="2A414853" w:rsidR="00890EF2" w:rsidRDefault="00890EF2">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807303" w:history="1">
        <w:r w:rsidRPr="00DA2969">
          <w:rPr>
            <w:rStyle w:val="Hipervnculo"/>
            <w:noProof/>
          </w:rPr>
          <w:t>5 Hipótesis de trabajo</w:t>
        </w:r>
        <w:r>
          <w:rPr>
            <w:noProof/>
            <w:webHidden/>
          </w:rPr>
          <w:tab/>
        </w:r>
        <w:r>
          <w:rPr>
            <w:noProof/>
            <w:webHidden/>
          </w:rPr>
          <w:fldChar w:fldCharType="begin"/>
        </w:r>
        <w:r>
          <w:rPr>
            <w:noProof/>
            <w:webHidden/>
          </w:rPr>
          <w:instrText xml:space="preserve"> PAGEREF _Toc242807303 \h </w:instrText>
        </w:r>
        <w:r>
          <w:rPr>
            <w:noProof/>
            <w:webHidden/>
          </w:rPr>
        </w:r>
        <w:r>
          <w:rPr>
            <w:noProof/>
            <w:webHidden/>
          </w:rPr>
          <w:fldChar w:fldCharType="separate"/>
        </w:r>
        <w:r>
          <w:rPr>
            <w:noProof/>
            <w:webHidden/>
          </w:rPr>
          <w:t>17</w:t>
        </w:r>
        <w:r>
          <w:rPr>
            <w:noProof/>
            <w:webHidden/>
          </w:rPr>
          <w:fldChar w:fldCharType="end"/>
        </w:r>
      </w:hyperlink>
    </w:p>
    <w:p w14:paraId="2B1718C4" w14:textId="3EB8A609"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304" w:history="1">
        <w:r w:rsidRPr="00DA2969">
          <w:rPr>
            <w:rStyle w:val="Hipervnculo"/>
            <w:noProof/>
          </w:rPr>
          <w:t>5.1 Hipótesis general</w:t>
        </w:r>
        <w:r>
          <w:rPr>
            <w:noProof/>
            <w:webHidden/>
          </w:rPr>
          <w:tab/>
        </w:r>
        <w:r>
          <w:rPr>
            <w:noProof/>
            <w:webHidden/>
          </w:rPr>
          <w:fldChar w:fldCharType="begin"/>
        </w:r>
        <w:r>
          <w:rPr>
            <w:noProof/>
            <w:webHidden/>
          </w:rPr>
          <w:instrText xml:space="preserve"> PAGEREF _Toc242807304 \h </w:instrText>
        </w:r>
        <w:r>
          <w:rPr>
            <w:noProof/>
            <w:webHidden/>
          </w:rPr>
        </w:r>
        <w:r>
          <w:rPr>
            <w:noProof/>
            <w:webHidden/>
          </w:rPr>
          <w:fldChar w:fldCharType="separate"/>
        </w:r>
        <w:r>
          <w:rPr>
            <w:noProof/>
            <w:webHidden/>
          </w:rPr>
          <w:t>17</w:t>
        </w:r>
        <w:r>
          <w:rPr>
            <w:noProof/>
            <w:webHidden/>
          </w:rPr>
          <w:fldChar w:fldCharType="end"/>
        </w:r>
      </w:hyperlink>
    </w:p>
    <w:p w14:paraId="301DEF18" w14:textId="2846C091"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305" w:history="1">
        <w:r w:rsidRPr="00DA2969">
          <w:rPr>
            <w:rStyle w:val="Hipervnculo"/>
            <w:noProof/>
          </w:rPr>
          <w:t>5.2 Hipótesis específica</w:t>
        </w:r>
        <w:r>
          <w:rPr>
            <w:noProof/>
            <w:webHidden/>
          </w:rPr>
          <w:tab/>
        </w:r>
        <w:r>
          <w:rPr>
            <w:noProof/>
            <w:webHidden/>
          </w:rPr>
          <w:fldChar w:fldCharType="begin"/>
        </w:r>
        <w:r>
          <w:rPr>
            <w:noProof/>
            <w:webHidden/>
          </w:rPr>
          <w:instrText xml:space="preserve"> PAGEREF _Toc242807305 \h </w:instrText>
        </w:r>
        <w:r>
          <w:rPr>
            <w:noProof/>
            <w:webHidden/>
          </w:rPr>
        </w:r>
        <w:r>
          <w:rPr>
            <w:noProof/>
            <w:webHidden/>
          </w:rPr>
          <w:fldChar w:fldCharType="separate"/>
        </w:r>
        <w:r>
          <w:rPr>
            <w:noProof/>
            <w:webHidden/>
          </w:rPr>
          <w:t>19</w:t>
        </w:r>
        <w:r>
          <w:rPr>
            <w:noProof/>
            <w:webHidden/>
          </w:rPr>
          <w:fldChar w:fldCharType="end"/>
        </w:r>
      </w:hyperlink>
    </w:p>
    <w:p w14:paraId="076A4809" w14:textId="7B7B16C1"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306" w:history="1">
        <w:r w:rsidRPr="00DA2969">
          <w:rPr>
            <w:rStyle w:val="Hipervnculo"/>
            <w:noProof/>
          </w:rPr>
          <w:t>5.3 Tipo de hipótesis</w:t>
        </w:r>
        <w:r>
          <w:rPr>
            <w:noProof/>
            <w:webHidden/>
          </w:rPr>
          <w:tab/>
        </w:r>
        <w:r>
          <w:rPr>
            <w:noProof/>
            <w:webHidden/>
          </w:rPr>
          <w:fldChar w:fldCharType="begin"/>
        </w:r>
        <w:r>
          <w:rPr>
            <w:noProof/>
            <w:webHidden/>
          </w:rPr>
          <w:instrText xml:space="preserve"> PAGEREF _Toc242807306 \h </w:instrText>
        </w:r>
        <w:r>
          <w:rPr>
            <w:noProof/>
            <w:webHidden/>
          </w:rPr>
        </w:r>
        <w:r>
          <w:rPr>
            <w:noProof/>
            <w:webHidden/>
          </w:rPr>
          <w:fldChar w:fldCharType="separate"/>
        </w:r>
        <w:r>
          <w:rPr>
            <w:noProof/>
            <w:webHidden/>
          </w:rPr>
          <w:t>19</w:t>
        </w:r>
        <w:r>
          <w:rPr>
            <w:noProof/>
            <w:webHidden/>
          </w:rPr>
          <w:fldChar w:fldCharType="end"/>
        </w:r>
      </w:hyperlink>
    </w:p>
    <w:p w14:paraId="135A2C5B" w14:textId="223269AA"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307" w:history="1">
        <w:r w:rsidRPr="00DA2969">
          <w:rPr>
            <w:rStyle w:val="Hipervnculo"/>
            <w:noProof/>
          </w:rPr>
          <w:t>5.4 Criterios de calidad y contraste documental</w:t>
        </w:r>
        <w:r>
          <w:rPr>
            <w:noProof/>
            <w:webHidden/>
          </w:rPr>
          <w:tab/>
        </w:r>
        <w:r>
          <w:rPr>
            <w:noProof/>
            <w:webHidden/>
          </w:rPr>
          <w:fldChar w:fldCharType="begin"/>
        </w:r>
        <w:r>
          <w:rPr>
            <w:noProof/>
            <w:webHidden/>
          </w:rPr>
          <w:instrText xml:space="preserve"> PAGEREF _Toc242807307 \h </w:instrText>
        </w:r>
        <w:r>
          <w:rPr>
            <w:noProof/>
            <w:webHidden/>
          </w:rPr>
        </w:r>
        <w:r>
          <w:rPr>
            <w:noProof/>
            <w:webHidden/>
          </w:rPr>
          <w:fldChar w:fldCharType="separate"/>
        </w:r>
        <w:r>
          <w:rPr>
            <w:noProof/>
            <w:webHidden/>
          </w:rPr>
          <w:t>20</w:t>
        </w:r>
        <w:r>
          <w:rPr>
            <w:noProof/>
            <w:webHidden/>
          </w:rPr>
          <w:fldChar w:fldCharType="end"/>
        </w:r>
      </w:hyperlink>
    </w:p>
    <w:p w14:paraId="0564638C" w14:textId="3BFEAFBF" w:rsidR="00890EF2" w:rsidRDefault="00890EF2">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807308" w:history="1">
        <w:r w:rsidRPr="00DA2969">
          <w:rPr>
            <w:rStyle w:val="Hipervnculo"/>
            <w:noProof/>
          </w:rPr>
          <w:t>6 Alcances y limitaciones</w:t>
        </w:r>
        <w:r>
          <w:rPr>
            <w:noProof/>
            <w:webHidden/>
          </w:rPr>
          <w:tab/>
        </w:r>
        <w:r>
          <w:rPr>
            <w:noProof/>
            <w:webHidden/>
          </w:rPr>
          <w:fldChar w:fldCharType="begin"/>
        </w:r>
        <w:r>
          <w:rPr>
            <w:noProof/>
            <w:webHidden/>
          </w:rPr>
          <w:instrText xml:space="preserve"> PAGEREF _Toc242807308 \h </w:instrText>
        </w:r>
        <w:r>
          <w:rPr>
            <w:noProof/>
            <w:webHidden/>
          </w:rPr>
        </w:r>
        <w:r>
          <w:rPr>
            <w:noProof/>
            <w:webHidden/>
          </w:rPr>
          <w:fldChar w:fldCharType="separate"/>
        </w:r>
        <w:r>
          <w:rPr>
            <w:noProof/>
            <w:webHidden/>
          </w:rPr>
          <w:t>23</w:t>
        </w:r>
        <w:r>
          <w:rPr>
            <w:noProof/>
            <w:webHidden/>
          </w:rPr>
          <w:fldChar w:fldCharType="end"/>
        </w:r>
      </w:hyperlink>
    </w:p>
    <w:p w14:paraId="774BA615" w14:textId="7B3FDC87"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309" w:history="1">
        <w:r w:rsidRPr="00DA2969">
          <w:rPr>
            <w:rStyle w:val="Hipervnculo"/>
            <w:noProof/>
          </w:rPr>
          <w:t>6.1 Alcances</w:t>
        </w:r>
        <w:r>
          <w:rPr>
            <w:noProof/>
            <w:webHidden/>
          </w:rPr>
          <w:tab/>
        </w:r>
        <w:r>
          <w:rPr>
            <w:noProof/>
            <w:webHidden/>
          </w:rPr>
          <w:fldChar w:fldCharType="begin"/>
        </w:r>
        <w:r>
          <w:rPr>
            <w:noProof/>
            <w:webHidden/>
          </w:rPr>
          <w:instrText xml:space="preserve"> PAGEREF _Toc242807309 \h </w:instrText>
        </w:r>
        <w:r>
          <w:rPr>
            <w:noProof/>
            <w:webHidden/>
          </w:rPr>
        </w:r>
        <w:r>
          <w:rPr>
            <w:noProof/>
            <w:webHidden/>
          </w:rPr>
          <w:fldChar w:fldCharType="separate"/>
        </w:r>
        <w:r>
          <w:rPr>
            <w:noProof/>
            <w:webHidden/>
          </w:rPr>
          <w:t>23</w:t>
        </w:r>
        <w:r>
          <w:rPr>
            <w:noProof/>
            <w:webHidden/>
          </w:rPr>
          <w:fldChar w:fldCharType="end"/>
        </w:r>
      </w:hyperlink>
    </w:p>
    <w:p w14:paraId="2C2F649F" w14:textId="42C2C7EA"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310" w:history="1">
        <w:r w:rsidRPr="00DA2969">
          <w:rPr>
            <w:rStyle w:val="Hipervnculo"/>
            <w:noProof/>
          </w:rPr>
          <w:t>6.2 Limitaciones</w:t>
        </w:r>
        <w:r>
          <w:rPr>
            <w:noProof/>
            <w:webHidden/>
          </w:rPr>
          <w:tab/>
        </w:r>
        <w:r>
          <w:rPr>
            <w:noProof/>
            <w:webHidden/>
          </w:rPr>
          <w:fldChar w:fldCharType="begin"/>
        </w:r>
        <w:r>
          <w:rPr>
            <w:noProof/>
            <w:webHidden/>
          </w:rPr>
          <w:instrText xml:space="preserve"> PAGEREF _Toc242807310 \h </w:instrText>
        </w:r>
        <w:r>
          <w:rPr>
            <w:noProof/>
            <w:webHidden/>
          </w:rPr>
        </w:r>
        <w:r>
          <w:rPr>
            <w:noProof/>
            <w:webHidden/>
          </w:rPr>
          <w:fldChar w:fldCharType="separate"/>
        </w:r>
        <w:r>
          <w:rPr>
            <w:noProof/>
            <w:webHidden/>
          </w:rPr>
          <w:t>23</w:t>
        </w:r>
        <w:r>
          <w:rPr>
            <w:noProof/>
            <w:webHidden/>
          </w:rPr>
          <w:fldChar w:fldCharType="end"/>
        </w:r>
      </w:hyperlink>
    </w:p>
    <w:p w14:paraId="3133FE4E" w14:textId="4E9E0DE2" w:rsidR="00890EF2" w:rsidRDefault="00890EF2">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807311" w:history="1">
        <w:r w:rsidRPr="00DA2969">
          <w:rPr>
            <w:rStyle w:val="Hipervnculo"/>
            <w:noProof/>
          </w:rPr>
          <w:t>7 Marco teórico</w:t>
        </w:r>
        <w:r>
          <w:rPr>
            <w:noProof/>
            <w:webHidden/>
          </w:rPr>
          <w:tab/>
        </w:r>
        <w:r>
          <w:rPr>
            <w:noProof/>
            <w:webHidden/>
          </w:rPr>
          <w:fldChar w:fldCharType="begin"/>
        </w:r>
        <w:r>
          <w:rPr>
            <w:noProof/>
            <w:webHidden/>
          </w:rPr>
          <w:instrText xml:space="preserve"> PAGEREF _Toc242807311 \h </w:instrText>
        </w:r>
        <w:r>
          <w:rPr>
            <w:noProof/>
            <w:webHidden/>
          </w:rPr>
        </w:r>
        <w:r>
          <w:rPr>
            <w:noProof/>
            <w:webHidden/>
          </w:rPr>
          <w:fldChar w:fldCharType="separate"/>
        </w:r>
        <w:r>
          <w:rPr>
            <w:noProof/>
            <w:webHidden/>
          </w:rPr>
          <w:t>23</w:t>
        </w:r>
        <w:r>
          <w:rPr>
            <w:noProof/>
            <w:webHidden/>
          </w:rPr>
          <w:fldChar w:fldCharType="end"/>
        </w:r>
      </w:hyperlink>
    </w:p>
    <w:p w14:paraId="32AFC84F" w14:textId="04EE592C" w:rsidR="00890EF2" w:rsidRDefault="00890EF2">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807312" w:history="1">
        <w:r w:rsidRPr="00DA2969">
          <w:rPr>
            <w:rStyle w:val="Hipervnculo"/>
            <w:noProof/>
          </w:rPr>
          <w:t>8 Métodos o procedimientos</w:t>
        </w:r>
        <w:r>
          <w:rPr>
            <w:noProof/>
            <w:webHidden/>
          </w:rPr>
          <w:tab/>
        </w:r>
        <w:r>
          <w:rPr>
            <w:noProof/>
            <w:webHidden/>
          </w:rPr>
          <w:fldChar w:fldCharType="begin"/>
        </w:r>
        <w:r>
          <w:rPr>
            <w:noProof/>
            <w:webHidden/>
          </w:rPr>
          <w:instrText xml:space="preserve"> PAGEREF _Toc242807312 \h </w:instrText>
        </w:r>
        <w:r>
          <w:rPr>
            <w:noProof/>
            <w:webHidden/>
          </w:rPr>
        </w:r>
        <w:r>
          <w:rPr>
            <w:noProof/>
            <w:webHidden/>
          </w:rPr>
          <w:fldChar w:fldCharType="separate"/>
        </w:r>
        <w:r>
          <w:rPr>
            <w:noProof/>
            <w:webHidden/>
          </w:rPr>
          <w:t>23</w:t>
        </w:r>
        <w:r>
          <w:rPr>
            <w:noProof/>
            <w:webHidden/>
          </w:rPr>
          <w:fldChar w:fldCharType="end"/>
        </w:r>
      </w:hyperlink>
    </w:p>
    <w:p w14:paraId="1CA44D9A" w14:textId="53C614DF" w:rsidR="00890EF2" w:rsidRDefault="00890EF2">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807313" w:history="1">
        <w:r w:rsidRPr="00DA2969">
          <w:rPr>
            <w:rStyle w:val="Hipervnculo"/>
            <w:noProof/>
          </w:rPr>
          <w:t>9 Cronograma de actividades</w:t>
        </w:r>
        <w:r>
          <w:rPr>
            <w:noProof/>
            <w:webHidden/>
          </w:rPr>
          <w:tab/>
        </w:r>
        <w:r>
          <w:rPr>
            <w:noProof/>
            <w:webHidden/>
          </w:rPr>
          <w:fldChar w:fldCharType="begin"/>
        </w:r>
        <w:r>
          <w:rPr>
            <w:noProof/>
            <w:webHidden/>
          </w:rPr>
          <w:instrText xml:space="preserve"> PAGEREF _Toc242807313 \h </w:instrText>
        </w:r>
        <w:r>
          <w:rPr>
            <w:noProof/>
            <w:webHidden/>
          </w:rPr>
        </w:r>
        <w:r>
          <w:rPr>
            <w:noProof/>
            <w:webHidden/>
          </w:rPr>
          <w:fldChar w:fldCharType="separate"/>
        </w:r>
        <w:r>
          <w:rPr>
            <w:noProof/>
            <w:webHidden/>
          </w:rPr>
          <w:t>23</w:t>
        </w:r>
        <w:r>
          <w:rPr>
            <w:noProof/>
            <w:webHidden/>
          </w:rPr>
          <w:fldChar w:fldCharType="end"/>
        </w:r>
      </w:hyperlink>
    </w:p>
    <w:p w14:paraId="6641CAAF" w14:textId="1FF52FC9" w:rsidR="00890EF2" w:rsidRDefault="00890EF2">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807314" w:history="1">
        <w:r w:rsidRPr="00DA2969">
          <w:rPr>
            <w:rStyle w:val="Hipervnculo"/>
            <w:noProof/>
          </w:rPr>
          <w:t>Referencias</w:t>
        </w:r>
        <w:r>
          <w:rPr>
            <w:noProof/>
            <w:webHidden/>
          </w:rPr>
          <w:tab/>
        </w:r>
        <w:r>
          <w:rPr>
            <w:noProof/>
            <w:webHidden/>
          </w:rPr>
          <w:fldChar w:fldCharType="begin"/>
        </w:r>
        <w:r>
          <w:rPr>
            <w:noProof/>
            <w:webHidden/>
          </w:rPr>
          <w:instrText xml:space="preserve"> PAGEREF _Toc242807314 \h </w:instrText>
        </w:r>
        <w:r>
          <w:rPr>
            <w:noProof/>
            <w:webHidden/>
          </w:rPr>
        </w:r>
        <w:r>
          <w:rPr>
            <w:noProof/>
            <w:webHidden/>
          </w:rPr>
          <w:fldChar w:fldCharType="separate"/>
        </w:r>
        <w:r>
          <w:rPr>
            <w:noProof/>
            <w:webHidden/>
          </w:rPr>
          <w:t>24</w:t>
        </w:r>
        <w:r>
          <w:rPr>
            <w:noProof/>
            <w:webHidden/>
          </w:rPr>
          <w:fldChar w:fldCharType="end"/>
        </w:r>
      </w:hyperlink>
    </w:p>
    <w:p w14:paraId="05098F31" w14:textId="0704D7C0" w:rsidR="00890EF2" w:rsidRDefault="00890EF2">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807315" w:history="1">
        <w:r w:rsidRPr="00DA2969">
          <w:rPr>
            <w:rStyle w:val="Hipervnculo"/>
            <w:noProof/>
          </w:rPr>
          <w:t>Anexo 1 Matriz de consistencia</w:t>
        </w:r>
        <w:r>
          <w:rPr>
            <w:noProof/>
            <w:webHidden/>
          </w:rPr>
          <w:tab/>
        </w:r>
        <w:r>
          <w:rPr>
            <w:noProof/>
            <w:webHidden/>
          </w:rPr>
          <w:fldChar w:fldCharType="begin"/>
        </w:r>
        <w:r>
          <w:rPr>
            <w:noProof/>
            <w:webHidden/>
          </w:rPr>
          <w:instrText xml:space="preserve"> PAGEREF _Toc242807315 \h </w:instrText>
        </w:r>
        <w:r>
          <w:rPr>
            <w:noProof/>
            <w:webHidden/>
          </w:rPr>
        </w:r>
        <w:r>
          <w:rPr>
            <w:noProof/>
            <w:webHidden/>
          </w:rPr>
          <w:fldChar w:fldCharType="separate"/>
        </w:r>
        <w:r>
          <w:rPr>
            <w:noProof/>
            <w:webHidden/>
          </w:rPr>
          <w:t>27</w:t>
        </w:r>
        <w:r>
          <w:rPr>
            <w:noProof/>
            <w:webHidden/>
          </w:rPr>
          <w:fldChar w:fldCharType="end"/>
        </w:r>
      </w:hyperlink>
    </w:p>
    <w:p w14:paraId="5AC708B1" w14:textId="09C93714"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316" w:history="1">
        <w:r w:rsidRPr="00DA2969">
          <w:rPr>
            <w:rStyle w:val="Hipervnculo"/>
            <w:noProof/>
          </w:rPr>
          <w:t>Correspondencia de preguntas y objetivos específicos</w:t>
        </w:r>
        <w:r>
          <w:rPr>
            <w:noProof/>
            <w:webHidden/>
          </w:rPr>
          <w:tab/>
        </w:r>
        <w:r>
          <w:rPr>
            <w:noProof/>
            <w:webHidden/>
          </w:rPr>
          <w:fldChar w:fldCharType="begin"/>
        </w:r>
        <w:r>
          <w:rPr>
            <w:noProof/>
            <w:webHidden/>
          </w:rPr>
          <w:instrText xml:space="preserve"> PAGEREF _Toc242807316 \h </w:instrText>
        </w:r>
        <w:r>
          <w:rPr>
            <w:noProof/>
            <w:webHidden/>
          </w:rPr>
        </w:r>
        <w:r>
          <w:rPr>
            <w:noProof/>
            <w:webHidden/>
          </w:rPr>
          <w:fldChar w:fldCharType="separate"/>
        </w:r>
        <w:r>
          <w:rPr>
            <w:noProof/>
            <w:webHidden/>
          </w:rPr>
          <w:t>28</w:t>
        </w:r>
        <w:r>
          <w:rPr>
            <w:noProof/>
            <w:webHidden/>
          </w:rPr>
          <w:fldChar w:fldCharType="end"/>
        </w:r>
      </w:hyperlink>
    </w:p>
    <w:p w14:paraId="20A5497E" w14:textId="6918A949" w:rsidR="00890EF2" w:rsidRDefault="00890EF2">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807317" w:history="1">
        <w:r w:rsidRPr="00DA2969">
          <w:rPr>
            <w:rStyle w:val="Hipervnculo"/>
            <w:noProof/>
          </w:rPr>
          <w:t>Anexo 2 Círculo de Covey</w:t>
        </w:r>
        <w:r>
          <w:rPr>
            <w:noProof/>
            <w:webHidden/>
          </w:rPr>
          <w:tab/>
        </w:r>
        <w:r>
          <w:rPr>
            <w:noProof/>
            <w:webHidden/>
          </w:rPr>
          <w:fldChar w:fldCharType="begin"/>
        </w:r>
        <w:r>
          <w:rPr>
            <w:noProof/>
            <w:webHidden/>
          </w:rPr>
          <w:instrText xml:space="preserve"> PAGEREF _Toc242807317 \h </w:instrText>
        </w:r>
        <w:r>
          <w:rPr>
            <w:noProof/>
            <w:webHidden/>
          </w:rPr>
        </w:r>
        <w:r>
          <w:rPr>
            <w:noProof/>
            <w:webHidden/>
          </w:rPr>
          <w:fldChar w:fldCharType="separate"/>
        </w:r>
        <w:r>
          <w:rPr>
            <w:noProof/>
            <w:webHidden/>
          </w:rPr>
          <w:t>31</w:t>
        </w:r>
        <w:r>
          <w:rPr>
            <w:noProof/>
            <w:webHidden/>
          </w:rPr>
          <w:fldChar w:fldCharType="end"/>
        </w:r>
      </w:hyperlink>
    </w:p>
    <w:p w14:paraId="2864DCDA" w14:textId="00011C6D" w:rsidR="00B55F17" w:rsidRDefault="00CF4059">
      <w:pPr>
        <w:ind w:firstLine="0"/>
      </w:pPr>
      <w:r>
        <w:fldChar w:fldCharType="end"/>
      </w:r>
    </w:p>
    <w:p w14:paraId="4079651F" w14:textId="77777777" w:rsidR="00B55F17" w:rsidRDefault="00CF4059">
      <w:pPr>
        <w:pStyle w:val="Ttulo1"/>
        <w:pageBreakBefore/>
        <w:spacing w:before="120" w:after="80"/>
      </w:pPr>
      <w:bookmarkStart w:id="0" w:name="_Toc242807289"/>
      <w:r>
        <w:lastRenderedPageBreak/>
        <w:t>1 Antecedentes</w:t>
      </w:r>
      <w:bookmarkEnd w:id="0"/>
    </w:p>
    <w:p w14:paraId="0C293AE5" w14:textId="77777777" w:rsidR="00B55F17" w:rsidRDefault="00CF4059">
      <w:pPr>
        <w:keepNext/>
        <w:ind w:firstLine="0"/>
      </w:pPr>
      <w:r>
        <w:rPr>
          <w:b/>
        </w:rPr>
        <w:t>Contextualización general</w:t>
      </w:r>
    </w:p>
    <w:p w14:paraId="24C5147F" w14:textId="77777777" w:rsidR="00B55F17" w:rsidRDefault="00CF4059">
      <w:r>
        <w:t>El desarrollo de una plataforma de transporte exige coordinar tecnología, personas y procedimientos. La aplicación puede organizar solicitudes y localizar vehículos, pero su uso comercial también depende de la modalidad del servicio, de las responsabilidades de quien lo administra y de la documentación que respalde su operación. Este anteproyecto estudia esa articulación administrativa en vTaxi, una plataforma destinada al despacho de taxis concesionados en Nuevo León. Su interés se concentra en preparar una ruta de cumplimiento verificable para el proyecto.</w:t>
      </w:r>
    </w:p>
    <w:p w14:paraId="37B0138B" w14:textId="77777777" w:rsidR="00B55F17" w:rsidRDefault="00CF4059">
      <w:r>
        <w:t>La documentación interna de vTaxi describe solicitudes de viajes, asignación por una central, seguimiento de etapas, geolocalización y perfiles de cliente y taxista. También contiene una ficha técnica, una lista de requisitos y un resumen regulatorio. Estos documentos constituyen un punto de partida, aunque conservan datos de ejemplo, responsables por definir y afirmaciones que necesitan contrastarse con disposiciones oficiales. Por ello, una función descrita en un borrador no se considerará evidencia suficiente de implementación o de autorización administrativa (vTaxi, 2026).</w:t>
      </w:r>
    </w:p>
    <w:p w14:paraId="78EA994E" w14:textId="77777777" w:rsidR="00B55F17" w:rsidRDefault="00CF4059">
      <w:r>
        <w:t>La Tarea 3 abordó capacidades digitales e innovación comercial en MiPyMEs de distintos sectores. Se conserva ese conjunto de investigaciones para fundamentar la dimensión organizacional de vTaxi. Su aportación es explicar la relación entre tecnología y capacidades de gestión, sin presentarlas como estudios del transporte local.</w:t>
      </w:r>
    </w:p>
    <w:p w14:paraId="5B082F0F" w14:textId="77777777" w:rsidR="00B55F17" w:rsidRDefault="00CF4059">
      <w:pPr>
        <w:keepNext/>
        <w:ind w:firstLine="0"/>
      </w:pPr>
      <w:r>
        <w:rPr>
          <w:b/>
        </w:rPr>
        <w:t>Estado del arte</w:t>
      </w:r>
    </w:p>
    <w:p w14:paraId="640237AD" w14:textId="77777777" w:rsidR="00B55F17" w:rsidRDefault="00CF4059">
      <w:r>
        <w:t xml:space="preserve">Kraus et al. (2021) organizan la literatura de transformación digital en efectos tecnológicos, empresariales y sociales. Su revisión permite comprender que la digitalización modifica procesos y relaciones, además de herramientas. Melo et al. (2023), por su parte, revisan la evaluación del desempeño sostenible de las pequeñas y medianas empresas e </w:t>
      </w:r>
      <w:r>
        <w:lastRenderedPageBreak/>
        <w:t>identifican una concentración de las mediciones en resultados económicos. Ambos trabajos invitan a examinar la preparación organizacional y las consecuencias del cambio tecnológico. En vTaxi, esta perspectiva orienta la atención hacia procedimientos y responsabilidades que acompañan al software, sin atribuir a estas revisiones requisitos jurídicos mexicanos.</w:t>
      </w:r>
    </w:p>
    <w:p w14:paraId="441ED0E6" w14:textId="77777777" w:rsidR="00B55F17" w:rsidRDefault="00CF4059">
      <w:r>
        <w:t>Teng et al. (2022) relacionan tecnología, habilidades y estrategia con la transformación digital y el desempeño de pequeñas y medianas empresas chinas. Omrani et al. (2024) examinan factores organizacionales y del entorno vinculados con la adopción digital, destacando la importancia de los recursos y las capacidades de la empresa. Estos hallazgos respaldan la conveniencia de evaluar la preparación antes de ampliar una solución tecnológica. Su traslado al caso es conceptual: la capacidad de clasificar requisitos, designar responsables y conservar evidencias debe examinarse directamente, pues los estudios citados no miden la preparación regulatoria de vTaxi.</w:t>
      </w:r>
    </w:p>
    <w:p w14:paraId="6D40D45B" w14:textId="77777777" w:rsidR="00B55F17" w:rsidRDefault="00CF4059">
      <w:r>
        <w:t>Troise et al. (2022) analizan la agilidad de las pequeñas y medianas empresas en ambientes volátiles, inciertos, complejos y ambiguos. La adaptación organizacional aparece como un componente relevante de la transformación digital. Para este proyecto, ello sugiere estudiar cómo una organización actualiza sus decisiones cuando encuentra diferencias entre su modelo operativo y las exigencias del entorno. No se presupone que cambiar rápidamente un proceso garantice cumplimiento: cada ajuste necesitará una justificación documental y una comprobación de su pertinencia.</w:t>
      </w:r>
    </w:p>
    <w:p w14:paraId="6B1F87DD" w14:textId="77777777" w:rsidR="00B55F17" w:rsidRDefault="00CF4059">
      <w:r>
        <w:t xml:space="preserve">La integración de información es otro mecanismo relevante. Cadden et al. (2023) vinculan el uso de datos y analítica de mercadotecnia con innovación y ventaja competitiva mediante la integración del conocimiento. Merín-Rodrigáñez et al. (2024) estudian la mediación de la innovación del modelo de negocio entre transformación digital y desempeño. Sus enfoques son complementarios: uno enfatiza interpretar información y el otro reorganizar la creación de valor. En vTaxi, reunir documentos dispersos solo será útil si esa información </w:t>
      </w:r>
      <w:r>
        <w:lastRenderedPageBreak/>
        <w:t>permite decidir qué servicio se pretende ofrecer, quién responde por cada obligación y qué evidencia acredita su atención.</w:t>
      </w:r>
    </w:p>
    <w:p w14:paraId="33AC1D33" w14:textId="77777777" w:rsidR="00B55F17" w:rsidRDefault="00CF4059">
      <w:r>
        <w:t>La evidencia mexicana ofrece un contexto organizacional más cercano. Ramírez-Solís et al. (2022) examinan el capital relacional y las orientaciones estratégicas como antecedentes de la innovación, con resultados que muestran diferencias entre esas orientaciones. Rodríguez-Espíndola et al. (2022) estudian la economía circular y la innovación sostenible en el desempeño de MiPyMEs mexicanas. Sus aportaciones permiten considerar las relaciones con otros actores y las condiciones institucionales, aunque sus objetos de estudio no son el registro de aplicaciones ni las autorizaciones de transporte. Sería incorrecto derivar de estos resultados una lista de trámites para la plataforma.</w:t>
      </w:r>
    </w:p>
    <w:p w14:paraId="6CE9075D" w14:textId="77777777" w:rsidR="00B55F17" w:rsidRDefault="00CF4059">
      <w:r>
        <w:t>Valdez-Juárez et al. (2024) relacionan transformación digital, innovación y desempeño financiero en MiPyMEs mexicanas desde un enfoque de sostenibilidad. En conjunto con los estudios anteriores, su contribución sostiene que las capacidades y las prácticas organizacionales ayudan a explicar los resultados de la digitalización. Para vTaxi se recupera esa relación como fundamento de una investigación aplicada: examinar la gestión que conecta el desarrollo técnico con la preparación documental. No se trasladan a este caso resultados financieros, porcentajes de mejora ni efectos causales que todavía no han sido medidos.</w:t>
      </w:r>
    </w:p>
    <w:p w14:paraId="42CC72D2" w14:textId="77777777" w:rsidR="00B8658C" w:rsidRDefault="00395729">
      <w:r>
        <w:t>La gestión del cumplimiento exige distinguir entre adoptar documentos formales y administrar su aplicación. En el resumen editorial de Parker y Nielsen (2009) se describe un análisis de respuestas de 999 grandes empresas australianas sobre sistemas de cumplimiento de normas de competencia y protección al consumidor. Los autores diferencian la adopción formal de los sistemas y su gestión práctica, y destacan la importancia del compromiso directivo, la supervisión, la planeación y los recursos organizacionales (Parker &amp; Nielsen, 2009). Este antecedente se relaciona directamente con el objeto administrativo de vTaxi: no basta reunir requisitos; deben examinarse responsabilidades, controles y evidencias. La muestra, el sector y el país no permiten trasladar sus resultados como diagnóstico del proyecto.</w:t>
      </w:r>
    </w:p>
    <w:p w14:paraId="385DBBD4" w14:textId="77777777" w:rsidR="00B8658C" w:rsidRDefault="00395729">
      <w:r>
        <w:lastRenderedPageBreak/>
        <w:t>En movilidad digital, el resumen editorial de Thelen (2018) compara la recepción de Uber en Estados Unidos, Alemania y Suecia. Describe respuestas regulatorias diferentes y relaciona los conflictos con los actores y coaliciones movilizados en cada contexto (Thelen, 2018). Su aportación al anteproyecto es advertir que una plataforma opera dentro de relaciones institucionales concretas, no bajo una ruta universal de formalización. A diferencia de Parker y Nielsen, su nivel de análisis es el entorno político-institucional, no los controles internos de una empresa. Ambos enfoques son complementarios para distinguir la organización interna del cumplimiento y las condiciones externas, sin equiparar vTaxi con Uber ni importar requisitos de otros países.</w:t>
      </w:r>
    </w:p>
    <w:p w14:paraId="7EFB902D" w14:textId="77777777" w:rsidR="00B8658C" w:rsidRDefault="00395729">
      <w:r>
        <w:t>Esta ampliación constituye un primer puente entre los antecedentes sobre transformación digital y la gestión del cumplimiento en servicios de movilidad. Se sustenta en los resúmenes editoriales consultados, no en la revisión de los textos íntegros ni de sus datos. Los estudios no ofrecen evidencia empírica de vTaxi o de Nuevo León; permanece abierta la búsqueda de investigaciones recientes y regionales sobre gestión regulatoria, formalización de plataformas y movilidad. Por ello, no sustituyen la revisión específica posterior ni los diez estudios de la matriz anterior. El vacío que orienta el caso es cómo convertir obligaciones aplicables en procedimientos, responsabilidades, documentación y seguimiento verificables dentro de la organización.</w:t>
      </w:r>
    </w:p>
    <w:p>
      <w:pPr/>
      <w:r>
        <w:t>En México, Lamas Flores y Acosta Reveles (2025) estudian las estrategias de cabildeo de plataformas de transporte y reparto desde un enfoque cualitativo y analítico. Combinan seguimiento de etiquetas de Twitter entre 2015 y 2018, revisión hemerográfica y entrevistas semiestructuradas a un integrante de cada una de dos organizaciones de conductores y repartidores. Las autoras identifican acciones mediante medios de comunicación, redes sociales y movilización de apoyos con recursos jurisdiccionales para influir en la regulación. Este antecedente muestra la importancia del entorno institucional y de distinguir la información empresarial de la evidencia verificable; no mide controles internos de vTaxi ni permite generalizar a todas las plataformas mexicanas.</w:t>
      </w:r>
    </w:p>
    <w:p>
      <w:pPr/>
      <w:r>
        <w:t>La diferencia del presente caso es su escala organizacional: examina la correspondencia entre controles de gestión y preparación de documentos de una plataforma para taxis concesionados en Monterrey. El estudio de Lamas Flores y Acosta Reveles (2025) aporta contexto mexicano sobre formación y controversia de reglas, mientras Parker y Nielsen (2009) orientan la distinción entre sistemas formales y gestión práctica. Ninguno sustituye el diagnóstico del expediente. La aportación propuesta consiste en hacer trazable cada requisito aplicable, responsable, evidencia y observación, sin atribuir a vTaxi prácticas de las empresas estudiadas ni trasladarles sus resultados.</w:t>
      </w:r>
    </w:p>
    <w:p w14:paraId="13D6F839" w14:textId="77777777" w:rsidR="00B55F17" w:rsidRDefault="00CF4059">
      <w:pPr>
        <w:keepNext/>
        <w:ind w:firstLine="0"/>
      </w:pPr>
      <w:r>
        <w:rPr>
          <w:b/>
        </w:rPr>
        <w:t>Vacíos identificados</w:t>
      </w:r>
    </w:p>
    <w:p w14:paraId="38FD6F82" w14:textId="77777777" w:rsidR="00B55F17" w:rsidRDefault="00CF4059">
      <w:r>
        <w:t>En el conjunto de investigaciones de la Tarea 3 predominan análisis amplios de adopción, innovación y desempeño. Ninguno de los trabajos allí incluidos resuelve, para el caso de vTaxi, cómo distinguir obligaciones de una plataforma para taxis concesionados de las correspondientes a otros modelos de intermediación. Este es un vacío del corpus revisado respecto de la aplicación concreta; no significa que no exista investigación sobre transporte o regulación fuera de dicho corpus.</w:t>
      </w:r>
    </w:p>
    <w:p w14:paraId="6DABAF08" w14:textId="77777777" w:rsidR="00B55F17" w:rsidRDefault="00CF4059">
      <w:r>
        <w:lastRenderedPageBreak/>
        <w:t>También persiste un límite de transferencia. Las asociaciones identificadas en otros países o en muestras de empresas mexicanas no acreditan la situación jurídica de una plataforma individual. Se requiere un diagnóstico del caso que contraste documentos internos, modelo de servicio y fuentes oficiales. La cuestión pendiente consiste en convertir información preliminar en una secuencia comprobable de decisiones, responsables y evidencias, manteniendo separados los requisitos confirmados, las recomendaciones y los aspectos todavía sujetos a aclaración.</w:t>
      </w:r>
    </w:p>
    <w:p w14:paraId="6E66B9D1" w14:textId="77777777" w:rsidR="00B55F17" w:rsidRDefault="00CF4059">
      <w:pPr>
        <w:keepNext/>
        <w:ind w:firstLine="0"/>
      </w:pPr>
      <w:r>
        <w:rPr>
          <w:b/>
        </w:rPr>
        <w:t>Pertinencia del estudio</w:t>
      </w:r>
    </w:p>
    <w:p w14:paraId="75F38720" w14:textId="77777777" w:rsidR="00B55F17" w:rsidRDefault="00CF4059">
      <w:r>
        <w:t>La propuesta se adscribe a la LGAC Gestión e Innovación de las Organizaciones. Su objeto es la innovación organizacional necesaria para administrar la formalización de un servicio digital: coordinación de tareas, gestión documental, distribución de responsabilidades y seguimiento de decisiones. El producto esperado es una ruta de cumplimiento sustentada y una evaluación de preparación administrativa. La obtención de una autorización dependerá de la autoridad competente y no se presentará como resultado asegurado del trabajo académico.</w:t>
      </w:r>
    </w:p>
    <w:p w14:paraId="1A93CEBD" w14:textId="77777777" w:rsidR="00B55F17" w:rsidRDefault="00CF4059">
      <w:r>
        <w:t>La Maestría en Gestión Administrativa ofrece un marco pertinente porque el problema involucra organizar recursos y convertir requisitos externos en procedimientos internos. Una ruta documentada puede permitir identificar inconsistencias antes de presentar un expediente y precisar qué asuntos requieren confirmación institucional. Esa utilidad será examinada durante el estudio.</w:t>
      </w:r>
    </w:p>
    <w:p w14:paraId="336EE2BB" w14:textId="77777777" w:rsidR="00B55F17" w:rsidRDefault="00CF4059">
      <w:pPr>
        <w:keepNext/>
        <w:ind w:firstLine="0"/>
      </w:pPr>
      <w:r>
        <w:rPr>
          <w:b/>
        </w:rPr>
        <w:t>Cierre de los antecedentes</w:t>
      </w:r>
    </w:p>
    <w:p w14:paraId="3FFCF102" w14:textId="77777777" w:rsidR="00B55F17" w:rsidRDefault="00CF4059">
      <w:r>
        <w:t>Los antecedentes muestran la conveniencia de vincular tecnología y capacidades de gestión. En vTaxi, el siguiente paso consiste en delimitar la brecha entre los borradores regulatorios disponibles y una preparación administrativa respaldada por evidencias. A partir de esa brecha, el planteamiento del problema examinará la relación entre la gestión del cumplimiento normativo y la preparación del proyecto para su formalización como plataforma de taxis concesionados en Monterrey, Nuevo León.</w:t>
      </w:r>
    </w:p>
    <w:p w14:paraId="65B6A1BB" w14:textId="77777777" w:rsidR="00B55F17" w:rsidRDefault="00CF4059">
      <w:pPr>
        <w:pStyle w:val="Ttulo1"/>
        <w:pageBreakBefore/>
        <w:spacing w:before="120" w:after="80"/>
      </w:pPr>
      <w:bookmarkStart w:id="1" w:name="_Toc242807290"/>
      <w:r>
        <w:lastRenderedPageBreak/>
        <w:t>2 Planteamiento del problema</w:t>
      </w:r>
      <w:bookmarkEnd w:id="1"/>
    </w:p>
    <w:p w14:paraId="2A677221" w14:textId="77777777" w:rsidR="00B55F17" w:rsidRDefault="00CF4059">
      <w:r>
        <w:t>vTaxi plantea una solución digital para coordinar solicitudes, conductores y viajes de taxis concesionados. El fenómeno de interés es la transición de esa solución técnica hacia una operación sustentada en documentación y procedimientos administrativos. La revisión inicial del proyecto identifica borradores útiles, pero aún es necesario comprobar qué obligaciones corresponden al modelo de servicio y qué evidencias respaldan su atención. El problema se analiza como un caso de gestión del cumplimiento y preparación administrativa.</w:t>
      </w:r>
    </w:p>
    <w:p w14:paraId="5D9224BE" w14:textId="77777777" w:rsidR="00B55F17" w:rsidRDefault="00CF4059">
      <w:pPr>
        <w:pStyle w:val="Ttulo2"/>
        <w:spacing w:before="240" w:after="80"/>
      </w:pPr>
      <w:bookmarkStart w:id="2" w:name="_Toc242807291"/>
      <w:r>
        <w:t>2.1 Enunciado del problema</w:t>
      </w:r>
      <w:bookmarkEnd w:id="2"/>
    </w:p>
    <w:p w14:paraId="4A98752C" w14:textId="77777777" w:rsidR="00B55F17" w:rsidRDefault="00CF4059">
      <w:r>
        <w:t>La ficha técnica de vTaxi contiene campos de razón social, RFC y representación legal expresados como ejemplos o pendientes. Asimismo, el resumen regulatorio vincula el registro de una Empresa de Redes de Transporte (ERT) con una plataforma descrita para taxis concesionados. La lista interna propone documentación, padrones y pruebas, pero su sola inclusión no acredita que la autoridad los haya exigido para este modelo concreto. Son observaciones documentales de los archivos revisados al 27 de septiembre de 2026, no conclusiones de una auditoría jurídica o técnica completa (vTaxi, 2026).</w:t>
      </w:r>
    </w:p>
    <w:p w14:paraId="55D40541" w14:textId="77777777" w:rsidR="00B55F17" w:rsidRDefault="00CF4059">
      <w:r>
        <w:t>La distinción tiene sustento normativo. El artículo 82 de la Ley de Movilidad de Nuevo León contempla sistemas GPS o plataformas autorizadas por el Instituto para el cálculo del servicio de taxi, mientras el artículo 83 exige la concesión correspondiente a sus prestadores. Los artículos 99 y 100 regulan por separado el Servicio de Transporte Individual de Alquiler Privado (SETIAP), prestado mediante ERT. Por ello, la clasificación de vTaxi debe contrastarse con sus funciones y modalidad de operación; utilizar una aplicación no permite concluir por sí solo que le corresponde el régimen ERT (H. Congreso del Estado de Nuevo León, 2026).</w:t>
      </w:r>
    </w:p>
    <w:p w14:paraId="41DA7A83" w14:textId="77777777" w:rsidR="00B55F17" w:rsidRDefault="00CF4059">
      <w:r>
        <w:t xml:space="preserve">La capacitación constituye otro ámbito. El ICET publica cursos para conductores de taxi y de plataformas digitales. Esa oferta respalda su función formativa, pero cursarla no equivale a una autorización de la aplicación. Para el diagnóstico se distinguirán las obligaciones de la </w:t>
      </w:r>
      <w:r>
        <w:lastRenderedPageBreak/>
        <w:t>organización, los documentos de conductores y vehículos y la capacitación, verificando su aplicabilidad por separado (Instituto de Capacitación y Educación para el Trabajo del Estado de Nuevo León [ICET], s. f.).</w:t>
      </w:r>
    </w:p>
    <w:p w14:paraId="759ABCA4" w14:textId="77777777" w:rsidR="00B55F17" w:rsidRDefault="00CF4059">
      <w:r>
        <w:t>La situación involucra al responsable del proyecto, a quienes desempeñen funciones administrativas y técnicas y, como participantes de una operación futura, a concesionarios y conductores. Sin una relación trazable entre cada requisito, su fundamento, el responsable y la evidencia correspondiente, pueden prepararse documentos para una modalidad distinta o quedar obligaciones sin atender. Estas son consecuencias posibles que motivan el estudio; no se reportan multas, rechazos de trámites, pérdidas económicas ni afectaciones a usuarios que no hayan sido documentadas.</w:t>
      </w:r>
    </w:p>
    <w:p w14:paraId="4C43E39A" w14:textId="77777777" w:rsidR="00B55F17" w:rsidRDefault="00CF4059">
      <w:r>
        <w:t>La unidad de análisis será el proyecto vTaxi y su proceso de preparación administrativa. El ámbito espacial es el municipio de Monterrey, Nuevo León y el periodo propuesto comprende septiembre a noviembre de 2026, con corte inicial de la revisión documental al 27 de septiembre. Se examinará principalmente el modelo de taxis concesionados. La modalidad SETIAP se utilizará como contraste para justificar la clasificación, sin extender el estudio a todas las plataformas de transporte ni prometer un registro gubernamental dentro de ese periodo.</w:t>
      </w:r>
    </w:p>
    <w:p w14:paraId="637F66E1" w14:textId="77777777" w:rsidR="00B55F17" w:rsidRDefault="00CF4059">
      <w:r>
        <w:t>La brecha consiste en que los borradores disponibles todavía no acreditan una ruta validada que vincule obligaciones aplicables, responsables y evidencias. La investigación deberá establecer qué está respaldado, qué requiere corrección y qué necesita aclaración ante la autoridad. Esta delimitación conduce a estudiar dos variables: la gestión del cumplimiento normativo y la preparación administrativa del expediente, sin asumir que la primera produce automáticamente una resolución favorable.</w:t>
      </w:r>
    </w:p>
    <w:p w14:paraId="299AC112" w14:textId="77777777" w:rsidR="00B55F17" w:rsidRDefault="00CF4059">
      <w:r>
        <w:rPr>
          <w:b/>
        </w:rPr>
        <w:t>Los borradores regulatorios de vTaxi no acreditan una ruta validada de requisitos, responsables y evidencias para su formalización como plataforma de taxis concesionados en Monterrey, Nuevo León.</w:t>
      </w:r>
    </w:p>
    <w:p w14:paraId="30EDA8A1" w14:textId="77777777" w:rsidR="00B8658C" w:rsidRDefault="00395729">
      <w:r>
        <w:lastRenderedPageBreak/>
        <w:t>El núcleo del problema es administrativo: la falta de una ruta acreditada impide comprobar cómo se distribuyen responsabilidades, se documentan decisiones y se da seguimiento a las observaciones del expediente. La normativa funciona como referente para identificar obligaciones aplicables, no como objeto exclusivo de una interpretación jurídica. El diagnóstico distinguirá la existencia de documentos de la existencia de mecanismos de gestión que permitan mantenerlos íntegros, coherentes y actualizados. Se examinarán procedimientos, responsables, controles e indicadores propuestos de preparación organizacional, sin afirmar que ya estén implementados.</w:t>
      </w:r>
    </w:p>
    <w:p w14:paraId="286B0135" w14:textId="77777777" w:rsidR="00B55F17" w:rsidRDefault="00CF4059">
      <w:pPr>
        <w:pStyle w:val="Ttulo2"/>
        <w:spacing w:before="240" w:after="80"/>
      </w:pPr>
      <w:bookmarkStart w:id="3" w:name="_Toc242807292"/>
      <w:r>
        <w:t>2.2 Formulación del problema</w:t>
      </w:r>
      <w:bookmarkEnd w:id="3"/>
    </w:p>
    <w:p w14:paraId="2C1A0421" w14:textId="77777777" w:rsidR="00B55F17" w:rsidRDefault="00CF4059">
      <w:r>
        <w:t>¿Cómo se relaciona el nivel de gestión del cumplimiento normativo con el grado de preparación administrativa de vTaxi para su formalización como plataforma de taxis concesionados en Monterrey, Nuevo León durante septiembre a noviembre de 2026?</w:t>
      </w:r>
    </w:p>
    <w:p w14:paraId="7D1D3077" w14:textId="77777777" w:rsidR="00B55F17" w:rsidRDefault="00CF4059">
      <w:r>
        <w:t>La variable independiente propuesta es el nivel de gestión del cumplimiento normativo, entendido como el grado de organización del proceso para identificar requisitos, asignar responsables y dar seguimiento a su atención. La variable dependiente propuesta es el grado de preparación administrativa, entendido como la integridad y coherencia de las evidencias disponibles para integrar el expediente correspondiente al modelo de servicio.</w:t>
      </w:r>
    </w:p>
    <w:p w14:paraId="63D93433" w14:textId="77777777" w:rsidR="00B55F17" w:rsidRDefault="00CF4059">
      <w:r>
        <w:t>Para diferenciarlas, la primera se observará mediante la existencia de procedimientos, responsables y controles de seguimiento; la segunda, mediante documentos comprobables, inconsistencias detectadas y observaciones pendientes de resolver. La revisión comparará componentes del mismo caso, por lo que no se inferirá una correlación estadística poblacional ni una relación causal a partir de una sola organización. La autoridad conserva la decisión sobre cualquier autorización.</w:t>
      </w:r>
    </w:p>
    <w:p w14:paraId="1EB462D1" w14:textId="77777777" w:rsidR="00B55F17" w:rsidRDefault="00CF4059">
      <w:pPr>
        <w:pStyle w:val="Ttulo2"/>
        <w:spacing w:before="240" w:after="80"/>
      </w:pPr>
      <w:bookmarkStart w:id="4" w:name="_Toc242807293"/>
      <w:r>
        <w:lastRenderedPageBreak/>
        <w:t>2.3 Preguntas específicas</w:t>
      </w:r>
      <w:bookmarkEnd w:id="4"/>
    </w:p>
    <w:p w14:paraId="093FC10C" w14:textId="77777777" w:rsidR="00B55F17" w:rsidRDefault="00CF4059">
      <w:pPr>
        <w:ind w:left="360" w:hanging="360"/>
      </w:pPr>
      <w:r>
        <w:t>1. ¿Qué requisitos y competencias institucionales corresponden al modelo de taxis concesionados de vTaxi y cuáles pertenecen a la modalidad de transporte privado mediante empresas de redes de transporte?</w:t>
      </w:r>
    </w:p>
    <w:p w14:paraId="6DDDAA05" w14:textId="77777777" w:rsidR="00B55F17" w:rsidRDefault="00CF4059">
      <w:pPr>
        <w:ind w:left="360" w:hanging="360"/>
      </w:pPr>
      <w:r>
        <w:t>2. ¿Qué diferencias existen entre los requisitos aplicables y las evidencias jurídicas, técnicas y operativas disponibles en los borradores del proyecto?</w:t>
      </w:r>
    </w:p>
    <w:p w14:paraId="6BD078A6" w14:textId="77777777" w:rsidR="00B55F17" w:rsidRDefault="00CF4059">
      <w:pPr>
        <w:ind w:left="360" w:hanging="360"/>
      </w:pPr>
      <w:r>
        <w:t>3. ¿Cómo se vinculan la asignación de responsables, la verificación de requisitos y el seguimiento documental con la integridad del expediente y la resolución de observaciones internas?</w:t>
      </w:r>
    </w:p>
    <w:p w14:paraId="37B17BCE" w14:textId="77777777" w:rsidR="00B55F17" w:rsidRDefault="00CF4059">
      <w:pPr>
        <w:ind w:left="360" w:hanging="360"/>
      </w:pPr>
      <w:r>
        <w:t>4. ¿Qué acciones de gestión deben priorizarse para fortalecer la preparación del expediente de vTaxi sin confundir capacitación de conductores con autorización de la plataforma?</w:t>
      </w:r>
    </w:p>
    <w:p w14:paraId="2EE75F49" w14:textId="77777777" w:rsidR="00B55F17" w:rsidRDefault="00CF4059">
      <w:pPr>
        <w:pStyle w:val="Ttulo1"/>
        <w:spacing w:before="120" w:after="80"/>
      </w:pPr>
      <w:bookmarkStart w:id="5" w:name="_Toc242807294"/>
      <w:r>
        <w:t>3 Formulación de objetivos general y específicos</w:t>
      </w:r>
      <w:bookmarkEnd w:id="5"/>
    </w:p>
    <w:p w14:paraId="7D3F3800" w14:textId="77777777" w:rsidR="00B8658C" w:rsidRDefault="00395729">
      <w:r>
        <w:t>Los objetivos traducen la brecha documental del proyecto en metas observables y alcanzables, de acuerdo con las pautas de formulación del material de Seminario I (Instituto Tecnológico Superior de Cajeme, s. f.-a). El objetivo general conserva las variables, el ámbito y el periodo de la pregunta de investigación. Los cuatro objetivos específicos corresponden, en el mismo orden, a las preguntas sobre requisitos, brechas, controles de gestión y prioridades de atención; sus resultados parciales permitirán examinar la preparación administrativa de vTaxi.</w:t>
      </w:r>
      <w:r>
        <w:rPr>
          <w:vertAlign w:val="superscript"/>
        </w:rPr>
        <w:footnoteReference w:id="1"/>
      </w:r>
    </w:p>
    <w:p w14:paraId="7D5458F3" w14:textId="77777777" w:rsidR="00B55F17" w:rsidRDefault="00CF4059">
      <w:pPr>
        <w:pStyle w:val="Ttulo2"/>
        <w:spacing w:before="120" w:after="80"/>
      </w:pPr>
      <w:bookmarkStart w:id="6" w:name="_Toc242807295"/>
      <w:r>
        <w:lastRenderedPageBreak/>
        <w:t>3.1 Objetivo general</w:t>
      </w:r>
      <w:bookmarkEnd w:id="6"/>
    </w:p>
    <w:p w14:paraId="27E55359" w14:textId="77777777" w:rsidR="00B8658C" w:rsidRDefault="00395729">
      <w:pPr>
        <w:keepLines/>
      </w:pPr>
      <w:r>
        <w:t>Analizar la relación entre el nivel de gestión del cumplimiento normativo y el grado de preparación administrativa de vTaxi para su formalización como plataforma de taxis concesionados en Monterrey, Nuevo León durante septiembre a noviembre de 2026, mediante el contraste documental de requisitos, responsabilidades y evidencias del proyecto.</w:t>
      </w:r>
    </w:p>
    <w:p w14:paraId="23BB348E" w14:textId="77777777" w:rsidR="00B55F17" w:rsidRDefault="00CF4059">
      <w:pPr>
        <w:pStyle w:val="Ttulo2"/>
        <w:spacing w:before="120" w:after="80"/>
      </w:pPr>
      <w:bookmarkStart w:id="7" w:name="_Toc242807296"/>
      <w:r>
        <w:t>3.2 Objetivos específicos</w:t>
      </w:r>
      <w:bookmarkEnd w:id="7"/>
    </w:p>
    <w:p w14:paraId="5FDC0067" w14:textId="77777777" w:rsidR="00B8658C" w:rsidRDefault="00395729">
      <w:pPr>
        <w:keepLines/>
        <w:ind w:firstLine="0"/>
      </w:pPr>
      <w:r>
        <w:t>1. Identificar y clasificar los requisitos y las competencias institucionales aplicables al modelo de taxis concesionados de vTaxi, vinculándolos con los procesos y las responsabilidades administrativas del proyecto y distinguiéndolos de la modalidad de transporte privado mediante empresas de redes de transporte.</w:t>
      </w:r>
    </w:p>
    <w:p w14:paraId="160860F0" w14:textId="77777777" w:rsidR="00B8658C" w:rsidRDefault="00395729">
      <w:pPr>
        <w:keepLines/>
        <w:ind w:firstLine="0"/>
      </w:pPr>
      <w:r>
        <w:t>2. Diagnosticar las brechas de organización y gestión documental entre los requisitos aplicables y las evidencias disponibles de vTaxi, considerando la asignación de responsabilidades, los controles de seguimiento y la integridad y coherencia del expediente.</w:t>
      </w:r>
    </w:p>
    <w:p w14:paraId="5A7B91C8" w14:textId="77777777" w:rsidR="00B8658C" w:rsidRDefault="00395729">
      <w:pPr>
        <w:keepLines/>
        <w:ind w:firstLine="0"/>
      </w:pPr>
      <w:r>
        <w:t>3. Examinar la correspondencia entre la asignación de responsables, la verificación de requisitos y el seguimiento documental, por una parte, y la integridad del expediente y la resolución de observaciones internas, por otra, mediante una revisión trazable de los componentes del caso.</w:t>
      </w:r>
    </w:p>
    <w:p w14:paraId="51948125" w14:textId="77777777" w:rsidR="00B8658C" w:rsidRDefault="00395729">
      <w:pPr>
        <w:keepLines/>
        <w:ind w:firstLine="0"/>
      </w:pPr>
      <w:r>
        <w:t>4. Proponer una ruta priorizada de gestión para fortalecer la preparación administrativa del expediente de vTaxi, con acciones, responsables propuestos y evidencias de atención, diferenciando la capacitación de conductores de la autorización de la plataforma.</w:t>
      </w:r>
    </w:p>
    <w:p w14:paraId="492B39F7" w14:textId="77777777" w:rsidR="00B8658C" w:rsidRDefault="00395729">
      <w:r>
        <w:t xml:space="preserve">La verificación se realizará mediante un catálogo administrativo de requisitos y procesos, un diagnóstico de brechas de gestión, una matriz de controles e indicadores y una ruta priorizada de atención. El centro del análisis serán la organización de procedimientos, las responsabilidades, la gestión documental y el seguimiento, no una enumeración de disposiciones. La distinción entre adopción formal y gestión práctica del cumplimiento orienta </w:t>
      </w:r>
      <w:r>
        <w:lastRenderedPageBreak/>
        <w:t>esta prioridad (Parker &amp; Nielsen, 2009). Cada resultado deberá tener respaldo identificable. La relación entre variables se examinará dentro del caso, sin inferir causalidad ni correlación poblacional. Se distinguirán formación de conductores y autorización: la oferta del ICET no acredita el permiso de la plataforma (Instituto de Capacitación y Educación para el Trabajo del Estado de Nuevo León, s. f.).</w:t>
      </w:r>
      <w:r>
        <w:br/>
      </w:r>
      <w:r>
        <w:br/>
        <w:t>Como criterios propuestos de seguimiento se registrarán la cobertura de responsabilidades (requisitos aplicables con responsable documentado entre requisitos aplicables revisados), la trazabilidad documental (requisitos con evidencia verificable entre requisitos aplicables revisados) y el cierre de observaciones (observaciones cerradas con evidencia de revisión entre observaciones registradas). Las razones podrán expresarse en porcentaje; si el denominador es cero se indicará no aplicable. Se conservarán numerador, denominador y documento de respaldo, sin inventar mediciones ni metas. Son indicadores del caso para orientar el diagnóstico, no escalas validadas ni pruebas de causalidad. Su interpretación conjunta permitirá distinguir una lista normativa de un proceso administrado de preparación del expediente.</w:t>
      </w:r>
    </w:p>
    <w:p w14:paraId="1A5B8430" w14:textId="77777777" w:rsidR="00B55F17" w:rsidRDefault="00CF4059">
      <w:pPr>
        <w:pStyle w:val="Ttulo1"/>
        <w:spacing w:before="120" w:after="80"/>
      </w:pPr>
      <w:bookmarkStart w:id="8" w:name="_Toc242807297"/>
      <w:r>
        <w:t>4 Justificación</w:t>
      </w:r>
      <w:bookmarkEnd w:id="8"/>
    </w:p>
    <w:p w14:paraId="43EAD58B" w14:textId="77777777" w:rsidR="00526E6F" w:rsidRDefault="008A3FBF">
      <w:pPr>
        <w:pStyle w:val="Ttulo2"/>
      </w:pPr>
      <w:bookmarkStart w:id="9" w:name="_Toc242807298"/>
      <w:r>
        <w:t>4.1 Relevancia teórica</w:t>
      </w:r>
      <w:bookmarkEnd w:id="9"/>
    </w:p>
    <w:p w14:paraId="230F0080" w14:textId="77777777" w:rsidR="00526E6F" w:rsidRDefault="008A3FBF">
      <w:r>
        <w:t>La transformación digital de una organización no se reduce a incorporar una aplicación: requiere relacionar los recursos tecnológicos con decisiones, responsabilidades y procesos. Kraus et al. (2021) ofrecen un panorama de ese campo, mientras que los antecedentes del corpus de MiPyMEs muestran la necesidad de delimitar el contexto antes de trasladar sus resultados. En este estudio, el interés teórico consiste en examinar cómo se relaciona la gestión del cumplimiento normativo con la preparación administrativa de un expediente; no en demostrar que la digitalización produzca automáticamente formalización o competitividad.</w:t>
      </w:r>
    </w:p>
    <w:p w14:paraId="11930186" w14:textId="77777777" w:rsidR="00526E6F" w:rsidRDefault="008A3FBF">
      <w:r>
        <w:t>El objetivo general de Tarea 10 concreta esa relación en vTaxi, como proyecto de plataforma de taxis concesionados en Monterrey, Nuevo León, durante septiembre a noviembre de 2026. Sus categorías analíticas son la asignación de responsables, la verificación de requisitos y el seguimiento documental, contrastadas con la integridad del expediente y la atención de observaciones internas. La contribución esperada es una lectura trazable del caso que permita distinguir requisitos identificados, evidencias disponibles y controles propuestos. No se plantea validar un modelo causal ni generalizar resultados de un solo proyecto a todo el sector.</w:t>
      </w:r>
    </w:p>
    <w:p>
      <w:pPr/>
      <w:r>
        <w:t>El enfoque conceptual distingue adopción formal, gestión práctica y preparación documental. Parker y Nielsen (2009), con el alcance de resumen editorial señalado en los antecedentes, permiten separar la presencia de un sistema de cumplimiento de su administración efectiva. OECD (2018, p. 39) orienta la atención hacia registros actualizados, gestión de casos y flujos de trabajo en organismos de supervisión; su aplicación a vTaxi es analítica, no una obligación adicional impuesta al proyecto. El mecanismo propuesto es que identificar responsables y revisar requisitos facilita detectar y atender brechas; la integridad del documento resultante se evalúa por separado. La complejidad del requisito y el acceso a información pueden explicar divergencias. Así, X describe controles observables y Y describe calidad del expediente, sin definir una variable mediante la otra ni anticipar causalidad.</w:t>
      </w:r>
    </w:p>
    <w:p w14:paraId="4FAE2F0C" w14:textId="77777777" w:rsidR="00526E6F" w:rsidRDefault="008A3FBF">
      <w:pPr>
        <w:pStyle w:val="Ttulo2"/>
      </w:pPr>
      <w:bookmarkStart w:id="10" w:name="_Toc242807299"/>
      <w:r>
        <w:t>4.2 Relevancia práctica</w:t>
      </w:r>
      <w:bookmarkEnd w:id="10"/>
    </w:p>
    <w:p w14:paraId="684FB021" w14:textId="77777777" w:rsidR="00526E6F" w:rsidRDefault="008A3FBF">
      <w:r>
        <w:t>El problema formulado en Tarea 9 es una brecha de preparación documental, no una declaración de incumplimiento comprobado de la empresa. La utilidad práctica del estudio reside en convertir esa brecha en decisiones verificables: qué requisito corresponde al modelo del proyecto, qué evidencia lo respalda, quién debe revisarla y qué observación permanece abierta. Esta orientación responde a la LGAC Gestión e Innovación de las Organizaciones, porque concentra el análisis en procedimientos, responsables, documentos, controles e indicadores y no en un dictamen predominantemente jurídico.</w:t>
      </w:r>
    </w:p>
    <w:p w14:paraId="5424DAD9" w14:textId="77777777" w:rsidR="00526E6F" w:rsidRDefault="008A3FBF">
      <w:r>
        <w:t>Los objetivos específicos definen cuatro productos coherentes con esa utilidad: un catálogo de requisitos por modalidad y autoridad; un diagnóstico de brechas; una matriz de contraste entre controles y estado del expediente; y una ruta priorizada de atención. Un escenario de aplicación sería detectar que una afirmación de un borrador carece de fuente o documento de respaldo y asignar su comprobación antes de usarla en una solicitud. Otro sería separar la capacitación de conductores de la autorización de la plataforma. Los indicadores propuestos —cobertura de responsabilidades y cierre documentado de observaciones— se calcularían con denominadores y criterios explícitos; no se presentan valores obtenidos ni ahorros financieros demostrados.</w:t>
      </w:r>
    </w:p>
    <w:p w14:paraId="24EC9026" w14:textId="77777777" w:rsidR="00890E97" w:rsidRDefault="00296D41">
      <w:r>
        <w:t xml:space="preserve">La delimitación actual del caso es Monterrey, Nuevo León, por indicación del estudiante. El municipio no se equipara automáticamente con el área metropolitana ni con toda la entidad. </w:t>
      </w:r>
      <w:r>
        <w:lastRenderedPageBreak/>
        <w:t>Los Censos Económicos 2024 y el Censo de Población y Vivienda 2020 del INEGI constituyen fuentes para contextualizar establecimientos y población, pero los datos agregados del portal no se presentan como cifras municipales ni como demanda validada de vTaxi. La ley de movilidad de Nuevo León corresponde al ámbito normativo estatal. Los antecedentes de Cajeme se conservan como referencias históricas, no como evidencia empírica del caso de Monterrey.</w:t>
      </w:r>
    </w:p>
    <w:p w14:paraId="2262C910" w14:textId="77777777" w:rsidR="00526E6F" w:rsidRDefault="008A3FBF">
      <w:pPr>
        <w:pStyle w:val="Ttulo2"/>
      </w:pPr>
      <w:bookmarkStart w:id="11" w:name="_Toc242807300"/>
      <w:r>
        <w:t>4.3 Relevancia social e institucional</w:t>
      </w:r>
      <w:bookmarkEnd w:id="11"/>
    </w:p>
    <w:p w14:paraId="42C83AB0" w14:textId="77777777" w:rsidR="00526E6F" w:rsidRDefault="008A3FBF">
      <w:r>
        <w:t>Los beneficiarios directos potenciales son las personas responsables de la preparación y revisión administrativa del proyecto vTaxi. Una documentación ordenada podría facilitar la coordinación y evitar que propuestas internas se comuniquen como permisos o requisitos oficiales. Los conductores vinculados al proyecto serían beneficiarios indirectos potenciales de información más clara sobre funciones y documentación, pero el estudio no acredita su participación, la existencia de concesiones de vTaxi ni una autorización operativa.</w:t>
      </w:r>
    </w:p>
    <w:p w14:paraId="16803D8B" w14:textId="77777777" w:rsidR="00526E6F" w:rsidRDefault="008A3FBF">
      <w:r>
        <w:t>En el ámbito institucional, el caso permite aplicar competencias de la MGA: delimitar un problema organizacional, construir criterios de análisis, identificar evidencia y argumentar decisiones responsables. La distinción entre taxis concesionados y transporte privado mediante empresas de redes de transporte debe sostenerse en fuentes aplicables, como la ley estatal consultada, y no en analogías automáticas (H. Congreso del Estado de Nuevo León, 2026). El impacto se limita a la calidad de la preparación administrativa evaluable; no se promete seguridad vial, empleo, aprobación gubernamental o beneficio comunitario que el diseño documental no puede demostrar.</w:t>
      </w:r>
    </w:p>
    <w:p w14:paraId="50C5BB89" w14:textId="77777777" w:rsidR="00526E6F" w:rsidRDefault="008A3FBF">
      <w:pPr>
        <w:pStyle w:val="Ttulo2"/>
      </w:pPr>
      <w:bookmarkStart w:id="12" w:name="_Toc242807301"/>
      <w:r>
        <w:t>4.4 Originalidad</w:t>
      </w:r>
      <w:bookmarkEnd w:id="12"/>
    </w:p>
    <w:p w14:paraId="4CB85FE5" w14:textId="77777777" w:rsidR="00526E6F" w:rsidRDefault="008A3FBF">
      <w:r>
        <w:t xml:space="preserve">La originalidad propuesta es contextual y operativa: integrar la clasificación de requisitos por modalidad, el examen de borradores y la trazabilidad de responsabilidades en un mismo diagnóstico de preparación administrativa. Los diez antecedentes científicos de Tarea 3 proporcionan referencias sobre transformación digital e innovación en MiPyMEs; no se </w:t>
      </w:r>
      <w:r>
        <w:lastRenderedPageBreak/>
        <w:t>sustituyen por nuevos estudios ni se asume que investiguen exactamente plataformas de taxis en Nuevo León. Parker y Nielsen (2009) aportan un antecedente conceptual sobre cumplimiento empresarial, utilizado con el alcance de resumen editorial documentado en la revisión previa, no como evidencia empírica local.</w:t>
      </w:r>
    </w:p>
    <w:p w14:paraId="5843A7F6" w14:textId="77777777" w:rsidR="00526E6F" w:rsidRDefault="008A3FBF">
      <w:r>
        <w:t>El valor agregado esperado frente a una simple recopilación normativa es vincular cada afirmación del expediente con su fuente, responsable propuesto, evidencia y condición de cierre. El vacío atendido es la falta de esa articulación en los componentes disponibles del caso, según el problema delimitado; no se sostiene que sea el primer estudio del tema ni que exista una ausencia universal de investigación. La novedad deberá evaluarse frente a la evidencia reunida y a la ampliación bibliográfica regional, que sigue pendiente.</w:t>
      </w:r>
    </w:p>
    <w:p>
      <w:pPr/>
      <w:r>
        <w:t>Frente al antecedente mexicano de Lamas Flores y Acosta Reveles (2025), centrado en actores y estrategias de influencia regulatoria, la originalidad del caso reside en la evaluación interna de controles y calidad documental antes de una eventual formalización. La comparación precisa una diferencia de objeto, escala y evidencia; no constituye una afirmación de primacía ni agota la literatura sobre movilidad en México. La revisión deberá ampliarse conforme avance el estudio, en especial con trabajos directamente referidos a Monterrey y a taxis concesionados.</w:t>
      </w:r>
    </w:p>
    <w:p w14:paraId="368F650E" w14:textId="77777777" w:rsidR="00526E6F" w:rsidRDefault="008A3FBF">
      <w:pPr>
        <w:pStyle w:val="Ttulo2"/>
      </w:pPr>
      <w:bookmarkStart w:id="13" w:name="_Toc242807302"/>
      <w:r>
        <w:t>4.5 Viabilidad</w:t>
      </w:r>
      <w:bookmarkEnd w:id="13"/>
    </w:p>
    <w:p w14:paraId="36249803" w14:textId="77777777" w:rsidR="00526E6F" w:rsidRDefault="008A3FBF">
      <w:r>
        <w:t>La fase documental es realizable con los recursos locales comprobados: los antecedentes de Tareas 8–10, las matrices, las copias de borradores y los textos institucionales conservados. El material docente señala que la justificación debe argumentar tiempo, recursos, acceso, ética y limitaciones, no limitarse a afirmar que el tema es importante (Instituto Tecnológico Superior de Cajeme, s. f.-c). Para el periodo septiembre–noviembre de 2026 se propone utilizar lo ya recopilado en septiembre como línea de base y distribuir el trabajo restante en revisión de requisitos durante octubre, diagnóstico y contraste documental entre finales de octubre e inicios de noviembre, y priorización y revisión de resultados durante noviembre. Es una programación propuesta, no un registro de tareas ya realizadas.</w:t>
      </w:r>
    </w:p>
    <w:p w14:paraId="34E88155" w14:textId="77777777" w:rsidR="00526E6F" w:rsidRDefault="008A3FBF">
      <w:r>
        <w:t xml:space="preserve">La disponibilidad de las copias internas permite revisar su contenido, pero no demuestra autorización para entrevistar actores, acceder a expedientes completos o divulgar datos privados. Cualquier entrevista o incorporación de nuevos documentos quedará condicionada al consentimiento, autorización y disponibilidad de las personas responsables. Si no se obtiene ese acceso, el estudio se limitará al corpus documental autorizado, declarará sus faltantes y no inferirá el funcionamiento real de la empresa. No se requiere comprar software especializado </w:t>
      </w:r>
      <w:r>
        <w:lastRenderedPageBreak/>
        <w:t>para esta fase; se emplearán los procesadores de texto, hojas de cálculo y herramientas de consulta disponibles, sin afirmar un presupuesto aprobado ni compromisos de dedicación ajenos.</w:t>
      </w:r>
    </w:p>
    <w:p w14:paraId="56B67657" w14:textId="77777777" w:rsidR="00526E6F" w:rsidRDefault="008A3FBF">
      <w:r>
        <w:t>Los controles éticos comprenden minimizar datos personales, separar documentos de ejemplo de hechos confirmados, restringir el acceso a los archivos internos y citar fuentes sin redistribuir información sensible. Las limitaciones controlables son la trazabilidad de cada extracción, el registro de fecha de consulta, la revisión de coherencia y la identificación de afirmaciones no respaldadas. La vigencia normativa y la completitud del expediente son riesgos que deben comprobarse durante la investigación; por ello, la factibilidad es suficiente para iniciar el análisis documental y condicionada para ampliar su alcance. La matriz mantiene preguntas y objetivos, sin una columna adicional de justificación, y el Covey conserva problema y objetivo general como prioridades importantes y no urgentes, sin nuevos elementos.</w:t>
      </w:r>
    </w:p>
    <w:p>
      <w:pPr/>
      <w:r>
        <w:t>El acceso se gestionará mediante una solicitud escrita al responsable autorizado del proyecto, con propósito, periodo y lista de documentos requeridos. La autorización deberá precisar qué versiones pueden consultarse, qué datos deben anonimizarse, quién tendrá acceso a las copias y qué extractos pueden incorporarse al informe. Se llevará un registro con solicitud, respuesta, alcance concedido y restricciones por documento. Los materiales no autorizados o no disponibles se clasificarán como no verificables; no se interpretarán como incumplimientos ni se reemplazarán por registros ficticios.</w:t>
      </w:r>
    </w:p>
    <w:p>
      <w:pPr/>
      <w:r>
        <w:t>Las entrevistas, si resultan necesarias, requerirán invitación y consentimiento individual separados del permiso documental. Se informarán finalidad, participación voluntaria, posibilidad de omitir respuestas o retirarse, uso de citas y condiciones de resguardo. La grabación exigirá consentimiento específico; sin él se utilizarán únicamente notas autorizadas. El plazo de conservación y la eliminación de archivos se acordarán antes de recopilar datos. Si no se obtienen permisos dentro del periodo, se mantendrá el alcance documental autorizado y se reportarán las limitaciones sin atribuir testimonios ni verificaciones inexistentes.</w:t>
      </w:r>
    </w:p>
    <w:p>
      <w:pPr/>
      <w:r>
        <w:t>La delimitación geográfica del caso es el municipio de Monterrey, Nuevo León. El objeto no es el mercado de transporte de toda la entidad ni el conjunto del área metropolitana. La legislación y las competencias institucionales se examinan a escala estatal porque ese es su ámbito de aplicación; esta escala normativa no amplía la unidad de análisis territorial. Los registros de vTaxi considerados deberán referirse al caso delimitado y se identificarán por fecha y versión.</w:t>
      </w:r>
    </w:p>
    <w:p w14:paraId="30E6C6FE" w14:textId="77777777" w:rsidR="00B55F17" w:rsidRDefault="00CF4059">
      <w:pPr>
        <w:pStyle w:val="Ttulo1"/>
        <w:spacing w:before="120" w:after="80"/>
      </w:pPr>
      <w:bookmarkStart w:id="14" w:name="_Toc242807303"/>
      <w:r>
        <w:t>5 Hipótesis de trabajo</w:t>
      </w:r>
      <w:bookmarkEnd w:id="14"/>
    </w:p>
    <w:p w14:paraId="206CBA85" w14:textId="77777777" w:rsidR="004E4A6D" w:rsidRDefault="007807B0">
      <w:pPr>
        <w:pStyle w:val="Ttulo2"/>
      </w:pPr>
      <w:bookmarkStart w:id="15" w:name="_Toc242807304"/>
      <w:r>
        <w:t>5.1 Hipótesis general</w:t>
      </w:r>
      <w:bookmarkEnd w:id="15"/>
    </w:p>
    <w:p w14:paraId="063C354B" w14:textId="77777777" w:rsidR="004E4A6D" w:rsidRDefault="007807B0">
      <w:r>
        <w:t>HG. En los componentes documentales aplicables al proyecto vTaxi como plataforma de taxis concesionados en Monterrey, Nuevo León durante septiembre a noviembre de 2026, un mayor nivel de gestión del cumplimiento normativo se relaciona con un mayor grado de preparación administrativa del expediente, expresado en documentos completos y coherentes con los requisitos aplicables y en observaciones internas atendidas con respaldo verificable.</w:t>
      </w:r>
    </w:p>
    <w:p w14:paraId="4ED541D5" w14:textId="77777777" w:rsidR="004E4A6D" w:rsidRDefault="007807B0">
      <w:r>
        <w:t>X (campo VI de la consigna) es el nivel de gestión del cumplimiento normativo: asignación documentada de responsabilidades, verificación de aplicabilidad y seguimiento de acciones. Y (campo VD) es el grado de preparación administrativa del expediente: integridad, coherencia con requisitos aplicables y cierre respaldado de observaciones. Son roles analíticos no causales; X no está manipulada ni Y es un efecto demostrado. Preparación no significa autorización gubernamental, operación legal acreditada ni formalización consumada.</w:t>
      </w:r>
    </w:p>
    <w:p w14:paraId="664B5C12" w14:textId="77777777" w:rsidR="004E4A6D" w:rsidRDefault="007807B0">
      <w:r>
        <w:lastRenderedPageBreak/>
        <w:t>La hipótesis deriva de la brecha descrita en antecedentes y planteamiento: los borradores no acreditan una ruta validada entre requisitos, responsables y evidencias. Responde a la pregunta general y al objetivo de analizar esa relación mediante contraste documental. Los antecedentes justifican examinar procedimientos y controles administrativos, pero no demuestran anticipadamente la relación en vTaxi ni permiten trasladar hallazgos de otros contextos como resultados locales.</w:t>
      </w:r>
    </w:p>
    <w:p w14:paraId="74181A9E" w14:textId="77777777" w:rsidR="009D42F1" w:rsidRDefault="00890EF2">
      <w:r>
        <w:t>Fundamento metodológico. Hernández Sampieri et al. (2014) definen las hipótesis como “explicaciones tentativas del fenómeno investigado” (p. 104). Por ello, HG es una respuesta provisional a la pregunta general, no una conclusión sobre vTaxi. Los autores vinculan su formulación con problema, antecedentes y marco teórico y exigen variables observables, relaciones precisas y técnicas disponibles para contrastarlas (pp. 105–107). La formulación conserva el caso, periodo y objetos documentales delimitados en lo</w:t>
      </w:r>
      <w:r>
        <w:t>s capítulos anteriores.</w:t>
      </w:r>
    </w:p>
    <w:p w14:paraId="5BC217CF" w14:textId="77777777" w:rsidR="009D42F1" w:rsidRDefault="00890EF2">
      <w:r>
        <w:t>Fundamento administrativo. El criterio 8.1 del toolkit de OECD (2018, p. 39) considera relevantes los datos actualizados, la gestión de casos, los registros y los flujos de trabajo para planear y dar seguimiento a la inspección y ejecución regulatoria. Se toma como orientación conceptual sobre trazabilidad, no como norma exigible a vTaxi: su destinatario son estructuras de inspección y supervisión, no plataformas privadas. Su adaptación al caso consiste en examinar responsables identificables, revisión de a</w:t>
      </w:r>
      <w:r>
        <w:t>plicabilidad y seguimiento registrado frente a documentos verificables. Esos controles pueden facilitar la localización de brechas y su revisión, pero un expediente puede permanecer incompleto pese a ellos; de ahí que se proponga una relación contrastable y no un efecto garantizado.</w:t>
      </w:r>
    </w:p>
    <w:p w14:paraId="40183624" w14:textId="77777777" w:rsidR="009D42F1" w:rsidRDefault="00890EF2">
      <w:r>
        <w:t xml:space="preserve">Enlace con los antecedentes. Parker y Nielsen (2009), incorporados en el capítulo 1 con el alcance limitado de la revisión disponible, plantean el examen de sistemas de cumplimiento y su posible diferencia en la práctica. Ese antecedente y la orientación de OECD justifican investigar controles y evidencia, no dar por acreditada su eficacia. La inferencia de trabajo para vTaxi es propia: donde existen más controles documentados se espera encontrar mayor </w:t>
      </w:r>
      <w:r>
        <w:lastRenderedPageBreak/>
        <w:t>preparación del expediente, manteniendo separados los registros de gestión y la evaluación del documento resultante. Las divergencias también se registrarán y podrán debilitar la hipótesis.</w:t>
      </w:r>
    </w:p>
    <w:p w14:paraId="7BE1EA07" w14:textId="77777777" w:rsidR="004E4A6D" w:rsidRDefault="007807B0">
      <w:pPr>
        <w:pStyle w:val="Ttulo2"/>
      </w:pPr>
      <w:bookmarkStart w:id="16" w:name="_Toc242807305"/>
      <w:r>
        <w:t>5.2 Hipótesis específica</w:t>
      </w:r>
      <w:bookmarkEnd w:id="16"/>
    </w:p>
    <w:p w14:paraId="24DBFE6A" w14:textId="77777777" w:rsidR="004E4A6D" w:rsidRDefault="007807B0">
      <w:r>
        <w:t>HE1. En los componentes del expediente de vTaxi, la asignación documentada de responsables y el seguimiento de observaciones se relacionan con una mayor proporción de observaciones internas cerradas mediante evidencia documental aceptable en la revisión del caso.</w:t>
      </w:r>
    </w:p>
    <w:p w14:paraId="26BBE354" w14:textId="77777777" w:rsidR="004E4A6D" w:rsidRDefault="007807B0">
      <w:r>
        <w:t>Se vincula con la pregunta específica 3 y el objetivo específico 3: examinar la correspondencia entre responsables, verificación y seguimiento, por una parte, e integridad del expediente y resolución de observaciones, por otra. Los objetivos 1 y 2 identifican requisitos y diagnostican brechas; el objetivo 4 propone prioridades. No requieren hipótesis adicionales porque no todos los objetivos descriptivos o propositivos expresan una relación entre variables.</w:t>
      </w:r>
    </w:p>
    <w:p w14:paraId="110CD78C" w14:textId="77777777" w:rsidR="004E4A6D" w:rsidRDefault="007807B0">
      <w:pPr>
        <w:pStyle w:val="Ttulo2"/>
      </w:pPr>
      <w:bookmarkStart w:id="17" w:name="_Toc242807306"/>
      <w:r>
        <w:t>5.3 Tipo de hipótesis</w:t>
      </w:r>
      <w:bookmarkEnd w:id="17"/>
    </w:p>
    <w:p w14:paraId="34B5DB05" w14:textId="77777777" w:rsidR="009D42F1" w:rsidRDefault="00890EF2">
      <w:r>
        <w:t xml:space="preserve">HG y HE1 son hipótesis de investigación correlacionales por su contenido relacional, direccionales positivas y no causales. Esto clasifica la proposición, no anuncia un estudio de correlación estadística ya diseñado o ejecutado. El </w:t>
      </w:r>
      <w:r>
        <w:t>procedimiento previsto para este caso es contraste documental descriptivo por patrones de correspondencia y casos contrarios. No se propone experimento, manipulación, comparación de plataformas ni generalización estadística. Hernández Sampieri et al. (2014) señalan que “Correlación y causalidad son conceptos asociados, pero distintos” (p. 111); encontrar correspondencia no demuestra que la gestión haya producido la preparación del expediente.</w:t>
      </w:r>
    </w:p>
    <w:p w14:paraId="3FA01B65" w14:textId="77777777" w:rsidR="009D42F1" w:rsidRDefault="00890EF2">
      <w:r>
        <w:t xml:space="preserve">Convención de variables. Para responder al campo VI–VD de la consigna se identifica X: gestión del cumplimiento, y Y: preparación administrativa del expediente. En la ficha de esta actividad VI se emplea sólo como rótulo de X y VD como rótulo de Y; no se atribuyen causa y efecto. Hernández Sampieri et al. (2014, pp. 109–111) reservan la interpretación independiente/causal y dependiente/efecto para hipótesis causales; Price et al. (2015) también </w:t>
      </w:r>
      <w:r>
        <w:lastRenderedPageBreak/>
        <w:t>distinguen medición no experimental y causalidad. En el análisis se usarán X e Y y no se interpretará X como variable manipulada.</w:t>
      </w:r>
    </w:p>
    <w:p w14:paraId="7C47BD97" w14:textId="77777777" w:rsidR="009D42F1" w:rsidRDefault="00890EF2">
      <w:r>
        <w:t>La unidad de análisis es el proyecto vTaxi; los componentes del expediente y las observaciones son unidades de registro internas, no empresas independientes. Se compararán controles y calidad documental en cortes compatibles, sin tratar versiones del mismo documento como nuevos casos. No se calcularán coeficientes, valores p ni niveles de significación: no se ha previsto una prueba inferencial. La ausencia de variación o de datos evaluables impide contrastar, no confirma HG. Cualquier incorporación posterio</w:t>
      </w:r>
      <w:r>
        <w:t>r de un análisis estadístico requeriría justificar previamente diseño, registros suficientes y supuestos; no se presupone en esta tarea.</w:t>
      </w:r>
    </w:p>
    <w:p w14:paraId="67414A21" w14:textId="77777777" w:rsidR="004E4A6D" w:rsidRDefault="007807B0">
      <w:pPr>
        <w:pStyle w:val="Ttulo2"/>
      </w:pPr>
      <w:bookmarkStart w:id="18" w:name="_Toc242807307"/>
      <w:r>
        <w:t>5.4 Criterios de calidad y contraste documental</w:t>
      </w:r>
      <w:bookmarkEnd w:id="18"/>
    </w:p>
    <w:p w14:paraId="4EC5D2FE" w14:textId="77777777" w:rsidR="009D42F1" w:rsidRDefault="00890EF2">
      <w:r>
        <w:t>Reglas observables de X e Y. Por componente, X se describirá mediante tres controles comprobables: responsable efectivamente designado, revisión de aplicabilidad fechada y seguimiento documentado; el perfil contará de cero a tres presencias sólo si los tres controles son evaluables. No verificable no se recodifica como ausencia ni entra en ese perfil. Y se observará por separado: proporción de contenidos exigibles presentes, concordancia de cada contenido con el requisito y proporción de observaciones cerra</w:t>
      </w:r>
      <w:r>
        <w:t>das con evidencia aceptable. Se reportarán los indicadores individualmente, sin sumar porcentajes o inventar ponderaciones. Integridad será contenidos exigibles presentes entre contenidos exigibles evaluables; cierre será observaciones cerradas respaldadas entre observaciones evaluables. Con denominador cero se anotará no calculable. La falta de observaciones no prueba integridad. Antes del cotejo se fijarán aplicabilidad y criterios de aceptación; sólo después se examinará si perfiles con más controles coi</w:t>
      </w:r>
      <w:r>
        <w:t>nciden con mejores resultados documentales comparables.</w:t>
      </w:r>
    </w:p>
    <w:p w14:paraId="163C2F8B" w14:textId="77777777" w:rsidR="004E4A6D" w:rsidRDefault="007807B0">
      <w:r>
        <w:t xml:space="preserve">Claridad. Se diferencian gestión (acciones y registros de control) y preparación (calidad de los documentos resultantes). Se utilizará una ficha por componente con identificador, requisito aplicable, fuente, documento revisado, fecha, versión y limitaciones de acceso. La </w:t>
      </w:r>
      <w:r>
        <w:lastRenderedPageBreak/>
        <w:t>clasificación previa de taxis concesionados, SETIAP/ERT y capacitación evita atribuir requisitos de otra modalidad a vTaxi.</w:t>
      </w:r>
    </w:p>
    <w:p w14:paraId="1DF8B619" w14:textId="77777777" w:rsidR="004E4A6D" w:rsidRDefault="007807B0">
      <w:r>
        <w:t>Verificabilidad de la VI. Registrar por separado: responsable documentado (sí/no/no verificable); revisión de aplicabilidad con fuente y fecha (sí/no/no verificable); y seguimiento de acciones u observaciones mediante registro fechado (sí/no/no verificable). Distinguir responsable efectivamente designado de responsable sólo propuesto. La cobertura de cada control será el número de componentes con presencia comprobada dividido entre componentes evaluables; reportar numerador, denominador y casos no verificables. No confundir una recomendación con control ejecutado.</w:t>
      </w:r>
    </w:p>
    <w:p w14:paraId="696EA550" w14:textId="77777777" w:rsidR="004E4A6D" w:rsidRDefault="007807B0">
      <w:r>
        <w:t>Verificabilidad de la VD. Una lista distinta registrará integridad de los contenidos exigibles y concordancia del documento con el requisito aplicable, sin puntuar como preparación la mera existencia de responsable o bitácora. Cada observación se clasificará abierta, cerrada con evidencia aceptable o no verificable. La proporción de cierre será observaciones con cierre respaldado entre observaciones evaluables en el mismo corte; informar los conteos. Ausencia de observaciones registradas no equivale a expediente completo ni se divide entre cero.</w:t>
      </w:r>
    </w:p>
    <w:p w14:paraId="54C8CBCC" w14:textId="77777777" w:rsidR="004E4A6D" w:rsidRDefault="007807B0">
      <w:r>
        <w:t>Separación y revisión. Los criterios de aceptabilidad documental se fijarán antes de comparar VI y VD, con fundamento y alcance por requisito. Cuando sea viable, una segunda revisión documentará acuerdos y discrepancias; no se afirma validación experta ya realizada. Una fuente inaccesible se registra no verificable, no incumplida. Comparar sólo componentes con exigencias y cortes compatibles; las versiones repetidas del mismo documento no cuentan como casos independientes.</w:t>
      </w:r>
    </w:p>
    <w:p w14:paraId="363F33DE" w14:textId="77777777" w:rsidR="004E4A6D" w:rsidRDefault="007807B0">
      <w:r>
        <w:t xml:space="preserve">Contraste de HG. En una matriz por componente se cotejarán los controles observados con integridad y coherencia documental en el mismo corte. Se buscará el patrón de mejor preparación cuando existen más controles documentados y se revisarán casos contrarios: controles presentes con expediente incompleto, o documentos adecuados sin controles </w:t>
      </w:r>
      <w:r>
        <w:lastRenderedPageBreak/>
        <w:t>registrados. Tales casos pueden debilitar o acotar la hipótesis. Si no hay variación, acceso suficiente o criterios comparables, el resultado será no contrastable con la evidencia disponible, no hipótesis confirmada.</w:t>
      </w:r>
    </w:p>
    <w:p w14:paraId="31B58E90" w14:textId="77777777" w:rsidR="004E4A6D" w:rsidRDefault="007807B0">
      <w:r>
        <w:t>Contraste de HE1. Por observación se examinarán designación documentada, seguimiento fechado y evidencia de cierre. Se distinguirá el registro de acciones de la corrección verificable del documento. Se atenderán explicaciones alternativas: complejidad del requisito, disponibilidad de información y etapa de elaboración. La correspondencia observada no prueba que los controles hayan causado el cierre. Las relaciones se describirán sólo dentro del caso y con sus limitaciones.</w:t>
      </w:r>
    </w:p>
    <w:p w14:paraId="1D2AE5A8" w14:textId="77777777" w:rsidR="004E4A6D" w:rsidRDefault="007807B0">
      <w:r>
        <w:t>Pertinencia y consistencia. Las hipótesis responden al problema y objetivos sin sustituirlos ni ampliar el estudio a todas las plataformas. Su interés pertenece a la LGAC Gestión e Innovación de las Organizaciones: procedimientos, responsables, documentos, controles e indicadores. El Círculo de Covey conserva problema y objetivo general en Importante/No urgente; no se agrega la hipótesis al esquema. La clasificación establece una prioridad de planeación, no una prueba de la relación propuesta.</w:t>
      </w:r>
    </w:p>
    <w:p w14:paraId="11B9327B" w14:textId="77777777" w:rsidR="004E4A6D" w:rsidRDefault="007807B0">
      <w:r>
        <w:t>Estado de evidencia. Se formulan hipótesis para orientar el estudio, no resultados. Los borradores y fuentes disponibles permiten preparar la revisión inicial, pero no se cuenta aquí con mediciones completas, entrevistas realizadas, controles implementados ni cierres verificados. El acceso adicional requerirá autorización; no se fabricarán registros ni se tratará la falta de datos como confirmación. Los alcances y procedimientos detallados se desarrollarán en sus apartados posteriores sin anticipar su ejecución.</w:t>
      </w:r>
    </w:p>
    <w:p w14:paraId="08D24100" w14:textId="77777777" w:rsidR="00B55F17" w:rsidRDefault="00CF4059">
      <w:pPr>
        <w:pStyle w:val="Ttulo1"/>
        <w:spacing w:before="120" w:after="80"/>
      </w:pPr>
      <w:bookmarkStart w:id="19" w:name="_Toc242807308"/>
      <w:r>
        <w:lastRenderedPageBreak/>
        <w:t>6 Alcances y limitaciones</w:t>
      </w:r>
      <w:bookmarkEnd w:id="19"/>
    </w:p>
    <w:p w14:paraId="051445D7" w14:textId="77777777" w:rsidR="00B55F17" w:rsidRDefault="00CF4059">
      <w:pPr>
        <w:pStyle w:val="Ttulo2"/>
        <w:spacing w:before="240" w:after="80"/>
      </w:pPr>
      <w:bookmarkStart w:id="20" w:name="_Toc242807309"/>
      <w:r>
        <w:t>6.1 Alcances</w:t>
      </w:r>
      <w:bookmarkEnd w:id="20"/>
    </w:p>
    <w:p w14:paraId="75C7FC5A" w14:textId="77777777" w:rsidR="00B55F17" w:rsidRDefault="00CF4059">
      <w:pPr>
        <w:pStyle w:val="Ttulo2"/>
        <w:spacing w:before="240" w:after="80"/>
      </w:pPr>
      <w:bookmarkStart w:id="21" w:name="_Toc242807310"/>
      <w:r>
        <w:t>6.2 Limitaciones</w:t>
      </w:r>
      <w:bookmarkEnd w:id="21"/>
    </w:p>
    <w:p w14:paraId="14291231" w14:textId="77777777" w:rsidR="00B55F17" w:rsidRDefault="00CF4059">
      <w:pPr>
        <w:pStyle w:val="Ttulo1"/>
        <w:spacing w:before="120" w:after="80"/>
      </w:pPr>
      <w:bookmarkStart w:id="22" w:name="_Toc242807311"/>
      <w:r>
        <w:t>7 Marco teórico</w:t>
      </w:r>
      <w:bookmarkEnd w:id="22"/>
    </w:p>
    <w:p w14:paraId="06ABA145" w14:textId="77777777" w:rsidR="00B55F17" w:rsidRDefault="00CF4059">
      <w:pPr>
        <w:pStyle w:val="Ttulo1"/>
        <w:spacing w:before="120" w:after="80"/>
      </w:pPr>
      <w:bookmarkStart w:id="23" w:name="_Toc242807312"/>
      <w:r>
        <w:t>8 Métodos o procedimientos</w:t>
      </w:r>
      <w:bookmarkEnd w:id="23"/>
    </w:p>
    <w:p w14:paraId="015681C7" w14:textId="77777777" w:rsidR="00B55F17" w:rsidRDefault="00CF4059">
      <w:pPr>
        <w:pStyle w:val="Ttulo1"/>
        <w:keepNext w:val="0"/>
        <w:spacing w:before="120" w:after="80"/>
      </w:pPr>
      <w:bookmarkStart w:id="24" w:name="_Toc242807313"/>
      <w:r>
        <w:t>9 Cronograma de actividades</w:t>
      </w:r>
      <w:bookmarkEnd w:id="24"/>
    </w:p>
    <w:p w14:paraId="6EBD5B20" w14:textId="77777777" w:rsidR="00B55F17" w:rsidRDefault="00CF4059">
      <w:pPr>
        <w:pStyle w:val="Ttulo1"/>
        <w:pageBreakBefore/>
        <w:spacing w:before="120" w:after="80"/>
      </w:pPr>
      <w:bookmarkStart w:id="25" w:name="_Toc242807314"/>
      <w:r>
        <w:lastRenderedPageBreak/>
        <w:t>Referencias</w:t>
      </w:r>
      <w:bookmarkEnd w:id="25"/>
    </w:p>
    <w:p w14:paraId="715DBE6E" w14:textId="77777777" w:rsidR="00B55F17" w:rsidRDefault="00CF4059">
      <w:pPr>
        <w:keepLines/>
        <w:ind w:left="720" w:hanging="720"/>
      </w:pPr>
      <w:r>
        <w:t xml:space="preserve">Cadden, T., Weerawardena, J., Cao, G., Duan, Y., &amp; McIvor, R. (2023). Examining the role of big data and marketing analytics in SMEs innovation and competitive advantage: A knowledge integration perspective. </w:t>
      </w:r>
      <w:r>
        <w:rPr>
          <w:i/>
        </w:rPr>
        <w:t>Journal of Business Research, 168</w:t>
      </w:r>
      <w:r>
        <w:t>, 114225. https://doi.org/10.1016/j.jbusres.2023.114225</w:t>
      </w:r>
    </w:p>
    <w:p w14:paraId="345F653E" w14:textId="77777777" w:rsidR="00B55F17" w:rsidRDefault="00CF4059">
      <w:pPr>
        <w:keepLines/>
        <w:ind w:left="720" w:hanging="720"/>
      </w:pPr>
      <w:r>
        <w:t xml:space="preserve">H. Congreso del Estado de Nuevo León. (2026). </w:t>
      </w:r>
      <w:r>
        <w:rPr>
          <w:i/>
        </w:rPr>
        <w:t>Ley de Movilidad Sostenible, de Accesibilidad y Seguridad Vial para el Estado de Nuevo León</w:t>
      </w:r>
      <w:r>
        <w:t xml:space="preserve"> (última reforma publicada el 22 de mayo de 2026; arts. 82, 83, 99 y 100). https://www.hcnl.gob.mx/trabajo_legislativo/leyes/leyes/ley_de_movilidad_sostenible_y_accesibilidad_para_el_estado_de_nuevo_leon/</w:t>
      </w:r>
    </w:p>
    <w:p w14:paraId="4ABBC8ED" w14:textId="77777777" w:rsidR="009D42F1" w:rsidRDefault="00890EF2">
      <w:pPr>
        <w:keepLines/>
        <w:ind w:left="720" w:hanging="720"/>
      </w:pPr>
      <w:r>
        <w:t>Hernández Sampieri, R., Fernández Collado, C., &amp; Baptista Lucio, M. del P. (2014). Metodología de la investigación (6.ª ed.). McGraw-Hill Education.</w:t>
      </w:r>
    </w:p>
    <w:p w14:paraId="2117F7ED" w14:textId="77777777" w:rsidR="00B55F17" w:rsidRDefault="00CF4059">
      <w:pPr>
        <w:keepLines/>
        <w:ind w:left="720" w:hanging="720"/>
      </w:pPr>
      <w:r>
        <w:t xml:space="preserve">Instituto de Capacitación y Educación para el Trabajo del Estado de Nuevo León. (s. f.). </w:t>
      </w:r>
      <w:r>
        <w:rPr>
          <w:i/>
        </w:rPr>
        <w:t>ICET</w:t>
      </w:r>
      <w:r>
        <w:t>. Recuperado el 27 de septiembre de 2026, de https://icetnl.mx/</w:t>
      </w:r>
    </w:p>
    <w:p w14:paraId="2F8F120B" w14:textId="77777777" w:rsidR="00B8658C" w:rsidRDefault="00395729">
      <w:pPr>
        <w:ind w:left="720" w:hanging="720"/>
      </w:pPr>
      <w:r>
        <w:t xml:space="preserve">Instituto Tecnológico Superior de Cajeme. (s. f.-a). </w:t>
      </w:r>
      <w:r>
        <w:rPr>
          <w:i/>
        </w:rPr>
        <w:t>Formulación de objetivos general y específicos</w:t>
      </w:r>
      <w:r>
        <w:t xml:space="preserve"> [Material didáctico de Seminario I, Unidad 3, apartado 3.3]. https://cursos3.e-itesca.edu.mx/mod/resource/view.php?id=2897</w:t>
      </w:r>
    </w:p>
    <w:p w14:paraId="1EB40CC2" w14:textId="77777777" w:rsidR="00B55F17" w:rsidRDefault="00CF4059">
      <w:pPr>
        <w:keepLines/>
        <w:ind w:left="720" w:hanging="720"/>
      </w:pPr>
      <w:r>
        <w:t xml:space="preserve">Instituto Tecnológico Superior de Cajeme. (s. f.-b). </w:t>
      </w:r>
      <w:r>
        <w:rPr>
          <w:i/>
        </w:rPr>
        <w:t>Introducción al uso de la matriz de consistencia y el círculo de Covey</w:t>
      </w:r>
      <w:r>
        <w:t xml:space="preserve"> [Material didáctico de Seminario I, pp. 4–6]. https://cursos3.e-itesca.edu.mx/mod/assign/view.php?id=2887</w:t>
      </w:r>
    </w:p>
    <w:p w14:paraId="7C5A435E" w14:textId="77777777" w:rsidR="00526E6F" w:rsidRDefault="008A3FBF">
      <w:pPr>
        <w:keepLines/>
        <w:ind w:left="720" w:hanging="720"/>
      </w:pPr>
      <w:r>
        <w:t>Instituto Tecnológico Superior de Cajeme. (s. f.-c). Justificación [Material didáctico de Seminario I, Unidad 3, apartado 3.4]. https://cursos3.e-itesca.edu.mx/mod/assign/view.php?id=2911</w:t>
      </w:r>
    </w:p>
    <w:p w14:paraId="2DD765A2" w14:textId="77777777" w:rsidR="00B55F17" w:rsidRDefault="00CF4059">
      <w:pPr>
        <w:keepLines/>
        <w:ind w:left="720" w:hanging="720"/>
      </w:pPr>
      <w:r>
        <w:lastRenderedPageBreak/>
        <w:t xml:space="preserve">Kraus, S., Jones, P., Kailer, N., Weinmann, A., Chaparro-Banegas, N., &amp; Roig-Tierno, N. (2021). Digital transformation: An overview of the current state of the art of research. </w:t>
      </w:r>
      <w:r>
        <w:rPr>
          <w:i/>
        </w:rPr>
        <w:t>SAGE Open, 11</w:t>
      </w:r>
      <w:r>
        <w:t>(3). https://doi.org/10.1177/21582440211047576</w:t>
      </w:r>
    </w:p>
    <w:p>
      <w:pPr>
        <w:keepLines/>
        <w:ind w:left="720" w:hanging="720"/>
      </w:pPr>
      <w:r/>
      <w:r>
        <w:t xml:space="preserve">Lamas Flores, M. S., &amp; Acosta Reveles, I. L. (2025). El cabildeo mediático y en redes sociales como freno a la regulación de plataformas digitales de transporte y reparto en México. </w:t>
      </w:r>
      <w:r>
        <w:rPr>
          <w:i/>
        </w:rPr>
        <w:t>Cuadernos del Ciesal, 2</w:t>
      </w:r>
      <w:r>
        <w:t>(24), 1–28. https://doi.org/10.35305/cc.v2i24.174</w:t>
      </w:r>
    </w:p>
    <w:p w14:paraId="3B62D4B0" w14:textId="77777777" w:rsidR="00B55F17" w:rsidRDefault="00CF4059">
      <w:pPr>
        <w:keepLines/>
        <w:ind w:left="720" w:hanging="720"/>
      </w:pPr>
      <w:r>
        <w:t xml:space="preserve">Melo, I. C., Queiroz, G. A., Alves Junior, P. N., de Sousa, T. B., Yushimito, W. F., &amp; Pereira, J. (2023). Sustainable digital transformation in small and medium enterprises (SMEs): A review on performance. </w:t>
      </w:r>
      <w:r>
        <w:rPr>
          <w:i/>
        </w:rPr>
        <w:t>Heliyon, 9</w:t>
      </w:r>
      <w:r>
        <w:t>(3), e13908. https://doi.org/10.1016/j.heliyon.2023.e13908</w:t>
      </w:r>
    </w:p>
    <w:p w14:paraId="59863FCC" w14:textId="77777777" w:rsidR="00B55F17" w:rsidRDefault="00CF4059">
      <w:pPr>
        <w:keepLines/>
        <w:ind w:left="720" w:hanging="720"/>
      </w:pPr>
      <w:r>
        <w:t xml:space="preserve">Merín-Rodrigáñez, J., Dasí, À., &amp; Alegre, J. (2024). Digital transformation and firm performance in innovative SMEs: The mediating role of business model innovation. </w:t>
      </w:r>
      <w:r>
        <w:rPr>
          <w:i/>
        </w:rPr>
        <w:t>Technovation, 134</w:t>
      </w:r>
      <w:r>
        <w:t>, 103027. https://doi.org/10.1016/j.technovation.2024.103027</w:t>
      </w:r>
    </w:p>
    <w:p w14:paraId="0E4A697A" w14:textId="77777777" w:rsidR="009D42F1" w:rsidRDefault="00890EF2">
      <w:pPr>
        <w:keepLines/>
        <w:ind w:left="720" w:hanging="720"/>
      </w:pPr>
      <w:r>
        <w:t>OECD. (2018). OECD regulatory enforcement and inspections toolkit. OECD Publishing. https://doi.org/10.1787/9789264303959-en</w:t>
      </w:r>
    </w:p>
    <w:p w14:paraId="57BD242B" w14:textId="77777777" w:rsidR="00B55F17" w:rsidRDefault="00CF4059">
      <w:pPr>
        <w:keepLines/>
        <w:ind w:left="720" w:hanging="720"/>
      </w:pPr>
      <w:r>
        <w:t xml:space="preserve">Omrani, N., Rejeb, N., Maalaoui, A., Dabić, M., &amp; Kraus, S. (2024). Drivers of digital transformation in SMEs. </w:t>
      </w:r>
      <w:r>
        <w:rPr>
          <w:i/>
        </w:rPr>
        <w:t>IEEE Transactions on Engineering Management, 71</w:t>
      </w:r>
      <w:r>
        <w:t>, 5030–5043. https://doi.org/10.1109/TEM.2022.3215727</w:t>
      </w:r>
    </w:p>
    <w:p w14:paraId="0E215DF7" w14:textId="77777777" w:rsidR="00B8658C" w:rsidRDefault="00395729">
      <w:pPr>
        <w:ind w:left="720" w:hanging="720"/>
      </w:pPr>
      <w:r>
        <w:t xml:space="preserve">Parker, C., &amp; Nielsen, V. L. (2009). </w:t>
      </w:r>
      <w:r>
        <w:rPr>
          <w:i/>
        </w:rPr>
        <w:t>Corporate compliance systems: Could they make any difference?</w:t>
      </w:r>
      <w:r>
        <w:t xml:space="preserve"> Administration &amp; Society, 41(1), 3–37. https://doi.org/10.1177/0095399708328869</w:t>
      </w:r>
    </w:p>
    <w:p w14:paraId="311E8620" w14:textId="77777777" w:rsidR="004E4A6D" w:rsidRDefault="007807B0">
      <w:pPr>
        <w:keepLines/>
        <w:ind w:left="720" w:hanging="720"/>
      </w:pPr>
      <w:r>
        <w:t>Price, P. C., Jhangiani, R. S., &amp; Chiang, I.-C. A. (2015). Research methods in psychology (2nd Canadian ed.). BCcampus. https://opentextbc.ca/researchmethods/chapter/correlational-research/</w:t>
      </w:r>
    </w:p>
    <w:p w14:paraId="7B0C58B5" w14:textId="77777777" w:rsidR="00B55F17" w:rsidRDefault="00CF4059">
      <w:pPr>
        <w:keepLines/>
        <w:ind w:left="720" w:hanging="720"/>
      </w:pPr>
      <w:r>
        <w:t xml:space="preserve">Ramírez-Solís, E. R., Llonch-Andreu, J., &amp; Malpica-Romero, A. D. (2022). Relational capital and strategic orientations as antecedents of innovation: Evidence from Mexican SMEs. </w:t>
      </w:r>
      <w:r>
        <w:rPr>
          <w:i/>
        </w:rPr>
        <w:t>Journal of Innovation and Entrepreneurship, 11</w:t>
      </w:r>
      <w:r>
        <w:t>, Artículo 35. https://doi.org/10.1186/s13731-022-00235-2</w:t>
      </w:r>
    </w:p>
    <w:p w14:paraId="23B404DA" w14:textId="77777777" w:rsidR="00B55F17" w:rsidRDefault="00CF4059">
      <w:pPr>
        <w:keepLines/>
        <w:ind w:left="720" w:hanging="720"/>
      </w:pPr>
      <w:r>
        <w:lastRenderedPageBreak/>
        <w:t xml:space="preserve">Rodríguez-Espíndola, O., Cuevas-Romo, A., Chowdhury, S., Díaz-Acevedo, N., Albores, P., Despoudi, S., Malesios, C., &amp; Dey, P. K. (2022). The role of circular economy principles and sustainable-oriented innovation to enhance social, economic and environmental performance: Evidence from Mexican SMEs. </w:t>
      </w:r>
      <w:r>
        <w:rPr>
          <w:i/>
        </w:rPr>
        <w:t>International Journal of Production Economics, 248</w:t>
      </w:r>
      <w:r>
        <w:t>, 108495. https://doi.org/10.1016/j.ijpe.2022.108495</w:t>
      </w:r>
    </w:p>
    <w:p w14:paraId="4C2AE4A7" w14:textId="77777777" w:rsidR="00B55F17" w:rsidRDefault="00CF4059">
      <w:pPr>
        <w:keepLines/>
        <w:ind w:left="720" w:hanging="720"/>
      </w:pPr>
      <w:r>
        <w:t xml:space="preserve">Teng, X., Wu, Z., &amp; Yang, F. (2022). Research on the relationship between digital transformation and performance of SMEs. </w:t>
      </w:r>
      <w:r>
        <w:rPr>
          <w:i/>
        </w:rPr>
        <w:t>Sustainability, 14</w:t>
      </w:r>
      <w:r>
        <w:t>(10), 6012. https://doi.org/10.3390/su14106012</w:t>
      </w:r>
    </w:p>
    <w:p w14:paraId="2492C31F" w14:textId="77777777" w:rsidR="00B8658C" w:rsidRDefault="00395729">
      <w:pPr>
        <w:ind w:left="720" w:hanging="720"/>
      </w:pPr>
      <w:r>
        <w:t xml:space="preserve">Thelen, K. (2018). </w:t>
      </w:r>
      <w:r>
        <w:rPr>
          <w:i/>
        </w:rPr>
        <w:t>Regulating Uber: The politics of the platform economy in Europe and the United States</w:t>
      </w:r>
      <w:r>
        <w:t>. Perspectives on Politics, 16(4), 938–953. https://doi.org/10.1017/S1537592718001081</w:t>
      </w:r>
    </w:p>
    <w:p w14:paraId="2D5437AE" w14:textId="77777777" w:rsidR="00B55F17" w:rsidRDefault="00CF4059">
      <w:pPr>
        <w:keepNext/>
        <w:keepLines/>
        <w:ind w:left="720" w:hanging="720"/>
      </w:pPr>
      <w:r>
        <w:t xml:space="preserve">Troise, C., Corvello, V., Ghobadian, A., &amp; O'Regan, N. (2022). How can SMEs successfully navigate VUCA environment: The role of agility in the digital transformation era. </w:t>
      </w:r>
      <w:r>
        <w:rPr>
          <w:i/>
        </w:rPr>
        <w:t>Technological Forecasting and Social Change, 174</w:t>
      </w:r>
      <w:r>
        <w:t>, 121227. https://doi.org/10.1016/j.techfore.2021.121227</w:t>
      </w:r>
    </w:p>
    <w:p w14:paraId="12E8E9A0" w14:textId="77777777" w:rsidR="00B55F17" w:rsidRDefault="00CF4059">
      <w:pPr>
        <w:keepNext/>
        <w:keepLines/>
        <w:ind w:left="720" w:hanging="720"/>
      </w:pPr>
      <w:r>
        <w:t xml:space="preserve">Valdez-Juárez, L. E., Ramos-Escobar, E. A., Hernández-Ponce, O. E., &amp; Ruiz-Zamora, J. A. (2024). Digital transformation and innovation, dynamic capabilities to strengthen the financial performance of Mexican SMEs: A sustainable approach. </w:t>
      </w:r>
      <w:r>
        <w:rPr>
          <w:i/>
        </w:rPr>
        <w:t>Cogent Business &amp; Management, 11</w:t>
      </w:r>
      <w:r>
        <w:t>(1), 2318635. https://doi.org/10.1080/23311975.2024.2318635</w:t>
      </w:r>
    </w:p>
    <w:p w14:paraId="0C5769AF" w14:textId="77777777" w:rsidR="00B55F17" w:rsidRDefault="00CF4059">
      <w:pPr>
        <w:keepLines/>
        <w:ind w:left="720" w:hanging="720"/>
      </w:pPr>
      <w:r>
        <w:t xml:space="preserve">vTaxi. (2026). </w:t>
      </w:r>
      <w:r>
        <w:rPr>
          <w:i/>
        </w:rPr>
        <w:t>Documentación interna del proyecto vTaxi</w:t>
      </w:r>
      <w:r>
        <w:t xml:space="preserve"> [README, arquitectura, ficha técnica y borradores regulatorios; corte documental del 27 de septiembre de 2026].</w:t>
      </w:r>
    </w:p>
    <w:p w14:paraId="107E07CA" w14:textId="77777777" w:rsidR="00890E97" w:rsidRDefault="00296D41">
      <w:pPr>
        <w:ind w:left="720" w:hanging="720"/>
      </w:pPr>
      <w:r>
        <w:t>Instituto Nacional de Estadística y Geografía. (2024). Censos Económicos 2024. https://www.inegi.org.mx/programas/ce/2024/</w:t>
      </w:r>
    </w:p>
    <w:p w14:paraId="4DFD801D" w14:textId="77777777" w:rsidR="00890E97" w:rsidRDefault="00296D41">
      <w:pPr>
        <w:ind w:left="720" w:hanging="720"/>
      </w:pPr>
      <w:r>
        <w:t>Instituto Nacional de Estadística y Geografía. (2020). Censo de Población y Vivienda 2020. https://www.inegi.org.mx/programas/ccpv/2020/</w:t>
      </w:r>
    </w:p>
    <w:p w14:paraId="1128A710" w14:textId="77777777" w:rsidR="00B8658C" w:rsidRDefault="00395729">
      <w:pPr>
        <w:pStyle w:val="Ttulo1"/>
        <w:pageBreakBefore/>
      </w:pPr>
      <w:bookmarkStart w:id="26" w:name="_Toc242807315"/>
      <w:r>
        <w:lastRenderedPageBreak/>
        <w:t>Anexo 1 Matriz de consistencia</w:t>
      </w:r>
      <w:bookmarkEnd w:id="2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3096"/>
        <w:gridCol w:w="3096"/>
      </w:tblGrid>
      <w:tr w:rsidR="00B8658C" w14:paraId="1573865B" w14:textId="77777777">
        <w:trPr>
          <w:cantSplit/>
          <w:tblHeader/>
          <w:jc w:val="center"/>
        </w:trPr>
        <w:tc>
          <w:tcPr>
            <w:tcW w:w="3168" w:type="dxa"/>
            <w:shd w:val="clear" w:color="auto" w:fill="E7EDF2"/>
            <w:tcMar>
              <w:top w:w="100" w:type="dxa"/>
              <w:left w:w="100" w:type="dxa"/>
              <w:bottom w:w="100" w:type="dxa"/>
              <w:right w:w="100" w:type="dxa"/>
            </w:tcMar>
            <w:vAlign w:val="center"/>
          </w:tcPr>
          <w:p w14:paraId="5F9DD213" w14:textId="77777777" w:rsidR="00B8658C" w:rsidRDefault="00395729">
            <w:pPr>
              <w:spacing w:after="60" w:line="252" w:lineRule="auto"/>
              <w:ind w:firstLine="0"/>
            </w:pPr>
            <w:r>
              <w:rPr>
                <w:b/>
                <w:sz w:val="20"/>
              </w:rPr>
              <w:t>Tema y problema general</w:t>
            </w:r>
          </w:p>
        </w:tc>
        <w:tc>
          <w:tcPr>
            <w:tcW w:w="3096" w:type="dxa"/>
            <w:shd w:val="clear" w:color="auto" w:fill="E7EDF2"/>
            <w:tcMar>
              <w:top w:w="100" w:type="dxa"/>
              <w:left w:w="100" w:type="dxa"/>
              <w:bottom w:w="100" w:type="dxa"/>
              <w:right w:w="100" w:type="dxa"/>
            </w:tcMar>
            <w:vAlign w:val="center"/>
          </w:tcPr>
          <w:p w14:paraId="449104C2" w14:textId="77777777" w:rsidR="00B8658C" w:rsidRDefault="00395729">
            <w:pPr>
              <w:spacing w:after="60" w:line="252" w:lineRule="auto"/>
              <w:ind w:firstLine="0"/>
            </w:pPr>
            <w:r>
              <w:rPr>
                <w:b/>
                <w:sz w:val="20"/>
              </w:rPr>
              <w:t>Pregunta general</w:t>
            </w:r>
          </w:p>
        </w:tc>
        <w:tc>
          <w:tcPr>
            <w:tcW w:w="3096" w:type="dxa"/>
            <w:shd w:val="clear" w:color="auto" w:fill="E7EDF2"/>
            <w:tcMar>
              <w:top w:w="100" w:type="dxa"/>
              <w:left w:w="100" w:type="dxa"/>
              <w:bottom w:w="100" w:type="dxa"/>
              <w:right w:w="100" w:type="dxa"/>
            </w:tcMar>
            <w:vAlign w:val="center"/>
          </w:tcPr>
          <w:p w14:paraId="0A7068DC" w14:textId="77777777" w:rsidR="00B8658C" w:rsidRDefault="00395729">
            <w:pPr>
              <w:spacing w:after="60" w:line="252" w:lineRule="auto"/>
              <w:ind w:firstLine="0"/>
            </w:pPr>
            <w:r>
              <w:rPr>
                <w:b/>
                <w:sz w:val="20"/>
              </w:rPr>
              <w:t>Objetivo general</w:t>
            </w:r>
          </w:p>
        </w:tc>
      </w:tr>
      <w:tr w:rsidR="00B8658C" w14:paraId="53B86767" w14:textId="77777777">
        <w:trPr>
          <w:cantSplit/>
          <w:jc w:val="center"/>
        </w:trPr>
        <w:tc>
          <w:tcPr>
            <w:tcW w:w="3168" w:type="dxa"/>
            <w:tcMar>
              <w:top w:w="100" w:type="dxa"/>
              <w:left w:w="100" w:type="dxa"/>
              <w:bottom w:w="100" w:type="dxa"/>
              <w:right w:w="100" w:type="dxa"/>
            </w:tcMar>
            <w:vAlign w:val="center"/>
          </w:tcPr>
          <w:p w14:paraId="0BF62103" w14:textId="77777777" w:rsidR="00B8658C" w:rsidRDefault="00395729">
            <w:pPr>
              <w:spacing w:after="60" w:line="252" w:lineRule="auto"/>
              <w:ind w:firstLine="0"/>
            </w:pPr>
            <w:r>
              <w:rPr>
                <w:sz w:val="20"/>
              </w:rPr>
              <w:t>Gestión del cumplimiento normativo para formalizar vTaxi como plataforma de taxis en Monterrey, Nuevo León</w:t>
            </w:r>
            <w:r>
              <w:rPr>
                <w:sz w:val="20"/>
              </w:rPr>
              <w:br/>
            </w:r>
            <w:r>
              <w:rPr>
                <w:sz w:val="20"/>
              </w:rPr>
              <w:br/>
              <w:t>Los borradores regulatorios de vTaxi no acreditan una ruta validada de requisitos, responsables y evidencias para su formalización como plataforma de taxis concesionados en Monterrey, Nuevo León.</w:t>
            </w:r>
          </w:p>
        </w:tc>
        <w:tc>
          <w:tcPr>
            <w:tcW w:w="3096" w:type="dxa"/>
            <w:tcMar>
              <w:top w:w="100" w:type="dxa"/>
              <w:left w:w="100" w:type="dxa"/>
              <w:bottom w:w="100" w:type="dxa"/>
              <w:right w:w="100" w:type="dxa"/>
            </w:tcMar>
            <w:vAlign w:val="center"/>
          </w:tcPr>
          <w:p w14:paraId="7C5D1C4B" w14:textId="77777777" w:rsidR="00B8658C" w:rsidRDefault="00395729">
            <w:pPr>
              <w:spacing w:after="60" w:line="252" w:lineRule="auto"/>
              <w:ind w:firstLine="0"/>
            </w:pPr>
            <w:r>
              <w:rPr>
                <w:sz w:val="20"/>
              </w:rPr>
              <w:t>¿Cómo se relaciona el nivel de gestión del cumplimiento normativo con el grado de preparación administrativa de vTaxi para su formalización como plataforma de taxis concesionados en Monterrey, Nuevo León durante septiembre a noviembre de 2026?</w:t>
            </w:r>
          </w:p>
        </w:tc>
        <w:tc>
          <w:tcPr>
            <w:tcW w:w="3096" w:type="dxa"/>
            <w:tcMar>
              <w:top w:w="100" w:type="dxa"/>
              <w:left w:w="100" w:type="dxa"/>
              <w:bottom w:w="100" w:type="dxa"/>
              <w:right w:w="100" w:type="dxa"/>
            </w:tcMar>
            <w:vAlign w:val="center"/>
          </w:tcPr>
          <w:p w14:paraId="1B136FE5" w14:textId="77777777" w:rsidR="00B8658C" w:rsidRDefault="00395729">
            <w:pPr>
              <w:spacing w:after="60" w:line="252" w:lineRule="auto"/>
              <w:ind w:firstLine="0"/>
            </w:pPr>
            <w:r>
              <w:rPr>
                <w:sz w:val="20"/>
              </w:rPr>
              <w:t>Analizar la relación entre el nivel de gestión del cumplimiento normativo y el grado de preparación administrativa de vTaxi para su formalización como plataforma de taxis concesionados en Monterrey, Nuevo León durante septiembre a noviembre de 2026, mediante el contraste documental de requisitos, responsabilidades y evidencias del proyecto.</w:t>
            </w:r>
          </w:p>
        </w:tc>
      </w:tr>
      <w:tr w:rsidR="004E4A6D" w14:paraId="5FA27E2C" w14:textId="77777777">
        <w:trPr>
          <w:jc w:val="center"/>
        </w:trPr>
        <w:tc>
          <w:tcPr>
            <w:tcW w:w="9360" w:type="dxa"/>
            <w:gridSpan w:val="3"/>
          </w:tcPr>
          <w:p w14:paraId="6463B1A2" w14:textId="77777777" w:rsidR="004E4A6D" w:rsidRDefault="007807B0">
            <w:r>
              <w:t>Hipótesis general (HG)</w:t>
            </w:r>
            <w:r>
              <w:br/>
              <w:t>En los componentes documentales aplicables al proyecto vTaxi como plataforma de taxis concesionados en Monterrey, Nuevo León durante septiembre a noviembre de 2026, un mayor nivel de gestión del cumplimiento normativo se relaciona con un mayor grado de preparación administrativa del expediente, expresado en documentos completos y coherentes con los requisitos aplicables y en observaciones internas atendidas con respaldo verificable.</w:t>
            </w:r>
          </w:p>
        </w:tc>
      </w:tr>
    </w:tbl>
    <w:p w14:paraId="77CF5485" w14:textId="77777777" w:rsidR="00B8658C" w:rsidRDefault="00395729">
      <w:pPr>
        <w:pStyle w:val="Ttulo2"/>
        <w:pageBreakBefore/>
      </w:pPr>
      <w:bookmarkStart w:id="27" w:name="_Toc242807316"/>
      <w:r>
        <w:lastRenderedPageBreak/>
        <w:t>Correspondencia de preguntas y objetivos específicos</w:t>
      </w:r>
      <w:bookmarkEnd w:id="2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28"/>
        <w:gridCol w:w="5832"/>
      </w:tblGrid>
      <w:tr w:rsidR="00B8658C" w14:paraId="66EE0840" w14:textId="77777777">
        <w:trPr>
          <w:cantSplit/>
          <w:tblHeader/>
          <w:jc w:val="center"/>
        </w:trPr>
        <w:tc>
          <w:tcPr>
            <w:tcW w:w="3528" w:type="dxa"/>
            <w:shd w:val="clear" w:color="auto" w:fill="E7EDF2"/>
            <w:tcMar>
              <w:top w:w="100" w:type="dxa"/>
              <w:left w:w="100" w:type="dxa"/>
              <w:bottom w:w="100" w:type="dxa"/>
              <w:right w:w="100" w:type="dxa"/>
            </w:tcMar>
            <w:vAlign w:val="center"/>
          </w:tcPr>
          <w:p w14:paraId="67EA59CA" w14:textId="77777777" w:rsidR="00B8658C" w:rsidRDefault="00395729">
            <w:pPr>
              <w:spacing w:after="60" w:line="252" w:lineRule="auto"/>
              <w:ind w:firstLine="0"/>
            </w:pPr>
            <w:r>
              <w:rPr>
                <w:b/>
                <w:sz w:val="20"/>
              </w:rPr>
              <w:t>Pregunta específica</w:t>
            </w:r>
          </w:p>
        </w:tc>
        <w:tc>
          <w:tcPr>
            <w:tcW w:w="5832" w:type="dxa"/>
            <w:shd w:val="clear" w:color="auto" w:fill="E7EDF2"/>
            <w:tcMar>
              <w:top w:w="100" w:type="dxa"/>
              <w:left w:w="100" w:type="dxa"/>
              <w:bottom w:w="100" w:type="dxa"/>
              <w:right w:w="100" w:type="dxa"/>
            </w:tcMar>
            <w:vAlign w:val="center"/>
          </w:tcPr>
          <w:p w14:paraId="248394BE" w14:textId="77777777" w:rsidR="00B8658C" w:rsidRDefault="00395729">
            <w:pPr>
              <w:spacing w:after="60" w:line="252" w:lineRule="auto"/>
              <w:ind w:firstLine="0"/>
            </w:pPr>
            <w:r>
              <w:rPr>
                <w:b/>
                <w:sz w:val="20"/>
              </w:rPr>
              <w:t>Objetivo, procedimiento y producto</w:t>
            </w:r>
          </w:p>
        </w:tc>
      </w:tr>
      <w:tr w:rsidR="00B8658C" w14:paraId="0BB63E61" w14:textId="77777777">
        <w:trPr>
          <w:cantSplit/>
          <w:jc w:val="center"/>
        </w:trPr>
        <w:tc>
          <w:tcPr>
            <w:tcW w:w="3528" w:type="dxa"/>
            <w:tcMar>
              <w:top w:w="100" w:type="dxa"/>
              <w:left w:w="100" w:type="dxa"/>
              <w:bottom w:w="100" w:type="dxa"/>
              <w:right w:w="100" w:type="dxa"/>
            </w:tcMar>
            <w:vAlign w:val="center"/>
          </w:tcPr>
          <w:p w14:paraId="54BF672D" w14:textId="77777777" w:rsidR="00B8658C" w:rsidRDefault="00395729">
            <w:pPr>
              <w:spacing w:after="60" w:line="252" w:lineRule="auto"/>
              <w:ind w:firstLine="0"/>
            </w:pPr>
            <w:r>
              <w:rPr>
                <w:sz w:val="20"/>
              </w:rPr>
              <w:t>1. ¿Qué requisitos y competencias institucionales corresponden al modelo de taxis concesionados de vTaxi y cuáles pertenecen a la modalidad de transporte privado mediante empresas de redes de transporte?</w:t>
            </w:r>
          </w:p>
        </w:tc>
        <w:tc>
          <w:tcPr>
            <w:tcW w:w="5832" w:type="dxa"/>
            <w:tcMar>
              <w:top w:w="100" w:type="dxa"/>
              <w:left w:w="100" w:type="dxa"/>
              <w:bottom w:w="100" w:type="dxa"/>
              <w:right w:w="100" w:type="dxa"/>
            </w:tcMar>
            <w:vAlign w:val="center"/>
          </w:tcPr>
          <w:p w14:paraId="4DE600B7" w14:textId="77777777" w:rsidR="00B8658C" w:rsidRDefault="00395729">
            <w:pPr>
              <w:spacing w:after="60" w:line="252" w:lineRule="auto"/>
              <w:ind w:firstLine="0"/>
            </w:pPr>
            <w:r>
              <w:rPr>
                <w:sz w:val="20"/>
              </w:rPr>
              <w:t>Objetivo 1</w:t>
            </w:r>
            <w:r>
              <w:rPr>
                <w:sz w:val="20"/>
              </w:rPr>
              <w:br/>
              <w:t>Identificar y clasificar los requisitos y las competencias institucionales aplicables al modelo de taxis concesionados de vTaxi, vinculándolos con los procesos y las responsabilidades administrativas del proyecto y distinguiéndolos de la modalidad de transporte privado mediante empresas de redes de transporte.</w:t>
            </w:r>
            <w:r>
              <w:rPr>
                <w:sz w:val="20"/>
              </w:rPr>
              <w:br/>
            </w:r>
            <w:r>
              <w:rPr>
                <w:sz w:val="20"/>
              </w:rPr>
              <w:br/>
              <w:t>Procedimiento</w:t>
            </w:r>
            <w:r>
              <w:rPr>
                <w:sz w:val="20"/>
              </w:rPr>
              <w:br/>
              <w:t>Contrastar el modelo de servicio con las fuentes aplicables y asociar cada obligación con el proceso interno que deberá atenderla. Identificar responsabilidades y evidencias esperadas; separar requisitos confirmados, recomendaciones y cuestiones que requieren aclaración.</w:t>
            </w:r>
            <w:r>
              <w:rPr>
                <w:sz w:val="20"/>
              </w:rPr>
              <w:br/>
            </w:r>
            <w:r>
              <w:rPr>
                <w:sz w:val="20"/>
              </w:rPr>
              <w:br/>
              <w:t>Producto verificable</w:t>
            </w:r>
            <w:r>
              <w:rPr>
                <w:sz w:val="20"/>
              </w:rPr>
              <w:br/>
              <w:t>Catálogo administrativo que relacione cada requisito aplicable con proceso, responsable documentado o por asignar, fuente y evidencia necesaria. La modalidad y competencia institucional se usarán para fundamentar su pertinencia, no para sustituir el análisis de gestión.</w:t>
            </w:r>
          </w:p>
        </w:tc>
      </w:tr>
      <w:tr w:rsidR="00B8658C" w14:paraId="67A975B5" w14:textId="77777777">
        <w:trPr>
          <w:cantSplit/>
          <w:jc w:val="center"/>
        </w:trPr>
        <w:tc>
          <w:tcPr>
            <w:tcW w:w="3528" w:type="dxa"/>
            <w:tcMar>
              <w:top w:w="100" w:type="dxa"/>
              <w:left w:w="100" w:type="dxa"/>
              <w:bottom w:w="100" w:type="dxa"/>
              <w:right w:w="100" w:type="dxa"/>
            </w:tcMar>
            <w:vAlign w:val="center"/>
          </w:tcPr>
          <w:p w14:paraId="6983D72B" w14:textId="77777777" w:rsidR="00B8658C" w:rsidRDefault="00395729">
            <w:pPr>
              <w:spacing w:after="60" w:line="252" w:lineRule="auto"/>
              <w:ind w:firstLine="0"/>
            </w:pPr>
            <w:r>
              <w:rPr>
                <w:sz w:val="20"/>
              </w:rPr>
              <w:t>2. ¿Qué diferencias existen entre los requisitos aplicables y las evidencias jurídicas, técnicas y operativas disponibles en los borradores del proyecto?</w:t>
            </w:r>
          </w:p>
        </w:tc>
        <w:tc>
          <w:tcPr>
            <w:tcW w:w="5832" w:type="dxa"/>
            <w:tcMar>
              <w:top w:w="100" w:type="dxa"/>
              <w:left w:w="100" w:type="dxa"/>
              <w:bottom w:w="100" w:type="dxa"/>
              <w:right w:w="100" w:type="dxa"/>
            </w:tcMar>
            <w:vAlign w:val="center"/>
          </w:tcPr>
          <w:p w14:paraId="01E274DA" w14:textId="77777777" w:rsidR="00B8658C" w:rsidRDefault="00395729">
            <w:pPr>
              <w:spacing w:after="60" w:line="252" w:lineRule="auto"/>
              <w:ind w:firstLine="0"/>
            </w:pPr>
            <w:r>
              <w:rPr>
                <w:sz w:val="20"/>
              </w:rPr>
              <w:t>Objetivo 2</w:t>
            </w:r>
            <w:r>
              <w:rPr>
                <w:sz w:val="20"/>
              </w:rPr>
              <w:br/>
              <w:t>Diagnosticar las brechas de organización y gestión documental entre los requisitos aplicables y las evidencias disponibles de vTaxi, considerando la asignación de responsabilidades, los controles de seguimiento y la integridad y coherencia del expediente.</w:t>
            </w:r>
            <w:r>
              <w:rPr>
                <w:sz w:val="20"/>
              </w:rPr>
              <w:br/>
            </w:r>
            <w:r>
              <w:rPr>
                <w:sz w:val="20"/>
              </w:rPr>
              <w:br/>
              <w:t>Procedimiento</w:t>
            </w:r>
            <w:r>
              <w:rPr>
                <w:sz w:val="20"/>
              </w:rPr>
              <w:br/>
              <w:t>Cotejar documentos y registros internos para detectar brechas en distribución de tareas, procedimientos y seguimiento, además de inconsistencias del expediente. Distinguir prácticas documentadas de propuestas futuras; no tratar ejemplos internos como hechos comprobados.</w:t>
            </w:r>
            <w:r>
              <w:rPr>
                <w:sz w:val="20"/>
              </w:rPr>
              <w:br/>
            </w:r>
            <w:r>
              <w:rPr>
                <w:sz w:val="20"/>
              </w:rPr>
              <w:br/>
              <w:t>Producto verificable</w:t>
            </w:r>
            <w:r>
              <w:rPr>
                <w:sz w:val="20"/>
              </w:rPr>
              <w:br/>
              <w:t>Diagnóstico de brechas en responsabilidades, procedimientos, control y documentación, con hallazgo y respaldo identificable. La ausencia de información se registrará como falta de evidencia, no como incumplimiento jurídico acreditado.</w:t>
            </w:r>
          </w:p>
        </w:tc>
      </w:tr>
      <w:tr w:rsidR="00B8658C" w14:paraId="048D8297" w14:textId="77777777">
        <w:trPr>
          <w:cantSplit/>
          <w:jc w:val="center"/>
        </w:trPr>
        <w:tc>
          <w:tcPr>
            <w:tcW w:w="3528" w:type="dxa"/>
            <w:tcMar>
              <w:top w:w="100" w:type="dxa"/>
              <w:left w:w="100" w:type="dxa"/>
              <w:bottom w:w="100" w:type="dxa"/>
              <w:right w:w="100" w:type="dxa"/>
            </w:tcMar>
            <w:vAlign w:val="center"/>
          </w:tcPr>
          <w:p w14:paraId="6B158888" w14:textId="77777777" w:rsidR="00B8658C" w:rsidRDefault="00395729">
            <w:pPr>
              <w:spacing w:after="60" w:line="252" w:lineRule="auto"/>
              <w:ind w:firstLine="0"/>
            </w:pPr>
            <w:r>
              <w:rPr>
                <w:sz w:val="20"/>
              </w:rPr>
              <w:lastRenderedPageBreak/>
              <w:t>3. ¿Cómo se vinculan la asignación de responsables, la verificación de requisitos y el seguimiento documental con la integridad del expediente y la resolución de observaciones internas?</w:t>
            </w:r>
          </w:p>
        </w:tc>
        <w:tc>
          <w:tcPr>
            <w:tcW w:w="5832" w:type="dxa"/>
            <w:tcMar>
              <w:top w:w="100" w:type="dxa"/>
              <w:left w:w="100" w:type="dxa"/>
              <w:bottom w:w="100" w:type="dxa"/>
              <w:right w:w="100" w:type="dxa"/>
            </w:tcMar>
            <w:vAlign w:val="center"/>
          </w:tcPr>
          <w:p w14:paraId="3423A9D7" w14:textId="77777777" w:rsidR="00B8658C" w:rsidRDefault="00395729">
            <w:pPr>
              <w:spacing w:after="60" w:line="252" w:lineRule="auto"/>
              <w:ind w:firstLine="0"/>
            </w:pPr>
            <w:r>
              <w:rPr>
                <w:sz w:val="20"/>
              </w:rPr>
              <w:t>Objetivo 3</w:t>
            </w:r>
            <w:r>
              <w:rPr>
                <w:sz w:val="20"/>
              </w:rPr>
              <w:br/>
              <w:t>Examinar la correspondencia entre la asignación de responsables, la verificación de requisitos y el seguimiento documental, por una parte, y la integridad del expediente y la resolución de observaciones internas, por otra, mediante una revisión trazable de los componentes del caso.</w:t>
            </w:r>
            <w:r>
              <w:rPr>
                <w:sz w:val="20"/>
              </w:rPr>
              <w:br/>
            </w:r>
            <w:r>
              <w:rPr>
                <w:sz w:val="20"/>
              </w:rPr>
              <w:br/>
              <w:t>Procedimiento</w:t>
            </w:r>
            <w:r>
              <w:rPr>
                <w:sz w:val="20"/>
              </w:rPr>
              <w:br/>
              <w:t>Comparar controles de asignación y seguimiento con evidencias y observaciones del expediente. Registrar numeradores, denominadores y soportes de los indicadores propuestos cuando existan datos; interpretar correspondencias dentro del caso, sin inferir causalidad.</w:t>
            </w:r>
            <w:r>
              <w:rPr>
                <w:sz w:val="20"/>
              </w:rPr>
              <w:br/>
            </w:r>
            <w:r>
              <w:rPr>
                <w:sz w:val="20"/>
              </w:rPr>
              <w:br/>
              <w:t>Producto verificable</w:t>
            </w:r>
            <w:r>
              <w:rPr>
                <w:sz w:val="20"/>
              </w:rPr>
              <w:br/>
              <w:t>Matriz de controles y evidencias con cobertura de responsabilidades, trazabilidad documental y cierre de observaciones como indicadores propuestos. Cada registro conservará su soporte; no se reportarán mediciones inexistentes ni efectos causales.</w:t>
            </w:r>
          </w:p>
          <w:p w14:paraId="57376E40" w14:textId="77777777" w:rsidR="004E4A6D" w:rsidRDefault="007807B0">
            <w:r>
              <w:t>Hipótesis específica (HE1)</w:t>
            </w:r>
            <w:r>
              <w:br/>
              <w:t>En los componentes del expediente de vTaxi, la asignación documentada de responsables y el seguimiento de observaciones se relacionan con una mayor proporción de observaciones internas cerradas mediante evidencia documental aceptable en la revisión del caso.</w:t>
            </w:r>
          </w:p>
        </w:tc>
      </w:tr>
      <w:tr w:rsidR="00B8658C" w14:paraId="2BD63177" w14:textId="77777777">
        <w:trPr>
          <w:cantSplit/>
          <w:jc w:val="center"/>
        </w:trPr>
        <w:tc>
          <w:tcPr>
            <w:tcW w:w="3528" w:type="dxa"/>
            <w:tcMar>
              <w:top w:w="100" w:type="dxa"/>
              <w:left w:w="100" w:type="dxa"/>
              <w:bottom w:w="100" w:type="dxa"/>
              <w:right w:w="100" w:type="dxa"/>
            </w:tcMar>
            <w:vAlign w:val="center"/>
          </w:tcPr>
          <w:p w14:paraId="43D79F91" w14:textId="77777777" w:rsidR="00B8658C" w:rsidRDefault="00395729">
            <w:pPr>
              <w:spacing w:after="60" w:line="252" w:lineRule="auto"/>
              <w:ind w:firstLine="0"/>
            </w:pPr>
            <w:r>
              <w:rPr>
                <w:sz w:val="20"/>
              </w:rPr>
              <w:lastRenderedPageBreak/>
              <w:t>4. ¿Qué acciones de gestión deben priorizarse para fortalecer la preparación del expediente de vTaxi sin confundir capacitación de conductores con autorización de la plataforma?</w:t>
            </w:r>
          </w:p>
        </w:tc>
        <w:tc>
          <w:tcPr>
            <w:tcW w:w="5832" w:type="dxa"/>
            <w:tcMar>
              <w:top w:w="100" w:type="dxa"/>
              <w:left w:w="100" w:type="dxa"/>
              <w:bottom w:w="100" w:type="dxa"/>
              <w:right w:w="100" w:type="dxa"/>
            </w:tcMar>
            <w:vAlign w:val="center"/>
          </w:tcPr>
          <w:p w14:paraId="421146CE" w14:textId="77777777" w:rsidR="00B8658C" w:rsidRDefault="00395729">
            <w:pPr>
              <w:spacing w:after="60" w:line="252" w:lineRule="auto"/>
              <w:ind w:firstLine="0"/>
            </w:pPr>
            <w:r>
              <w:rPr>
                <w:sz w:val="20"/>
              </w:rPr>
              <w:t>Objetivo 4</w:t>
            </w:r>
            <w:r>
              <w:rPr>
                <w:sz w:val="20"/>
              </w:rPr>
              <w:br/>
              <w:t>Proponer una ruta priorizada de gestión para fortalecer la preparación administrativa del expediente de vTaxi, con acciones, responsables propuestos y evidencias de atención, diferenciando la capacitación de conductores de la autorización de la plataforma.</w:t>
            </w:r>
            <w:r>
              <w:rPr>
                <w:sz w:val="20"/>
              </w:rPr>
              <w:br/>
            </w:r>
            <w:r>
              <w:rPr>
                <w:sz w:val="20"/>
              </w:rPr>
              <w:br/>
              <w:t>Procedimiento</w:t>
            </w:r>
            <w:r>
              <w:rPr>
                <w:sz w:val="20"/>
              </w:rPr>
              <w:br/>
              <w:t>Ordenar las brechas identificadas por fundamento y dependencia administrativa. Proponer acciones y responsables funcionales, señalando la evidencia necesaria para cerrar cada observación y distinguiendo formación de conductores, concesiones y autorización de la plataforma.</w:t>
            </w:r>
            <w:r>
              <w:rPr>
                <w:sz w:val="20"/>
              </w:rPr>
              <w:br/>
            </w:r>
            <w:r>
              <w:rPr>
                <w:sz w:val="20"/>
              </w:rPr>
              <w:br/>
              <w:t>Producto verificable</w:t>
            </w:r>
            <w:r>
              <w:rPr>
                <w:sz w:val="20"/>
              </w:rPr>
              <w:br/>
              <w:t>Ruta priorizada de atención con acción, responsable propuesto, dependencia y criterio documental de cierre. Las prioridades se justificarán por pertinencia normativa y secuencia de integración; no representarán compromisos aceptados ni autorización de la plataforma.</w:t>
            </w:r>
          </w:p>
        </w:tc>
      </w:tr>
    </w:tbl>
    <w:p w14:paraId="533479E5" w14:textId="77777777" w:rsidR="00B8658C" w:rsidRDefault="00395729">
      <w:pPr>
        <w:pStyle w:val="Ttulo1"/>
        <w:pageBreakBefore/>
      </w:pPr>
      <w:bookmarkStart w:id="28" w:name="_Toc242807317"/>
      <w:r>
        <w:lastRenderedPageBreak/>
        <w:t>Anexo 2 Círculo de Covey</w:t>
      </w:r>
      <w:bookmarkEnd w:id="28"/>
    </w:p>
    <w:p w14:paraId="1F3533F7" w14:textId="77777777" w:rsidR="00B8658C" w:rsidRDefault="00395729">
      <w:pPr>
        <w:ind w:firstLine="0"/>
      </w:pPr>
      <w:r>
        <w:t>Problema general y objetivo general en el cuadrante Importante y No urgente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6264"/>
      </w:tblGrid>
      <w:tr w:rsidR="00B8658C" w14:paraId="272071B2" w14:textId="77777777">
        <w:trPr>
          <w:cantSplit/>
          <w:tblHeader/>
          <w:jc w:val="center"/>
        </w:trPr>
        <w:tc>
          <w:tcPr>
            <w:tcW w:w="3096" w:type="dxa"/>
            <w:shd w:val="clear" w:color="auto" w:fill="E7EDF2"/>
            <w:tcMar>
              <w:top w:w="100" w:type="dxa"/>
              <w:left w:w="100" w:type="dxa"/>
              <w:bottom w:w="100" w:type="dxa"/>
              <w:right w:w="100" w:type="dxa"/>
            </w:tcMar>
            <w:vAlign w:val="center"/>
          </w:tcPr>
          <w:p w14:paraId="5717422D" w14:textId="77777777" w:rsidR="00B8658C" w:rsidRDefault="00395729">
            <w:pPr>
              <w:spacing w:after="60" w:line="252" w:lineRule="auto"/>
              <w:ind w:firstLine="0"/>
            </w:pPr>
            <w:r>
              <w:rPr>
                <w:b/>
                <w:sz w:val="20"/>
              </w:rPr>
              <w:t>Urgente</w:t>
            </w:r>
          </w:p>
        </w:tc>
        <w:tc>
          <w:tcPr>
            <w:tcW w:w="6264" w:type="dxa"/>
            <w:shd w:val="clear" w:color="auto" w:fill="E7EDF2"/>
            <w:tcMar>
              <w:top w:w="100" w:type="dxa"/>
              <w:left w:w="100" w:type="dxa"/>
              <w:bottom w:w="100" w:type="dxa"/>
              <w:right w:w="100" w:type="dxa"/>
            </w:tcMar>
            <w:vAlign w:val="center"/>
          </w:tcPr>
          <w:p w14:paraId="3252A213" w14:textId="77777777" w:rsidR="00B8658C" w:rsidRDefault="00395729">
            <w:pPr>
              <w:spacing w:after="60" w:line="252" w:lineRule="auto"/>
              <w:ind w:firstLine="0"/>
            </w:pPr>
            <w:r>
              <w:rPr>
                <w:b/>
                <w:sz w:val="20"/>
              </w:rPr>
              <w:t>No urgente</w:t>
            </w:r>
          </w:p>
        </w:tc>
      </w:tr>
      <w:tr w:rsidR="00B8658C" w14:paraId="49C1521D" w14:textId="77777777">
        <w:trPr>
          <w:cantSplit/>
          <w:jc w:val="center"/>
        </w:trPr>
        <w:tc>
          <w:tcPr>
            <w:tcW w:w="3096" w:type="dxa"/>
            <w:tcMar>
              <w:top w:w="100" w:type="dxa"/>
              <w:left w:w="100" w:type="dxa"/>
              <w:bottom w:w="100" w:type="dxa"/>
              <w:right w:w="100" w:type="dxa"/>
            </w:tcMar>
            <w:vAlign w:val="center"/>
          </w:tcPr>
          <w:p w14:paraId="22B67562" w14:textId="77777777" w:rsidR="00B8658C" w:rsidRDefault="00395729">
            <w:pPr>
              <w:spacing w:after="60" w:line="252" w:lineRule="auto"/>
              <w:ind w:firstLine="0"/>
            </w:pPr>
            <w:r>
              <w:rPr>
                <w:sz w:val="20"/>
              </w:rPr>
              <w:t>I Importante</w:t>
            </w:r>
          </w:p>
        </w:tc>
        <w:tc>
          <w:tcPr>
            <w:tcW w:w="6264" w:type="dxa"/>
            <w:tcMar>
              <w:top w:w="100" w:type="dxa"/>
              <w:left w:w="100" w:type="dxa"/>
              <w:bottom w:w="100" w:type="dxa"/>
              <w:right w:w="100" w:type="dxa"/>
            </w:tcMar>
            <w:vAlign w:val="center"/>
          </w:tcPr>
          <w:p w14:paraId="4CC20186" w14:textId="77777777" w:rsidR="00B8658C" w:rsidRDefault="00395729">
            <w:pPr>
              <w:spacing w:after="60" w:line="252" w:lineRule="auto"/>
              <w:ind w:firstLine="0"/>
            </w:pPr>
            <w:r>
              <w:rPr>
                <w:sz w:val="20"/>
              </w:rPr>
              <w:t>II Importante</w:t>
            </w:r>
            <w:r>
              <w:rPr>
                <w:sz w:val="20"/>
              </w:rPr>
              <w:br/>
            </w:r>
            <w:r>
              <w:rPr>
                <w:sz w:val="20"/>
              </w:rPr>
              <w:br/>
              <w:t>Problema general</w:t>
            </w:r>
            <w:r>
              <w:rPr>
                <w:sz w:val="20"/>
              </w:rPr>
              <w:br/>
              <w:t>Los borradores regulatorios de vTaxi no acreditan una ruta validada de requisitos, responsables y evidencias para su formalización como plataforma de taxis concesionados en Monterrey, Nuevo León.</w:t>
            </w:r>
            <w:r>
              <w:rPr>
                <w:sz w:val="20"/>
              </w:rPr>
              <w:br/>
            </w:r>
            <w:r>
              <w:rPr>
                <w:sz w:val="20"/>
              </w:rPr>
              <w:br/>
              <w:t>Objetivo general</w:t>
            </w:r>
            <w:r>
              <w:rPr>
                <w:sz w:val="20"/>
              </w:rPr>
              <w:br/>
              <w:t>Analizar la relación entre el nivel de gestión del cumplimiento normativo y el grado de preparación administrativa de vTaxi para su formalización como plataforma de taxis concesionados en Monterrey, Nuevo León durante septiembre a noviembre de 2026, mediante el contraste documental de requisitos, responsabilidades y evidencias del proyecto.</w:t>
            </w:r>
          </w:p>
        </w:tc>
      </w:tr>
      <w:tr w:rsidR="00B8658C" w14:paraId="66CE2F0A" w14:textId="77777777">
        <w:trPr>
          <w:cantSplit/>
          <w:jc w:val="center"/>
        </w:trPr>
        <w:tc>
          <w:tcPr>
            <w:tcW w:w="3096" w:type="dxa"/>
            <w:tcMar>
              <w:top w:w="100" w:type="dxa"/>
              <w:left w:w="100" w:type="dxa"/>
              <w:bottom w:w="100" w:type="dxa"/>
              <w:right w:w="100" w:type="dxa"/>
            </w:tcMar>
            <w:vAlign w:val="center"/>
          </w:tcPr>
          <w:p w14:paraId="1877F39C" w14:textId="77777777" w:rsidR="00B8658C" w:rsidRDefault="00395729">
            <w:pPr>
              <w:spacing w:after="60" w:line="252" w:lineRule="auto"/>
              <w:ind w:firstLine="0"/>
            </w:pPr>
            <w:r>
              <w:rPr>
                <w:sz w:val="20"/>
              </w:rPr>
              <w:t>III No importante</w:t>
            </w:r>
          </w:p>
        </w:tc>
        <w:tc>
          <w:tcPr>
            <w:tcW w:w="6264" w:type="dxa"/>
            <w:tcMar>
              <w:top w:w="100" w:type="dxa"/>
              <w:left w:w="100" w:type="dxa"/>
              <w:bottom w:w="100" w:type="dxa"/>
              <w:right w:w="100" w:type="dxa"/>
            </w:tcMar>
            <w:vAlign w:val="center"/>
          </w:tcPr>
          <w:p w14:paraId="4CC96FAD" w14:textId="77777777" w:rsidR="00B8658C" w:rsidRDefault="00395729">
            <w:pPr>
              <w:spacing w:after="60" w:line="252" w:lineRule="auto"/>
              <w:ind w:firstLine="0"/>
            </w:pPr>
            <w:r>
              <w:rPr>
                <w:sz w:val="20"/>
              </w:rPr>
              <w:t>IV No importante</w:t>
            </w:r>
          </w:p>
        </w:tc>
      </w:tr>
    </w:tbl>
    <w:p w14:paraId="0EEF81C1" w14:textId="77777777" w:rsidR="00395729" w:rsidRDefault="00395729"/>
    <w:sectPr w:rsidR="00395729">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44031B" w14:textId="77777777" w:rsidR="00CF4059" w:rsidRDefault="00CF4059">
      <w:pPr>
        <w:spacing w:line="240" w:lineRule="auto"/>
      </w:pPr>
      <w:r>
        <w:separator/>
      </w:r>
    </w:p>
  </w:endnote>
  <w:endnote w:type="continuationSeparator" w:id="0">
    <w:p w14:paraId="249C6136" w14:textId="77777777" w:rsidR="00CF4059" w:rsidRDefault="00CF40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AR PL UMing CN">
    <w:panose1 w:val="00000000000000000000"/>
    <w:charset w:val="00"/>
    <w:family w:val="roman"/>
    <w:notTrueType/>
    <w:pitch w:val="default"/>
  </w:font>
  <w:font w:name="FreeSan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73DF2" w14:textId="77777777" w:rsidR="00B55F17" w:rsidRDefault="00B55F1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A1622" w14:textId="77777777" w:rsidR="00B55F17" w:rsidRDefault="00B55F1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A4188" w14:textId="77777777" w:rsidR="00B55F17" w:rsidRDefault="00B55F1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7F7948" w14:textId="77777777" w:rsidR="00CF4059" w:rsidRDefault="00CF4059">
      <w:pPr>
        <w:spacing w:line="240" w:lineRule="auto"/>
      </w:pPr>
      <w:r>
        <w:separator/>
      </w:r>
    </w:p>
  </w:footnote>
  <w:footnote w:type="continuationSeparator" w:id="0">
    <w:p w14:paraId="7B391BED" w14:textId="77777777" w:rsidR="00CF4059" w:rsidRDefault="00CF4059">
      <w:pPr>
        <w:spacing w:line="240" w:lineRule="auto"/>
      </w:pPr>
      <w:r>
        <w:continuationSeparator/>
      </w:r>
    </w:p>
  </w:footnote>
  <w:footnote w:id="1">
    <w:p w14:paraId="4A2E56EA" w14:textId="77777777" w:rsidR="00B8658C" w:rsidRDefault="00395729">
      <w:r>
        <w:footnoteRef/>
      </w:r>
      <w:r>
        <w:rPr>
          <w:sz w:val="18"/>
        </w:rPr>
        <w:t xml:space="preserve"> Se utilizó GitHub Copilot para revisar la coherencia de los objetivos previamente formulados, redactar apoyos metodológicos y preparar los documentos. La asistencia automatizada no acredita revisión o aprobación docente ni sustituye la valoración crítica y la revisión final del estudiante.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505C7" w14:textId="77777777" w:rsidR="00B55F17" w:rsidRDefault="00B55F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23A07" w14:textId="77777777" w:rsidR="00B55F17" w:rsidRDefault="00CF4059">
    <w:pPr>
      <w:pStyle w:val="APAsinsangra"/>
      <w:jc w:val="right"/>
    </w:pPr>
    <w:r>
      <w:fldChar w:fldCharType="begin"/>
    </w:r>
    <w:r>
      <w:instrText xml:space="preserve"> PAGE </w:instrText>
    </w:r>
    <w:r>
      <w:fldChar w:fldCharType="separate"/>
    </w:r>
    <w:r>
      <w:t>25</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65132" w14:textId="77777777" w:rsidR="00B55F17" w:rsidRDefault="00CF4059">
    <w:pPr>
      <w:pStyle w:val="APAsinsangra"/>
      <w:jc w:val="right"/>
    </w:pPr>
    <w:r>
      <w:fldChar w:fldCharType="begin"/>
    </w:r>
    <w:r>
      <w:instrText xml:space="preserve"> PAGE </w:instrText>
    </w:r>
    <w:r>
      <w:fldChar w:fldCharType="separate"/>
    </w:r>
    <w:r>
      <w:t>25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722122"/>
    <w:multiLevelType w:val="multilevel"/>
    <w:tmpl w:val="A690587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7B678A5"/>
    <w:multiLevelType w:val="multilevel"/>
    <w:tmpl w:val="68C85430"/>
    <w:lvl w:ilvl="0">
      <w:start w:val="1"/>
      <w:numFmt w:val="decimal"/>
      <w:pStyle w:val="APA7M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05728133">
    <w:abstractNumId w:val="1"/>
  </w:num>
  <w:num w:numId="2" w16cid:durableId="1449353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F17"/>
    <w:rsid w:val="000368C0"/>
    <w:rsid w:val="00296D41"/>
    <w:rsid w:val="003104C5"/>
    <w:rsid w:val="00395729"/>
    <w:rsid w:val="004B6D39"/>
    <w:rsid w:val="004E4A6D"/>
    <w:rsid w:val="00526E6F"/>
    <w:rsid w:val="005546B7"/>
    <w:rsid w:val="005D2F26"/>
    <w:rsid w:val="006F0C45"/>
    <w:rsid w:val="007807B0"/>
    <w:rsid w:val="00890E97"/>
    <w:rsid w:val="00890EF2"/>
    <w:rsid w:val="008A3FBF"/>
    <w:rsid w:val="009D42F1"/>
    <w:rsid w:val="00B55F17"/>
    <w:rsid w:val="00B8658C"/>
    <w:rsid w:val="00CC43CF"/>
    <w:rsid w:val="00CF4059"/>
    <w:rsid w:val="00EE521E"/>
    <w:rsid w:val="00F12628"/>
    <w:rsid w:val="00FA57BC"/>
  </w:rsids>
  <m:mathPr>
    <m:mathFont m:val="Cambria Math"/>
    <m:brkBin m:val="before"/>
    <m:brkBinSub m:val="--"/>
    <m:smallFrac m:val="0"/>
    <m:dispDef/>
    <m:lMargin m:val="0"/>
    <m:rMargin m:val="0"/>
    <m:defJc m:val="centerGroup"/>
    <m:wrapIndent m:val="1440"/>
    <m:intLim m:val="subSup"/>
    <m:naryLim m:val="undOvr"/>
  </m:mathPr>
  <w:themeFontLang w:val="es-MX"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1D31A"/>
  <w15:docId w15:val="{4AA134B3-84AE-4DC7-96D2-BB920DA5B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bCs/>
        <w:kern w:val="2"/>
        <w:sz w:val="24"/>
        <w:szCs w:val="22"/>
        <w:lang w:val="es-MX"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2CD"/>
    <w:pPr>
      <w:spacing w:line="480" w:lineRule="auto"/>
      <w:ind w:firstLine="720"/>
    </w:pPr>
    <w:rPr>
      <w:bCs w:val="0"/>
      <w:color w:val="000000"/>
      <w:kern w:val="0"/>
      <w:sz w:val="22"/>
      <w14:ligatures w14:val="none"/>
    </w:rPr>
  </w:style>
  <w:style w:type="paragraph" w:styleId="Ttulo1">
    <w:name w:val="heading 1"/>
    <w:basedOn w:val="Normal"/>
    <w:next w:val="Normal"/>
    <w:link w:val="Ttulo1Car"/>
    <w:uiPriority w:val="9"/>
    <w:qFormat/>
    <w:rsid w:val="002802CD"/>
    <w:pPr>
      <w:keepNext/>
      <w:keepLines/>
      <w:ind w:firstLine="0"/>
      <w:jc w:val="center"/>
      <w:outlineLvl w:val="0"/>
    </w:pPr>
    <w:rPr>
      <w:b/>
      <w:bCs/>
      <w:kern w:val="2"/>
      <w:szCs w:val="40"/>
      <w14:ligatures w14:val="standardContextual"/>
    </w:rPr>
  </w:style>
  <w:style w:type="paragraph" w:styleId="Ttulo2">
    <w:name w:val="heading 2"/>
    <w:basedOn w:val="Normal"/>
    <w:next w:val="Normal"/>
    <w:link w:val="Ttulo2Car"/>
    <w:uiPriority w:val="9"/>
    <w:semiHidden/>
    <w:unhideWhenUsed/>
    <w:qFormat/>
    <w:rsid w:val="002802CD"/>
    <w:pPr>
      <w:keepNext/>
      <w:keepLines/>
      <w:ind w:firstLine="0"/>
      <w:outlineLvl w:val="1"/>
    </w:pPr>
    <w:rPr>
      <w:b/>
      <w:bCs/>
      <w:kern w:val="2"/>
      <w:szCs w:val="32"/>
      <w14:ligatures w14:val="standardContextual"/>
    </w:rPr>
  </w:style>
  <w:style w:type="paragraph" w:styleId="Ttulo3">
    <w:name w:val="heading 3"/>
    <w:basedOn w:val="Normal"/>
    <w:next w:val="Normal"/>
    <w:link w:val="Ttulo3Car"/>
    <w:uiPriority w:val="9"/>
    <w:semiHidden/>
    <w:unhideWhenUsed/>
    <w:qFormat/>
    <w:rsid w:val="002802CD"/>
    <w:pPr>
      <w:keepNext/>
      <w:keepLines/>
      <w:ind w:firstLine="0"/>
      <w:outlineLvl w:val="2"/>
    </w:pPr>
    <w:rPr>
      <w:b/>
      <w:bCs/>
      <w:i/>
      <w:kern w:val="2"/>
      <w:szCs w:val="28"/>
      <w14:ligatures w14:val="standardContextual"/>
    </w:rPr>
  </w:style>
  <w:style w:type="paragraph" w:styleId="Ttulo4">
    <w:name w:val="heading 4"/>
    <w:basedOn w:val="Normal"/>
    <w:next w:val="Normal"/>
    <w:link w:val="Ttulo4Car"/>
    <w:uiPriority w:val="9"/>
    <w:semiHidden/>
    <w:unhideWhenUsed/>
    <w:qFormat/>
    <w:rsid w:val="002802CD"/>
    <w:pPr>
      <w:keepLines/>
      <w:outlineLvl w:val="3"/>
    </w:pPr>
    <w:rPr>
      <w:b/>
      <w:bCs/>
      <w:iCs/>
      <w:kern w:val="2"/>
      <w14:ligatures w14:val="standardContextual"/>
    </w:rPr>
  </w:style>
  <w:style w:type="paragraph" w:styleId="Ttulo5">
    <w:name w:val="heading 5"/>
    <w:basedOn w:val="Normal"/>
    <w:next w:val="Normal"/>
    <w:link w:val="Ttulo5Car"/>
    <w:semiHidden/>
    <w:unhideWhenUsed/>
    <w:qFormat/>
    <w:rsid w:val="002802CD"/>
    <w:pPr>
      <w:keepNext/>
      <w:keepLines/>
      <w:spacing w:before="80" w:after="40" w:line="360" w:lineRule="auto"/>
      <w:jc w:val="both"/>
      <w:outlineLvl w:val="4"/>
    </w:pPr>
    <w:rPr>
      <w:bCs/>
      <w:kern w:val="2"/>
      <w14:ligatures w14:val="standardContextual"/>
    </w:rPr>
  </w:style>
  <w:style w:type="paragraph" w:styleId="Ttulo6">
    <w:name w:val="heading 6"/>
    <w:basedOn w:val="Normal"/>
    <w:next w:val="Normal"/>
    <w:link w:val="Ttulo6Car"/>
    <w:uiPriority w:val="9"/>
    <w:semiHidden/>
    <w:unhideWhenUsed/>
    <w:qFormat/>
    <w:rsid w:val="002802CD"/>
    <w:pPr>
      <w:keepNext/>
      <w:keepLines/>
      <w:spacing w:before="40" w:line="360" w:lineRule="auto"/>
      <w:jc w:val="both"/>
      <w:outlineLvl w:val="5"/>
    </w:pPr>
    <w:rPr>
      <w:bCs/>
      <w:i/>
      <w:iCs/>
      <w:kern w:val="2"/>
      <w14:ligatures w14:val="standardContextual"/>
    </w:rPr>
  </w:style>
  <w:style w:type="paragraph" w:styleId="Ttulo7">
    <w:name w:val="heading 7"/>
    <w:basedOn w:val="Normal"/>
    <w:next w:val="Normal"/>
    <w:link w:val="Ttulo7Car"/>
    <w:uiPriority w:val="9"/>
    <w:semiHidden/>
    <w:unhideWhenUsed/>
    <w:qFormat/>
    <w:rsid w:val="002802CD"/>
    <w:pPr>
      <w:keepNext/>
      <w:keepLines/>
      <w:spacing w:before="40" w:line="360" w:lineRule="auto"/>
      <w:jc w:val="both"/>
      <w:outlineLvl w:val="6"/>
    </w:pPr>
    <w:rPr>
      <w:bCs/>
      <w:kern w:val="2"/>
      <w14:ligatures w14:val="standardContextual"/>
    </w:rPr>
  </w:style>
  <w:style w:type="paragraph" w:styleId="Ttulo8">
    <w:name w:val="heading 8"/>
    <w:basedOn w:val="Normal"/>
    <w:next w:val="Normal"/>
    <w:link w:val="Ttulo8Car"/>
    <w:uiPriority w:val="9"/>
    <w:semiHidden/>
    <w:unhideWhenUsed/>
    <w:qFormat/>
    <w:rsid w:val="002802CD"/>
    <w:pPr>
      <w:keepNext/>
      <w:keepLines/>
      <w:spacing w:line="360" w:lineRule="auto"/>
      <w:jc w:val="both"/>
      <w:outlineLvl w:val="7"/>
    </w:pPr>
    <w:rPr>
      <w:bCs/>
      <w:i/>
      <w:iCs/>
      <w:kern w:val="2"/>
      <w14:ligatures w14:val="standardContextual"/>
    </w:rPr>
  </w:style>
  <w:style w:type="paragraph" w:styleId="Ttulo9">
    <w:name w:val="heading 9"/>
    <w:basedOn w:val="Normal"/>
    <w:next w:val="Normal"/>
    <w:link w:val="Ttulo9Car"/>
    <w:uiPriority w:val="9"/>
    <w:semiHidden/>
    <w:unhideWhenUsed/>
    <w:qFormat/>
    <w:rsid w:val="002802CD"/>
    <w:pPr>
      <w:keepNext/>
      <w:keepLines/>
      <w:spacing w:line="360" w:lineRule="auto"/>
      <w:jc w:val="both"/>
      <w:outlineLvl w:val="8"/>
    </w:pPr>
    <w:rPr>
      <w:bCs/>
      <w:kern w:val="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Car">
    <w:name w:val="Título Car"/>
    <w:basedOn w:val="Fuentedeprrafopredeter"/>
    <w:link w:val="Ttulo"/>
    <w:uiPriority w:val="10"/>
    <w:qFormat/>
    <w:rsid w:val="005235A1"/>
    <w:rPr>
      <w:rFonts w:ascii="Arial" w:eastAsia="Arial" w:hAnsi="Arial" w:cs="Arial"/>
      <w:b/>
      <w:color w:val="000000"/>
      <w:spacing w:val="-10"/>
      <w:kern w:val="2"/>
      <w:sz w:val="22"/>
      <w:szCs w:val="56"/>
    </w:rPr>
  </w:style>
  <w:style w:type="character" w:customStyle="1" w:styleId="PRUEBACar">
    <w:name w:val="PRUEBA Car"/>
    <w:basedOn w:val="Fuentedeprrafopredeter"/>
    <w:link w:val="PRUEBA"/>
    <w:qFormat/>
    <w:rsid w:val="00AD60AC"/>
    <w:rPr>
      <w:rFonts w:ascii="Arial" w:eastAsia="Arial" w:hAnsi="Arial" w:cs="Arial"/>
      <w:color w:val="000000"/>
      <w:spacing w:val="240"/>
      <w:sz w:val="22"/>
      <w:u w:val="single" w:color="FFFF00"/>
    </w:rPr>
  </w:style>
  <w:style w:type="character" w:customStyle="1" w:styleId="SEMINARIOITESCACar">
    <w:name w:val="SEMINARIO ITESCA Car"/>
    <w:basedOn w:val="Fuentedeprrafopredeter"/>
    <w:link w:val="SEMINARIOITESCA"/>
    <w:qFormat/>
    <w:rsid w:val="00D53BC2"/>
    <w:rPr>
      <w:rFonts w:ascii="Arial" w:eastAsia="Arial" w:hAnsi="Arial" w:cs="Arial"/>
      <w:color w:val="000000"/>
      <w:sz w:val="22"/>
    </w:rPr>
  </w:style>
  <w:style w:type="character" w:customStyle="1" w:styleId="APA7MACar">
    <w:name w:val="APA 7MA Car"/>
    <w:basedOn w:val="Fuentedeprrafopredeter"/>
    <w:link w:val="APA7MA"/>
    <w:qFormat/>
    <w:rsid w:val="00EE1282"/>
    <w:rPr>
      <w:rFonts w:ascii="Arial" w:eastAsia="Arial" w:hAnsi="Arial" w:cs="Arial"/>
      <w:b/>
      <w:color w:val="000000"/>
      <w:sz w:val="22"/>
    </w:rPr>
  </w:style>
  <w:style w:type="character" w:customStyle="1" w:styleId="Ttulo1Car">
    <w:name w:val="Título 1 Car"/>
    <w:basedOn w:val="Fuentedeprrafopredeter"/>
    <w:link w:val="Ttulo1"/>
    <w:uiPriority w:val="9"/>
    <w:qFormat/>
    <w:rsid w:val="002802CD"/>
    <w:rPr>
      <w:rFonts w:ascii="Arial" w:eastAsia="Arial" w:hAnsi="Arial" w:cs="Arial"/>
      <w:color w:val="000000"/>
      <w:sz w:val="22"/>
      <w:szCs w:val="40"/>
    </w:rPr>
  </w:style>
  <w:style w:type="character" w:customStyle="1" w:styleId="Ttulo2Car">
    <w:name w:val="Título 2 Car"/>
    <w:basedOn w:val="Fuentedeprrafopredeter"/>
    <w:link w:val="Ttulo2"/>
    <w:uiPriority w:val="9"/>
    <w:semiHidden/>
    <w:qFormat/>
    <w:rsid w:val="002802CD"/>
    <w:rPr>
      <w:rFonts w:ascii="Arial" w:eastAsia="Arial" w:hAnsi="Arial" w:cs="Arial"/>
      <w:color w:val="000000"/>
      <w:sz w:val="22"/>
      <w:szCs w:val="32"/>
    </w:rPr>
  </w:style>
  <w:style w:type="character" w:customStyle="1" w:styleId="Ttulo3Car">
    <w:name w:val="Título 3 Car"/>
    <w:basedOn w:val="Fuentedeprrafopredeter"/>
    <w:link w:val="Ttulo3"/>
    <w:uiPriority w:val="9"/>
    <w:semiHidden/>
    <w:qFormat/>
    <w:rsid w:val="002802CD"/>
    <w:rPr>
      <w:rFonts w:ascii="Arial" w:eastAsia="Arial" w:hAnsi="Arial" w:cs="Arial"/>
      <w:color w:val="000000"/>
      <w:sz w:val="22"/>
      <w:szCs w:val="28"/>
    </w:rPr>
  </w:style>
  <w:style w:type="character" w:customStyle="1" w:styleId="Ttulo4Car">
    <w:name w:val="Título 4 Car"/>
    <w:basedOn w:val="Fuentedeprrafopredeter"/>
    <w:link w:val="Ttulo4"/>
    <w:uiPriority w:val="9"/>
    <w:semiHidden/>
    <w:qFormat/>
    <w:rsid w:val="002802CD"/>
    <w:rPr>
      <w:rFonts w:ascii="Arial" w:eastAsia="Arial" w:hAnsi="Arial" w:cs="Arial"/>
      <w:i/>
      <w:iCs/>
      <w:color w:val="000000"/>
      <w:sz w:val="22"/>
    </w:rPr>
  </w:style>
  <w:style w:type="character" w:customStyle="1" w:styleId="Ttulo5Car">
    <w:name w:val="Título 5 Car"/>
    <w:basedOn w:val="Fuentedeprrafopredeter"/>
    <w:link w:val="Ttulo5"/>
    <w:semiHidden/>
    <w:qFormat/>
    <w:rsid w:val="002802CD"/>
    <w:rPr>
      <w:rFonts w:ascii="Arial" w:eastAsia="Arial" w:hAnsi="Arial" w:cs="Arial"/>
      <w:color w:val="000000"/>
      <w:sz w:val="22"/>
    </w:rPr>
  </w:style>
  <w:style w:type="character" w:customStyle="1" w:styleId="Ttulo6Car">
    <w:name w:val="Título 6 Car"/>
    <w:basedOn w:val="Fuentedeprrafopredeter"/>
    <w:link w:val="Ttulo6"/>
    <w:uiPriority w:val="9"/>
    <w:semiHidden/>
    <w:qFormat/>
    <w:rsid w:val="002802CD"/>
    <w:rPr>
      <w:rFonts w:ascii="Arial" w:eastAsia="Arial" w:hAnsi="Arial" w:cs="Arial"/>
      <w:i/>
      <w:iCs/>
      <w:color w:val="000000"/>
      <w:sz w:val="22"/>
    </w:rPr>
  </w:style>
  <w:style w:type="character" w:customStyle="1" w:styleId="Ttulo7Car">
    <w:name w:val="Título 7 Car"/>
    <w:basedOn w:val="Fuentedeprrafopredeter"/>
    <w:link w:val="Ttulo7"/>
    <w:uiPriority w:val="9"/>
    <w:semiHidden/>
    <w:qFormat/>
    <w:rsid w:val="002802CD"/>
    <w:rPr>
      <w:rFonts w:ascii="Arial" w:eastAsia="Arial" w:hAnsi="Arial" w:cs="Arial"/>
      <w:color w:val="000000"/>
      <w:sz w:val="22"/>
    </w:rPr>
  </w:style>
  <w:style w:type="character" w:customStyle="1" w:styleId="Ttulo8Car">
    <w:name w:val="Título 8 Car"/>
    <w:basedOn w:val="Fuentedeprrafopredeter"/>
    <w:link w:val="Ttulo8"/>
    <w:uiPriority w:val="9"/>
    <w:semiHidden/>
    <w:qFormat/>
    <w:rsid w:val="002802CD"/>
    <w:rPr>
      <w:rFonts w:ascii="Arial" w:eastAsia="Arial" w:hAnsi="Arial" w:cs="Arial"/>
      <w:i/>
      <w:iCs/>
      <w:color w:val="000000"/>
      <w:sz w:val="22"/>
    </w:rPr>
  </w:style>
  <w:style w:type="character" w:customStyle="1" w:styleId="Ttulo9Car">
    <w:name w:val="Título 9 Car"/>
    <w:basedOn w:val="Fuentedeprrafopredeter"/>
    <w:link w:val="Ttulo9"/>
    <w:uiPriority w:val="9"/>
    <w:semiHidden/>
    <w:qFormat/>
    <w:rsid w:val="002802CD"/>
    <w:rPr>
      <w:rFonts w:ascii="Arial" w:eastAsia="Arial" w:hAnsi="Arial" w:cs="Arial"/>
      <w:color w:val="000000"/>
      <w:sz w:val="22"/>
    </w:rPr>
  </w:style>
  <w:style w:type="character" w:customStyle="1" w:styleId="SubttuloCar">
    <w:name w:val="Subtítulo Car"/>
    <w:basedOn w:val="Fuentedeprrafopredeter"/>
    <w:link w:val="Subttulo"/>
    <w:uiPriority w:val="11"/>
    <w:qFormat/>
    <w:rsid w:val="002802CD"/>
    <w:rPr>
      <w:rFonts w:ascii="Arial" w:eastAsia="Arial" w:hAnsi="Arial" w:cs="Arial"/>
      <w:color w:val="000000"/>
      <w:spacing w:val="15"/>
      <w:sz w:val="22"/>
      <w:szCs w:val="28"/>
    </w:rPr>
  </w:style>
  <w:style w:type="character" w:customStyle="1" w:styleId="CitaCar">
    <w:name w:val="Cita Car"/>
    <w:basedOn w:val="Fuentedeprrafopredeter"/>
    <w:link w:val="Cita"/>
    <w:uiPriority w:val="29"/>
    <w:qFormat/>
    <w:rsid w:val="002802CD"/>
    <w:rPr>
      <w:rFonts w:ascii="Arial" w:eastAsia="Arial" w:hAnsi="Arial" w:cs="Arial"/>
      <w:i/>
      <w:iCs/>
      <w:color w:val="000000"/>
      <w:sz w:val="22"/>
    </w:rPr>
  </w:style>
  <w:style w:type="character" w:styleId="nfasisintenso">
    <w:name w:val="Intense Emphasis"/>
    <w:basedOn w:val="Fuentedeprrafopredeter"/>
    <w:uiPriority w:val="21"/>
    <w:qFormat/>
    <w:rsid w:val="002802CD"/>
    <w:rPr>
      <w:rFonts w:ascii="Arial" w:eastAsia="Arial" w:hAnsi="Arial" w:cs="Arial"/>
      <w:i/>
      <w:iCs/>
      <w:color w:val="000000"/>
      <w:sz w:val="22"/>
    </w:rPr>
  </w:style>
  <w:style w:type="character" w:customStyle="1" w:styleId="CitadestacadaCar">
    <w:name w:val="Cita destacada Car"/>
    <w:basedOn w:val="Fuentedeprrafopredeter"/>
    <w:link w:val="Citadestacada"/>
    <w:uiPriority w:val="30"/>
    <w:qFormat/>
    <w:rsid w:val="002802CD"/>
    <w:rPr>
      <w:rFonts w:ascii="Arial" w:eastAsia="Arial" w:hAnsi="Arial" w:cs="Arial"/>
      <w:i/>
      <w:iCs/>
      <w:color w:val="000000"/>
      <w:sz w:val="22"/>
    </w:rPr>
  </w:style>
  <w:style w:type="character" w:styleId="Referenciaintensa">
    <w:name w:val="Intense Reference"/>
    <w:basedOn w:val="Fuentedeprrafopredeter"/>
    <w:uiPriority w:val="32"/>
    <w:qFormat/>
    <w:rsid w:val="002802CD"/>
    <w:rPr>
      <w:rFonts w:ascii="Arial" w:eastAsia="Arial" w:hAnsi="Arial" w:cs="Arial"/>
      <w:b/>
      <w:bCs w:val="0"/>
      <w:smallCaps/>
      <w:color w:val="000000"/>
      <w:spacing w:val="5"/>
      <w:sz w:val="22"/>
    </w:rPr>
  </w:style>
  <w:style w:type="character" w:customStyle="1" w:styleId="EncabezadoCar">
    <w:name w:val="Encabezado Car"/>
    <w:basedOn w:val="Fuentedeprrafopredeter"/>
    <w:link w:val="Encabezado"/>
    <w:uiPriority w:val="99"/>
    <w:qFormat/>
    <w:rsid w:val="002802CD"/>
    <w:rPr>
      <w:rFonts w:ascii="Arial" w:eastAsia="Arial" w:hAnsi="Arial" w:cs="Arial"/>
      <w:bCs w:val="0"/>
      <w:color w:val="000000"/>
      <w:kern w:val="0"/>
      <w:sz w:val="22"/>
      <w14:ligatures w14:val="none"/>
    </w:rPr>
  </w:style>
  <w:style w:type="character" w:customStyle="1" w:styleId="PiedepginaCar">
    <w:name w:val="Pie de página Car"/>
    <w:basedOn w:val="Fuentedeprrafopredeter"/>
    <w:link w:val="Piedepgina"/>
    <w:uiPriority w:val="99"/>
    <w:qFormat/>
    <w:rsid w:val="002802CD"/>
    <w:rPr>
      <w:rFonts w:ascii="Arial" w:eastAsia="Arial" w:hAnsi="Arial" w:cs="Arial"/>
      <w:bCs w:val="0"/>
      <w:color w:val="000000"/>
      <w:kern w:val="0"/>
      <w:sz w:val="22"/>
      <w14:ligatures w14:val="none"/>
    </w:rPr>
  </w:style>
  <w:style w:type="character" w:styleId="Hipervnculo">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AR PL UMing CN"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tulo">
    <w:name w:val="Title"/>
    <w:basedOn w:val="Normal"/>
    <w:next w:val="Normal"/>
    <w:link w:val="TtuloCar"/>
    <w:uiPriority w:val="10"/>
    <w:qFormat/>
    <w:rsid w:val="005235A1"/>
    <w:pPr>
      <w:spacing w:after="80"/>
      <w:contextualSpacing/>
      <w:jc w:val="center"/>
    </w:pPr>
    <w:rPr>
      <w:b/>
      <w:bCs/>
      <w:spacing w:val="-10"/>
      <w:kern w:val="2"/>
      <w:szCs w:val="56"/>
      <w14:ligatures w14:val="standardContextual"/>
    </w:rPr>
  </w:style>
  <w:style w:type="paragraph" w:customStyle="1" w:styleId="PRUEBA">
    <w:name w:val="PRUEBA"/>
    <w:basedOn w:val="Normal"/>
    <w:link w:val="PRUEBACar"/>
    <w:qFormat/>
    <w:rsid w:val="00AD60AC"/>
    <w:pPr>
      <w:spacing w:after="120" w:line="360" w:lineRule="auto"/>
      <w:jc w:val="both"/>
    </w:pPr>
    <w:rPr>
      <w:bCs/>
      <w:spacing w:val="240"/>
      <w:kern w:val="2"/>
      <w:u w:val="single" w:color="FFFF00"/>
      <w14:ligatures w14:val="standardContextual"/>
    </w:rPr>
  </w:style>
  <w:style w:type="paragraph" w:customStyle="1" w:styleId="SEMINARIOITESCA">
    <w:name w:val="SEMINARIO ITESCA"/>
    <w:basedOn w:val="Normal"/>
    <w:link w:val="SEMINARIOITESCACar"/>
    <w:qFormat/>
    <w:rsid w:val="00D53BC2"/>
    <w:pPr>
      <w:spacing w:beforeAutospacing="1" w:afterAutospacing="1" w:line="360" w:lineRule="auto"/>
    </w:pPr>
    <w:rPr>
      <w:bCs/>
      <w:kern w:val="2"/>
      <w14:ligatures w14:val="standardContextual"/>
    </w:rPr>
  </w:style>
  <w:style w:type="paragraph" w:customStyle="1" w:styleId="APA7MA">
    <w:name w:val="APA 7MA"/>
    <w:basedOn w:val="Normal"/>
    <w:link w:val="APA7MACar"/>
    <w:qFormat/>
    <w:rsid w:val="00EE1282"/>
    <w:pPr>
      <w:numPr>
        <w:numId w:val="1"/>
      </w:numPr>
      <w:spacing w:line="360" w:lineRule="auto"/>
      <w:ind w:left="1440" w:hanging="360"/>
    </w:pPr>
    <w:rPr>
      <w:b/>
      <w:bCs/>
      <w:kern w:val="2"/>
      <w14:ligatures w14:val="standardContextual"/>
    </w:rPr>
  </w:style>
  <w:style w:type="paragraph" w:styleId="Subttulo">
    <w:name w:val="Subtitle"/>
    <w:basedOn w:val="Normal"/>
    <w:next w:val="Normal"/>
    <w:link w:val="SubttuloCar"/>
    <w:uiPriority w:val="11"/>
    <w:qFormat/>
    <w:rsid w:val="002802CD"/>
    <w:pPr>
      <w:spacing w:line="360" w:lineRule="auto"/>
      <w:jc w:val="both"/>
    </w:pPr>
    <w:rPr>
      <w:bCs/>
      <w:spacing w:val="15"/>
      <w:kern w:val="2"/>
      <w:szCs w:val="28"/>
      <w14:ligatures w14:val="standardContextual"/>
    </w:rPr>
  </w:style>
  <w:style w:type="paragraph" w:styleId="Cita">
    <w:name w:val="Quote"/>
    <w:basedOn w:val="Normal"/>
    <w:next w:val="Normal"/>
    <w:link w:val="CitaCar"/>
    <w:uiPriority w:val="29"/>
    <w:qFormat/>
    <w:rsid w:val="002802CD"/>
    <w:pPr>
      <w:spacing w:before="160" w:line="360" w:lineRule="auto"/>
      <w:jc w:val="center"/>
    </w:pPr>
    <w:rPr>
      <w:bCs/>
      <w:i/>
      <w:iCs/>
      <w:kern w:val="2"/>
      <w14:ligatures w14:val="standardContextual"/>
    </w:rPr>
  </w:style>
  <w:style w:type="paragraph" w:styleId="Prrafodelista">
    <w:name w:val="List Paragraph"/>
    <w:basedOn w:val="Normal"/>
    <w:uiPriority w:val="34"/>
    <w:qFormat/>
    <w:rsid w:val="002802CD"/>
    <w:pPr>
      <w:spacing w:after="120" w:line="360" w:lineRule="auto"/>
      <w:ind w:left="720"/>
      <w:contextualSpacing/>
      <w:jc w:val="both"/>
    </w:pPr>
    <w:rPr>
      <w:bCs/>
      <w:kern w:val="2"/>
      <w14:ligatures w14:val="standardContextual"/>
    </w:rPr>
  </w:style>
  <w:style w:type="paragraph" w:styleId="Citadestacada">
    <w:name w:val="Intense Quote"/>
    <w:basedOn w:val="Normal"/>
    <w:next w:val="Normal"/>
    <w:link w:val="CitadestacadaCar"/>
    <w:uiPriority w:val="30"/>
    <w:qFormat/>
    <w:rsid w:val="002802CD"/>
    <w:pPr>
      <w:pBdr>
        <w:top w:val="single" w:sz="4" w:space="10" w:color="0F4761" w:themeColor="accent1" w:themeShade="BF"/>
        <w:bottom w:val="single" w:sz="4" w:space="10" w:color="0F4761" w:themeColor="accent1" w:themeShade="BF"/>
      </w:pBdr>
      <w:spacing w:before="360" w:after="360" w:line="360" w:lineRule="auto"/>
      <w:ind w:left="864" w:right="864"/>
      <w:jc w:val="center"/>
    </w:pPr>
    <w:rPr>
      <w:bCs/>
      <w:i/>
      <w:iCs/>
      <w:kern w:val="2"/>
      <w14:ligatures w14:val="standardContextual"/>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2802CD"/>
    <w:pPr>
      <w:tabs>
        <w:tab w:val="center" w:pos="4419"/>
        <w:tab w:val="right" w:pos="8838"/>
      </w:tabs>
      <w:spacing w:line="240" w:lineRule="auto"/>
    </w:pPr>
  </w:style>
  <w:style w:type="paragraph" w:styleId="Piedepgina">
    <w:name w:val="footer"/>
    <w:basedOn w:val="Normal"/>
    <w:link w:val="PiedepginaCar"/>
    <w:uiPriority w:val="99"/>
    <w:unhideWhenUsed/>
    <w:rsid w:val="002802CD"/>
    <w:pPr>
      <w:tabs>
        <w:tab w:val="center" w:pos="4419"/>
        <w:tab w:val="right" w:pos="8838"/>
      </w:tabs>
      <w:spacing w:line="240" w:lineRule="auto"/>
    </w:pPr>
  </w:style>
  <w:style w:type="paragraph" w:customStyle="1" w:styleId="APAsinsangra">
    <w:name w:val="APA sin sangría"/>
    <w:basedOn w:val="Normal"/>
    <w:qFormat/>
    <w:pPr>
      <w:ind w:firstLine="0"/>
    </w:pPr>
  </w:style>
  <w:style w:type="paragraph" w:customStyle="1" w:styleId="APAreferencia">
    <w:name w:val="APA referencia"/>
    <w:basedOn w:val="Normal"/>
    <w:qFormat/>
    <w:pPr>
      <w:ind w:left="720" w:hanging="720"/>
    </w:pPr>
  </w:style>
  <w:style w:type="paragraph" w:customStyle="1" w:styleId="APAtabla">
    <w:name w:val="APA tabla"/>
    <w:basedOn w:val="Normal"/>
    <w:qFormat/>
    <w:pPr>
      <w:spacing w:before="100" w:after="100" w:line="240" w:lineRule="auto"/>
      <w:ind w:firstLine="0"/>
    </w:pPr>
  </w:style>
  <w:style w:type="paragraph" w:customStyle="1" w:styleId="APAportada">
    <w:name w:val="APA portada"/>
    <w:basedOn w:val="Normal"/>
    <w:qFormat/>
    <w:pPr>
      <w:ind w:firstLine="0"/>
      <w:jc w:val="center"/>
    </w:pPr>
  </w:style>
  <w:style w:type="paragraph" w:customStyle="1" w:styleId="APAttulondice">
    <w:name w:val="APA título índice"/>
    <w:basedOn w:val="Normal"/>
    <w:qFormat/>
    <w:pPr>
      <w:ind w:firstLine="0"/>
      <w:jc w:val="center"/>
    </w:pPr>
    <w:rPr>
      <w:b/>
    </w:rPr>
  </w:style>
  <w:style w:type="paragraph" w:styleId="TDC1">
    <w:name w:val="toc 1"/>
    <w:basedOn w:val="Index"/>
    <w:uiPriority w:val="39"/>
    <w:pPr>
      <w:tabs>
        <w:tab w:val="right" w:leader="dot" w:pos="9360"/>
      </w:tabs>
      <w:spacing w:after="40" w:line="276" w:lineRule="auto"/>
      <w:ind w:firstLine="0"/>
    </w:pPr>
  </w:style>
  <w:style w:type="paragraph" w:styleId="TDC2">
    <w:name w:val="toc 2"/>
    <w:basedOn w:val="Index"/>
    <w:uiPriority w:val="39"/>
    <w:pPr>
      <w:tabs>
        <w:tab w:val="right" w:leader="dot" w:pos="9077"/>
      </w:tabs>
      <w:spacing w:after="40" w:line="276" w:lineRule="auto"/>
      <w:ind w:left="360" w:firstLine="0"/>
    </w:pPr>
  </w:style>
  <w:style w:type="paragraph" w:styleId="TDC3">
    <w:name w:val="toc 3"/>
    <w:basedOn w:val="Index"/>
    <w:pPr>
      <w:tabs>
        <w:tab w:val="right" w:leader="dot" w:pos="8793"/>
      </w:tabs>
      <w:spacing w:after="40" w:line="276" w:lineRule="auto"/>
      <w:ind w:left="72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31</Pages>
  <Words>8521</Words>
  <Characters>46871</Characters>
  <Application>Microsoft Office Word</Application>
  <DocSecurity>0</DocSecurity>
  <Lines>390</Lines>
  <Paragraphs>110</Paragraphs>
  <ScaleCrop>false</ScaleCrop>
  <Company/>
  <LinksUpToDate>false</LinksUpToDate>
  <CharactersWithSpaces>55282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del cumplimiento normativo para formalizar vTaxi como plataforma de taxis en Nuevo León</dc:title>
  <dc:subject>Seminario I Tarea 9</dc:subject>
  <dc:creator>Martín Jonathan de la Cruz Muñoz</dc:creator>
  <cp:keywords>APA 7 índice automatizado investigación tablas figuras</cp:keywords>
  <dc:description/>
  <cp:lastModifiedBy>Jonathan Sysx</cp:lastModifiedBy>
  <cp:revision>10</cp:revision>
  <dcterms:created xsi:type="dcterms:W3CDTF">2025-10-04T21:58:00Z</dcterms:created>
  <dcterms:modified xsi:type="dcterms:W3CDTF">2026-10-14T00:07:00Z</dcterms:modified>
  <dc:language>en-US</dc:language>
</cp:coreProperties>
</file>