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bstractTitle"/>
      </w:pPr>
      <w:r>
        <w:t xml:space="preserve">Abstract</w:t>
      </w:r>
    </w:p>
    <w:p>
      <w:pPr>
        <w:pStyle w:val="Abstract"/>
      </w:pPr>
      <w:r>
        <w:rPr>
          <w:b/>
          <w:bCs/>
        </w:rPr>
        <w:t xml:space="preserve">Resumen:</w:t>
      </w:r>
      <w:r>
        <w:t xml:space="preserve"> </w:t>
      </w:r>
      <w:r>
        <w:t xml:space="preserve">La célula oclusiva o guarda del estoma representa uno de los modelos celulares más especializados y dinámicos en los organismos vegetales, responsable de regular el balance crítico entre la asimilación fotosintética de dióxido de carbono (</w:t>
      </w:r>
      <m:oMath>
        <m:sSub>
          <m:e>
            <m:r>
              <m:rPr>
                <m:nor/>
                <m:sty m:val="p"/>
              </m:rPr>
              <m:t>CO</m:t>
            </m:r>
          </m:e>
          <m:sub>
            <m:r>
              <m:t>2</m:t>
            </m:r>
          </m:sub>
        </m:sSub>
      </m:oMath>
      <w:r>
        <w:t xml:space="preserve">) y la pérdida de vapor de agua por transpiración. Este artículo de revisión analiza integralmente la biología de la célula oclusiva desde una perspectiva estructural, fisiológica y molecular, abordando su ontogenia a partir del meristemoide epidérmico bajo el control de factores de transcripción básicos de hélice-bucle-hélice (SPCH, MUTE, FAMA), su ultraestructura adaptada mecánicamente con engrosamientos parietales asimétricos y micelación radial de microfibrillas de celulosa, así como la compartimentación de sus organelos (vacuola dinámica, cloroplastos especializados y mitocondrias densas). Se describen detalladamente los circuitos de transporte transmembranal y osmorregulación en homeostasis celular, impulsados por la bomba electrogénica de protones (</w:t>
      </w:r>
      <m:oMath>
        <m:sSup>
          <m:e>
            <m:r>
              <m:t>H</m:t>
            </m:r>
          </m:e>
          <m:sup>
            <m:r>
              <m:rPr>
                <m:sty m:val="p"/>
              </m:rPr>
              <m:t>+</m:t>
            </m:r>
          </m:sup>
        </m:sSup>
      </m:oMath>
      <w:r>
        <w:t xml:space="preserve">-ATPasa de membrana plasmática) y flujos masivos de</w:t>
      </w:r>
      <w:r>
        <w:t xml:space="preserve"> </w:t>
      </w:r>
      <m:oMath>
        <m:sSup>
          <m:e>
            <m:r>
              <m:t>K</m:t>
            </m:r>
          </m:e>
          <m:sup>
            <m:r>
              <m:rPr>
                <m:sty m:val="p"/>
              </m:rPr>
              <m:t>+</m:t>
            </m:r>
          </m:sup>
        </m:sSup>
      </m:oMath>
      <w:r>
        <w:t xml:space="preserve">,</w:t>
      </w:r>
      <w:r>
        <w:t xml:space="preserve"> </w:t>
      </w:r>
      <m:oMath>
        <m:sSup>
          <m:e>
            <m:r>
              <m:rPr>
                <m:nor/>
                <m:sty m:val="p"/>
              </m:rPr>
              <m:t>Cl</m:t>
            </m:r>
          </m:e>
          <m:sup>
            <m:r>
              <m:rPr>
                <m:sty m:val="p"/>
              </m:rPr>
              <m:t>−</m:t>
            </m:r>
          </m:sup>
        </m:sSup>
      </m:oMath>
      <w:r>
        <w:t xml:space="preserve">, malato</w:t>
      </w:r>
      <m:oMath>
        <m:sSup>
          <m:e>
            <m:r>
              <m:t>​</m:t>
            </m:r>
          </m:e>
          <m:sup>
            <m:r>
              <m:t>2</m:t>
            </m:r>
            <m:r>
              <m:rPr>
                <m:sty m:val="p"/>
              </m:rPr>
              <m:t>−</m:t>
            </m:r>
          </m:sup>
        </m:sSup>
      </m:oMath>
      <w:r>
        <w:t xml:space="preserve"> </w:t>
      </w:r>
      <w:r>
        <w:t xml:space="preserve">y sacarosa. Asimismo, se desentrañan las cascadas de señalización acopladas al estrés hídrico mediadas por el módulo receptor soluble de ácido abscísico (PYR/PYL/RCAR–PP2C–SnRK2.6/OST1) y canales aniónicos (SLAC1/ALMT12). Como contraste biológico transversal, se confronta esta maquinaria con la arquitectura ultraestructural, los complejos de unión intercelular (uniones estrechas, desmosomas y conexones tipo</w:t>
      </w:r>
      <w:r>
        <w:t xml:space="preserve"> </w:t>
      </w:r>
      <w:r>
        <w:rPr>
          <w:i/>
          <w:iCs/>
        </w:rPr>
        <w:t xml:space="preserve">gap</w:t>
      </w:r>
      <w:r>
        <w:t xml:space="preserve">) y la regulación metabólica recíproca (insulina/glucagón) en el hepatocito de mamíferos domésticos. Finalmente, se discuten las implicaciones y perspectivas biotecnológicas en el mejoramiento de la eficiencia del uso del agua (WUE) para cultivos agrícolas estratégicos.</w:t>
      </w:r>
    </w:p>
    <w:p>
      <w:pPr>
        <w:pStyle w:val="Abstract"/>
      </w:pPr>
      <w:r>
        <w:rPr>
          <w:b/>
          <w:bCs/>
        </w:rPr>
        <w:t xml:space="preserve">Palabras clave:</w:t>
      </w:r>
      <w:r>
        <w:t xml:space="preserve"> </w:t>
      </w:r>
      <w:r>
        <w:t xml:space="preserve">Célula oclusiva; estoma; potencial hídrico; transporte iónico; ácido abscísico; SnRK2; hepatocito; uniones celulares; agronomía.</w:t>
      </w:r>
    </w:p>
    <w:p>
      <w:pPr>
        <w:pStyle w:val="FirstParagraph"/>
      </w:pPr>
      <w:r>
        <w:t xml:space="preserve"> </w:t>
      </w:r>
      <w:r>
        <w:rPr>
          <w:b/>
          <w:bCs/>
        </w:rPr>
        <w:t xml:space="preserve">Biología estructural, fisiología metabólica y señalización celular de la célula oclusiva: homeostasis y relevancia agronómica</w:t>
      </w:r>
      <w:r>
        <w:br/>
      </w:r>
      <w:r>
        <w:rPr>
          <w:i/>
          <w:iCs/>
        </w:rPr>
        <w:t xml:space="preserve">Con un análisis comparativo transversal de la ultraestructura y regulación homeostática en el hepatocito de mamífero</w:t>
      </w:r>
      <w:r>
        <w:br/>
      </w:r>
      <w:r>
        <w:rPr>
          <w:b/>
          <w:bCs/>
        </w:rPr>
        <w:t xml:space="preserve">Carlos Mauricio Carvajal Coronado</w:t>
      </w:r>
      <w:r>
        <w:t xml:space="preserve">(Matrícula: 1977875)</w:t>
      </w:r>
      <w:r>
        <w:br/>
      </w:r>
      <w:r>
        <w:t xml:space="preserve">Facultad de Agronomía, Universidad Autónoma de Nuevo León, Campus Ciencias Agropecuarias, General Escobedo / Marín, N.L.</w:t>
      </w:r>
      <w:r>
        <w:br/>
      </w:r>
      <w:r>
        <w:t xml:space="preserve">Unidad de Aprendizaje: Biología Celular  Docente: Dr. Miguel Ángel Dector Carrillo</w:t>
      </w:r>
    </w:p>
    <w:bookmarkStart w:id="20" w:name="introducción-y-justificación-agronómica"/>
    <w:p>
      <w:pPr>
        <w:pStyle w:val="Heading1"/>
      </w:pPr>
      <w:r>
        <w:t xml:space="preserve">Introducción y justificación agronómica</w:t>
      </w:r>
    </w:p>
    <w:p>
      <w:pPr>
        <w:pStyle w:val="FirstParagraph"/>
      </w:pPr>
      <w:r>
        <w:t xml:space="preserve">En el reino vegetal, la colonización del medio terrestre dependió evolutivamente del desarrollo de una cutícula cerosa impermeable para evitar la desecación y, de manera indisociable, de la génesis de válvulas celulares microscópicas regulables denominadas complejos estomáticos</w:t>
      </w:r>
      <w:r>
        <w:t xml:space="preserve"> </w:t>
      </w:r>
      <w:r>
        <w:t xml:space="preserve">. Cada complejo estomático está integrado por un par de células oclusivas (o células guarda) que delimitan una abertura central regulable conocida como ostiolo o poro estomático. Desde el punto de vista biofísico y ecofisiológico, las células oclusivas operan como compuertas hidrostáticas que enfrentan un dilema intrínseco en la producción vegetal: maximizar el influjo de</w:t>
      </w:r>
      <w:r>
        <w:t xml:space="preserve"> </w:t>
      </w:r>
      <m:oMath>
        <m:sSub>
          <m:e>
            <m:r>
              <m:rPr>
                <m:nor/>
                <m:sty m:val="p"/>
              </m:rPr>
              <m:t>CO</m:t>
            </m:r>
          </m:e>
          <m:sub>
            <m:r>
              <m:t>2</m:t>
            </m:r>
          </m:sub>
        </m:sSub>
      </m:oMath>
      <w:r>
        <w:t xml:space="preserve"> </w:t>
      </w:r>
      <w:r>
        <w:t xml:space="preserve">hacia el mesófilo foliar para alimentar el ciclo de Calvin-Benson de la fotosíntesis, minimizando al mismo tiempo la transpiración de vapor de agua para preservar el balance hídrico del cultivo</w:t>
      </w:r>
      <w:r>
        <w:t xml:space="preserve"> </w:t>
      </w:r>
      <w:r>
        <w:t xml:space="preserve">.</w:t>
      </w:r>
    </w:p>
    <w:p>
      <w:pPr>
        <w:pStyle w:val="BodyText"/>
      </w:pPr>
      <w:r>
        <w:t xml:space="preserve">Para la ingeniería agronómica, la comprensión mecanicista de la célula oclusiva es de trascendental relevancia. En un escenario global signado por el cambio climático, la recurrencia de sequías severas y el agotamiento de los acuíferos subterráneos en cuencas agrícolas, la productividad de cultivos primarios (maíz, trigo, sorgo, soya y hortalizas) está gobernada directamente por la eficiencia en el uso del agua (</w:t>
      </w:r>
      <w:r>
        <w:rPr>
          <w:i/>
          <w:iCs/>
        </w:rPr>
        <w:t xml:space="preserve">Water Use Efficiency</w:t>
      </w:r>
      <w:r>
        <w:t xml:space="preserve">, WUE), definida como la relación entre la biomasa producida y el volumen de agua transpirado:</w:t>
      </w:r>
    </w:p>
    <w:p>
      <w:pPr>
        <w:pStyle w:val="BodyText"/>
      </w:pPr>
      <m:oMathPara>
        <m:oMathParaPr>
          <m:jc m:val="center"/>
        </m:oMathParaPr>
        <m:oMath>
          <m:r>
            <m:rPr>
              <m:nor/>
              <m:sty m:val="p"/>
            </m:rPr>
            <m:t>WUE</m:t>
          </m:r>
          <m:r>
            <m:rPr>
              <m:sty m:val="p"/>
            </m:rPr>
            <m:t>=</m:t>
          </m:r>
          <m:f>
            <m:fPr>
              <m:type m:val="bar"/>
            </m:fPr>
            <m:num>
              <m:r>
                <m:rPr>
                  <m:nor/>
                  <m:sty m:val="p"/>
                </m:rPr>
                <m:t>Asimilación neta de </m:t>
              </m:r>
              <m:sSub>
                <m:e>
                  <m:r>
                    <m:rPr>
                      <m:nor/>
                      <m:sty m:val="p"/>
                    </m:rPr>
                    <m:t>CO</m:t>
                  </m:r>
                </m:e>
                <m:sub>
                  <m:r>
                    <m:t>2</m:t>
                  </m:r>
                </m:sub>
              </m:sSub>
              <m:r>
                <m:t> </m:t>
              </m:r>
              <m:r>
                <m:rPr>
                  <m:sty m:val="p"/>
                </m:rPr>
                <m:t>(</m:t>
              </m:r>
              <m:r>
                <m:t>A</m:t>
              </m:r>
              <m:r>
                <m:rPr>
                  <m:sty m:val="p"/>
                </m:rPr>
                <m:t>)</m:t>
              </m:r>
            </m:num>
            <m:den>
              <m:r>
                <m:rPr>
                  <m:nor/>
                  <m:sty m:val="p"/>
                </m:rPr>
                <m:t>Tasa de transpiración foliar</m:t>
              </m:r>
              <m:r>
                <m:t> </m:t>
              </m:r>
              <m:r>
                <m:rPr>
                  <m:sty m:val="p"/>
                </m:rPr>
                <m:t>(</m:t>
              </m:r>
              <m:r>
                <m:t>E</m:t>
              </m:r>
              <m:r>
                <m:rPr>
                  <m:sty m:val="p"/>
                </m:rPr>
                <m:t>)</m:t>
              </m:r>
            </m:den>
          </m:f>
          <m:r>
            <m:rPr>
              <m:sty m:val="p"/>
            </m:rPr>
            <m:t>=</m:t>
          </m:r>
          <m:f>
            <m:fPr>
              <m:type m:val="bar"/>
            </m:fPr>
            <m:num>
              <m:r>
                <m:t>A</m:t>
              </m:r>
            </m:num>
            <m:den>
              <m:sSub>
                <m:e>
                  <m:r>
                    <m:t>g</m:t>
                  </m:r>
                </m:e>
                <m:sub>
                  <m:r>
                    <m:t>s</m:t>
                  </m:r>
                </m:sub>
              </m:sSub>
              <m:r>
                <m:rPr>
                  <m:sty m:val="p"/>
                </m:rPr>
                <m:t>⋅</m:t>
              </m:r>
              <m:r>
                <m:rPr>
                  <m:sty m:val="p"/>
                </m:rPr>
                <m:t>Δ</m:t>
              </m:r>
              <m:r>
                <m:t>w</m:t>
              </m:r>
            </m:den>
          </m:f>
        </m:oMath>
      </m:oMathPara>
    </w:p>
    <w:p>
      <w:pPr>
        <w:pStyle w:val="FirstParagraph"/>
      </w:pPr>
      <w:r>
        <w:t xml:space="preserve">donde</w:t>
      </w:r>
      <w:r>
        <w:t xml:space="preserve"> </w:t>
      </w:r>
      <m:oMath>
        <m:sSub>
          <m:e>
            <m:r>
              <m:t>g</m:t>
            </m:r>
          </m:e>
          <m:sub>
            <m:r>
              <m:t>s</m:t>
            </m:r>
          </m:sub>
        </m:sSub>
      </m:oMath>
      <w:r>
        <w:t xml:space="preserve"> </w:t>
      </w:r>
      <w:r>
        <w:t xml:space="preserve">representa la conductancia estomática dependiente del diámetro del poro de las células oclusivas y</w:t>
      </w:r>
      <w:r>
        <w:t xml:space="preserve"> </w:t>
      </w:r>
      <m:oMath>
        <m:r>
          <m:rPr>
            <m:sty m:val="p"/>
          </m:rPr>
          <m:t>Δ</m:t>
        </m:r>
        <m:r>
          <m:t>w</m:t>
        </m:r>
      </m:oMath>
      <w:r>
        <w:t xml:space="preserve"> </w:t>
      </w:r>
      <w:r>
        <w:t xml:space="preserve">es el gradiente de presión de vapor entre la cavidad subestomática y la atmósfera circundante</w:t>
      </w:r>
      <w:r>
        <w:t xml:space="preserve"> </w:t>
      </w:r>
      <w:r>
        <w:t xml:space="preserve">.</w:t>
      </w:r>
    </w:p>
    <w:p>
      <w:pPr>
        <w:pStyle w:val="BodyText"/>
      </w:pPr>
      <w:r>
        <w:t xml:space="preserve">El funcionamiento de este complejo celular constituye una obra maestra de la biología celular integrada: conjuga la mecanobiología de paredes celulares anisotropas, la electrofisiología de canales iónicos activados por voltaje y segundos mensajeros, la reprogramación osmótica vacuolar y circuitos de fosforilación enzimática altamente conservados</w:t>
      </w:r>
      <w:r>
        <w:t xml:space="preserve"> </w:t>
      </w:r>
      <w:r>
        <w:t xml:space="preserve">. El propósito de este artículo de revisión es desglosar la ontogenia, la ultraestructura y compartimentación de organelos, la fisiología metabólica en condiciones de homeostasis, las interacciones con la matriz extracelular y las vías de transducción molecular de la célula oclusiva, contrastándola analíticamente con el modelo celular de parénquima animal representado por el hepatocito de mamífero doméstico, conforme a los criterios de fondo y forma de la unidad de aprendizaje de Biología Celular en la UANL.</w:t>
      </w:r>
    </w:p>
    <w:bookmarkEnd w:id="20"/>
    <w:bookmarkStart w:id="23" w:name="X384f7cc0d092df9bed54d5a25ec3c26222da8b6"/>
    <w:p>
      <w:pPr>
        <w:pStyle w:val="Heading1"/>
      </w:pPr>
      <w:r>
        <w:t xml:space="preserve">Origen, ontogenia y diferenciación del linaje estomático</w:t>
      </w:r>
    </w:p>
    <w:p>
      <w:pPr>
        <w:pStyle w:val="FirstParagraph"/>
      </w:pPr>
      <w:r>
        <w:t xml:space="preserve">A diferencia de la mayoría de las células epidérmicas de la hoja que provienen de divisiones proliferativas convencionales de la protodermis, las células oclusivas emergen a través de un programa estereotipado y asimétrico de linaje celular regulado por una familia jerárquica de factores de transcripción de hélice-bucle-hélice básica (bHLH)</w:t>
      </w:r>
      <w:r>
        <w:t xml:space="preserve"> </w:t>
      </w:r>
      <w:r>
        <w:t xml:space="preserve">.</w:t>
      </w:r>
    </w:p>
    <w:bookmarkStart w:id="21" w:name="cascada-transcripcional-bhlh"/>
    <w:p>
      <w:pPr>
        <w:pStyle w:val="Heading2"/>
      </w:pPr>
      <w:r>
        <w:t xml:space="preserve">Cascada transcripcional bHLH</w:t>
      </w:r>
    </w:p>
    <w:p>
      <w:pPr>
        <w:pStyle w:val="FirstParagraph"/>
      </w:pPr>
      <w:r>
        <w:t xml:space="preserve">El desarrollo ontogenético transita por cuatro estadios celulares claramente diferenciados:</w:t>
      </w:r>
    </w:p>
    <w:p>
      <w:pPr>
        <w:numPr>
          <w:ilvl w:val="0"/>
          <w:numId w:val="1001"/>
        </w:numPr>
      </w:pPr>
      <w:r>
        <w:rPr>
          <w:b/>
          <w:bCs/>
        </w:rPr>
        <w:t xml:space="preserve">Célula madre meristemoide (MMC):</w:t>
      </w:r>
      <w:r>
        <w:t xml:space="preserve"> </w:t>
      </w:r>
      <w:r>
        <w:t xml:space="preserve">Célula protodérmica que adquiere la competencia para dividirse asimétricamente. Esta transición está comandada por el complejo transcripcional integrado por el factor bHLH SPEECHLESS (SPCH) y sus compañeros de heterodimerización INDUCER OF CBF EXPRESSION 1 (ICE1/SCRM) y SCREAM2 (SCRM2).</w:t>
      </w:r>
    </w:p>
    <w:p>
      <w:pPr>
        <w:numPr>
          <w:ilvl w:val="0"/>
          <w:numId w:val="1001"/>
        </w:numPr>
      </w:pPr>
      <w:r>
        <w:rPr>
          <w:b/>
          <w:bCs/>
        </w:rPr>
        <w:t xml:space="preserve">Meristemoide (M):</w:t>
      </w:r>
      <w:r>
        <w:t xml:space="preserve"> </w:t>
      </w:r>
      <w:r>
        <w:t xml:space="preserve">Célula hija pequeña y triangular que retiene características de célula troncal meristemática. Tras experimentar de una a tres divisiones amplificadoras asimétricas, el meristemoide se diferencia en una célula precursora inmediata bajo la acción directa del factor bHLH MUTE, el cual extingue el programa proliferativo de SPCH y compromete a la célula hacia la identidad de célula de guarda.</w:t>
      </w:r>
    </w:p>
    <w:p>
      <w:pPr>
        <w:numPr>
          <w:ilvl w:val="0"/>
          <w:numId w:val="1001"/>
        </w:numPr>
      </w:pPr>
      <w:r>
        <w:rPr>
          <w:b/>
          <w:bCs/>
        </w:rPr>
        <w:t xml:space="preserve">Célula madre de guarda (GMC):</w:t>
      </w:r>
      <w:r>
        <w:t xml:space="preserve"> </w:t>
      </w:r>
      <w:r>
        <w:t xml:space="preserve">Célula esferoidal que experimenta una única división simétrica altamente orientada.</w:t>
      </w:r>
    </w:p>
    <w:p>
      <w:pPr>
        <w:numPr>
          <w:ilvl w:val="0"/>
          <w:numId w:val="1001"/>
        </w:numPr>
      </w:pPr>
      <w:r>
        <w:rPr>
          <w:b/>
          <w:bCs/>
        </w:rPr>
        <w:t xml:space="preserve">Células oclusivas inmaduras y diferenciación terminal:</w:t>
      </w:r>
      <w:r>
        <w:t xml:space="preserve"> </w:t>
      </w:r>
      <w:r>
        <w:t xml:space="preserve">El paso de GMC a las dos células oclusivas funcionales maduras es coordinado por el factor de transcripción FAMA junto con los factores MYB FOUR LIPS (FLP) y MYB88. FAMA reprime permanentemente la reentrada al ciclo celular mitótico mediante la activación del represor RETINOBLASTOMA-RELATED (RBR), asegurando que el par celular permanezca permanentemente en estado de diferenciación terminal (fase</w:t>
      </w:r>
      <w:r>
        <w:t xml:space="preserve"> </w:t>
      </w:r>
      <m:oMath>
        <m:sSub>
          <m:e>
            <m:r>
              <m:t>G</m:t>
            </m:r>
          </m:e>
          <m:sub>
            <m:r>
              <m:t>0</m:t>
            </m:r>
          </m:sub>
        </m:sSub>
      </m:oMath>
      <w:r>
        <w:t xml:space="preserve">)</w:t>
      </w:r>
      <w:r>
        <w:t xml:space="preserve"> </w:t>
      </w:r>
      <w:r>
        <w:t xml:space="preserve">.</w:t>
      </w:r>
    </w:p>
    <w:bookmarkEnd w:id="21"/>
    <w:bookmarkStart w:id="22" w:name="X2bd194257b431abf1b67279f5e269bb71900ddc"/>
    <w:p>
      <w:pPr>
        <w:pStyle w:val="Heading2"/>
      </w:pPr>
      <w:r>
        <w:t xml:space="preserve">Control posicional por péptidos secretores y receptores RLK</w:t>
      </w:r>
    </w:p>
    <w:p>
      <w:pPr>
        <w:pStyle w:val="FirstParagraph"/>
      </w:pPr>
      <w:r>
        <w:t xml:space="preserve">Para evitar que dos estomas se desarrollen adyacentes (principio de espaciamiento o</w:t>
      </w:r>
      <w:r>
        <w:t xml:space="preserve"> </w:t>
      </w:r>
      <w:r>
        <w:t xml:space="preserve">“regla de una célula de distancia”</w:t>
      </w:r>
      <w:r>
        <w:t xml:space="preserve">, esencial para preservar el reservorio hídrico de las células subsidiarias contiguas), existe una señalización paracrina de superficie. Células del linaje estomático secretan péptidos de la familia EPIDERMAL PATTERNING FACTOR (EPF1 y EPF2) hacia el apoplasto foliar. Estos ligandos son reconocidos por receptores tipo quinasa transmembranales de la familia ERECTA (ER, ERL1, ERL2) en asociación obligada con el correceptor TOO MANY MOUTHS (TMM). La unión ligando-receptor desencadena una cascada intracelular de cinasas activadas por mitógenos (MAPK) conformada por la MAPKKK YODA, las MAPKK MKK4/MKK5 y las MAPK MPK3/MPK6. Las cinasas MPK3/6 fosforilan directamente residuos específicos del factor SPCH, provocando su degradación proteosomal mediada por ubiquitina e impidiendo la inducción de meristemoides estomáticos en células contiguas</w:t>
      </w:r>
      <w:r>
        <w:t xml:space="preserve"> </w:t>
      </w:r>
      <w:r>
        <w:t xml:space="preserve">.</w:t>
      </w:r>
    </w:p>
    <w:bookmarkEnd w:id="22"/>
    <w:bookmarkEnd w:id="23"/>
    <w:bookmarkStart w:id="27" w:name="Xcbc1b747c06951b01fb942de9241c10a43ab6c0"/>
    <w:p>
      <w:pPr>
        <w:pStyle w:val="Heading1"/>
      </w:pPr>
      <w:r>
        <w:t xml:space="preserve">Ultraestructura, compartimentación y organelos especializados</w:t>
      </w:r>
    </w:p>
    <w:p>
      <w:pPr>
        <w:pStyle w:val="FirstParagraph"/>
      </w:pPr>
      <w:r>
        <w:t xml:space="preserve">La capacidad de la célula oclusiva para generar fuerzas hidrostáticas masivas y deformarse elásticamente sin sufrir lisis osmótica obedece a adaptaciones morfológicas y ultraestructurales únicas entre los eucariotas</w:t>
      </w:r>
      <w:r>
        <w:t xml:space="preserve"> </w:t>
      </w:r>
      <w:r>
        <w:t xml:space="preserve">.</w:t>
      </w:r>
    </w:p>
    <w:bookmarkStart w:id="24" w:name="dimensiones-y-métricas-biofísicas"/>
    <w:p>
      <w:pPr>
        <w:pStyle w:val="Heading2"/>
      </w:pPr>
      <w:r>
        <w:t xml:space="preserve">Dimensiones y métricas biofísicas</w:t>
      </w:r>
    </w:p>
    <w:p>
      <w:pPr>
        <w:pStyle w:val="FirstParagraph"/>
      </w:pPr>
      <w:r>
        <w:t xml:space="preserve">Las células oclusivas de las plantas eudicotiledóneas (como</w:t>
      </w:r>
      <w:r>
        <w:t xml:space="preserve"> </w:t>
      </w:r>
      <w:r>
        <w:rPr>
          <w:i/>
          <w:iCs/>
        </w:rPr>
        <w:t xml:space="preserve">Arabidopsis thaliana</w:t>
      </w:r>
      <w:r>
        <w:t xml:space="preserve">,</w:t>
      </w:r>
      <w:r>
        <w:t xml:space="preserve"> </w:t>
      </w:r>
      <w:r>
        <w:rPr>
          <w:i/>
          <w:iCs/>
        </w:rPr>
        <w:t xml:space="preserve">Phaseolus vulgaris</w:t>
      </w:r>
      <w:r>
        <w:t xml:space="preserve"> </w:t>
      </w:r>
      <w:r>
        <w:t xml:space="preserve">o</w:t>
      </w:r>
      <w:r>
        <w:t xml:space="preserve"> </w:t>
      </w:r>
      <w:r>
        <w:rPr>
          <w:i/>
          <w:iCs/>
        </w:rPr>
        <w:t xml:space="preserve">Vicia faba</w:t>
      </w:r>
      <w:r>
        <w:t xml:space="preserve">) poseen una forma clásica arriñonada o falciforme, mientras que en las poáceas o gramíneas de alto rendimiento agronómico (como</w:t>
      </w:r>
      <w:r>
        <w:t xml:space="preserve"> </w:t>
      </w:r>
      <w:r>
        <w:rPr>
          <w:i/>
          <w:iCs/>
        </w:rPr>
        <w:t xml:space="preserve">Zea mays</w:t>
      </w:r>
      <w:r>
        <w:t xml:space="preserve">,</w:t>
      </w:r>
      <w:r>
        <w:t xml:space="preserve"> </w:t>
      </w:r>
      <w:r>
        <w:rPr>
          <w:i/>
          <w:iCs/>
        </w:rPr>
        <w:t xml:space="preserve">Triticum aestivum</w:t>
      </w:r>
      <w:r>
        <w:t xml:space="preserve"> </w:t>
      </w:r>
      <w:r>
        <w:t xml:space="preserve">y</w:t>
      </w:r>
      <w:r>
        <w:t xml:space="preserve"> </w:t>
      </w:r>
      <w:r>
        <w:rPr>
          <w:i/>
          <w:iCs/>
        </w:rPr>
        <w:t xml:space="preserve">Sorghum bicolor</w:t>
      </w:r>
      <w:r>
        <w:t xml:space="preserve">) adoptan una morfología de mancuerna (</w:t>
      </w:r>
      <w:r>
        <w:rPr>
          <w:i/>
          <w:iCs/>
        </w:rPr>
        <w:t xml:space="preserve">dumbbell-shaped</w:t>
      </w:r>
      <w:r>
        <w:t xml:space="preserve">) flanqueada por dos células subsidiarias especializadas que aceleran las cinéticas de apertura y cierre.</w:t>
      </w:r>
    </w:p>
    <w:p>
      <w:pPr>
        <w:pStyle w:val="BodyText"/>
      </w:pPr>
      <w:r>
        <w:t xml:space="preserve">@p</w:t>
      </w:r>
      <w:r>
        <w:t xml:space="preserve">3.8cm</w:t>
      </w:r>
      <w:r>
        <w:t xml:space="preserve">YY@</w:t>
      </w:r>
      <w:r>
        <w:t xml:space="preserve"> </w:t>
      </w:r>
      <w:r>
        <w:rPr>
          <w:b/>
          <w:bCs/>
        </w:rPr>
        <w:t xml:space="preserve">Parámetro</w:t>
      </w:r>
      <w:r>
        <w:t xml:space="preserve"> </w:t>
      </w:r>
      <w:r>
        <w:t xml:space="preserve">&amp;</w:t>
      </w:r>
      <w:r>
        <w:t xml:space="preserve"> </w:t>
      </w:r>
      <w:r>
        <w:rPr>
          <w:b/>
          <w:bCs/>
        </w:rPr>
        <w:t xml:space="preserve">Célula oclusiva (</w:t>
      </w:r>
      <w:r>
        <w:rPr>
          <w:b/>
          <w:bCs/>
          <w:i/>
          <w:iCs/>
        </w:rPr>
        <w:t xml:space="preserve">Vicia faba</w:t>
      </w:r>
      <w:r>
        <w:rPr>
          <w:b/>
          <w:bCs/>
        </w:rPr>
        <w:t xml:space="preserve"> </w:t>
      </w:r>
      <w:r>
        <w:rPr>
          <w:b/>
          <w:bCs/>
        </w:rPr>
        <w:t xml:space="preserve">/</w:t>
      </w:r>
      <w:r>
        <w:rPr>
          <w:b/>
          <w:bCs/>
        </w:rPr>
        <w:t xml:space="preserve"> </w:t>
      </w:r>
      <w:r>
        <w:rPr>
          <w:b/>
          <w:bCs/>
          <w:i/>
          <w:iCs/>
        </w:rPr>
        <w:t xml:space="preserve">A. thaliana</w:t>
      </w:r>
      <w:r>
        <w:rPr>
          <w:b/>
          <w:bCs/>
        </w:rPr>
        <w:t xml:space="preserve">)</w:t>
      </w:r>
      <w:r>
        <w:t xml:space="preserve"> </w:t>
      </w:r>
      <w:r>
        <w:t xml:space="preserve">&amp;</w:t>
      </w:r>
      <w:r>
        <w:t xml:space="preserve"> </w:t>
      </w:r>
      <w:r>
        <w:rPr>
          <w:b/>
          <w:bCs/>
        </w:rPr>
        <w:t xml:space="preserve">Hepatocito de mamífero (</w:t>
      </w:r>
      <w:r>
        <w:rPr>
          <w:b/>
          <w:bCs/>
          <w:i/>
          <w:iCs/>
        </w:rPr>
        <w:t xml:space="preserve">Bos taurus</w:t>
      </w:r>
      <w:r>
        <w:rPr>
          <w:b/>
          <w:bCs/>
        </w:rPr>
        <w:t xml:space="preserve"> </w:t>
      </w:r>
      <w:r>
        <w:rPr>
          <w:b/>
          <w:bCs/>
        </w:rPr>
        <w:t xml:space="preserve">/</w:t>
      </w:r>
      <w:r>
        <w:rPr>
          <w:b/>
          <w:bCs/>
        </w:rPr>
        <w:t xml:space="preserve"> </w:t>
      </w:r>
      <w:r>
        <w:rPr>
          <w:b/>
          <w:bCs/>
          <w:i/>
          <w:iCs/>
        </w:rPr>
        <w:t xml:space="preserve">Sus scrofa</w:t>
      </w:r>
      <w:r>
        <w:rPr>
          <w:b/>
          <w:bCs/>
        </w:rPr>
        <w:t xml:space="preserve">)</w:t>
      </w:r>
      <w:r>
        <w:br/>
      </w:r>
      <w:r>
        <w:rPr>
          <w:b/>
          <w:bCs/>
        </w:rPr>
        <w:t xml:space="preserve">Forma celular</w:t>
      </w:r>
      <w:r>
        <w:t xml:space="preserve"> </w:t>
      </w:r>
      <w:r>
        <w:t xml:space="preserve">&amp; Arriñonada o de mancuerna; polo a polo &amp; Poliédrica con 6 a 8 facetas de contacto</w:t>
      </w:r>
      <w:r>
        <w:br/>
      </w:r>
      <w:r>
        <w:rPr>
          <w:b/>
          <w:bCs/>
        </w:rPr>
        <w:t xml:space="preserve">Longitud axial / Diámetro</w:t>
      </w:r>
      <w:r>
        <w:t xml:space="preserve"> </w:t>
      </w:r>
      <w:r>
        <w:t xml:space="preserve">&amp;</w:t>
      </w:r>
      <w:r>
        <w:t xml:space="preserve"> </w:t>
      </w:r>
      <m:oMath>
        <m:r>
          <m:t>30</m:t>
        </m:r>
        <m:r>
          <m:rPr>
            <m:sty m:val="p"/>
          </m:rPr>
          <m:t>−</m:t>
        </m:r>
        <m:r>
          <m:t>55</m:t>
        </m:r>
        <m:r>
          <m:t> </m:t>
        </m:r>
        <m:r>
          <m:t>μ</m:t>
        </m:r>
        <m:r>
          <m:rPr>
            <m:nor/>
            <m:sty m:val="p"/>
          </m:rPr>
          <m:t>m</m:t>
        </m:r>
      </m:oMath>
      <w:r>
        <w:t xml:space="preserve"> </w:t>
      </w:r>
      <w:r>
        <w:t xml:space="preserve">(longitud)</w:t>
      </w:r>
      <w:r>
        <w:t xml:space="preserve"> </w:t>
      </w:r>
      <m:oMath>
        <m:r>
          <m:rPr>
            <m:sty m:val="p"/>
          </m:rPr>
          <m:t>×</m:t>
        </m:r>
        <m:r>
          <m:t> </m:t>
        </m:r>
        <m:r>
          <m:t>8</m:t>
        </m:r>
        <m:r>
          <m:rPr>
            <m:sty m:val="p"/>
          </m:rPr>
          <m:t>−</m:t>
        </m:r>
        <m:r>
          <m:t>15</m:t>
        </m:r>
        <m:r>
          <m:t> </m:t>
        </m:r>
        <m:r>
          <m:t>μ</m:t>
        </m:r>
        <m:r>
          <m:rPr>
            <m:nor/>
            <m:sty m:val="p"/>
          </m:rPr>
          <m:t>m</m:t>
        </m:r>
      </m:oMath>
      <w:r>
        <w:t xml:space="preserve"> </w:t>
      </w:r>
      <w:r>
        <w:t xml:space="preserve">(ancho) &amp;</w:t>
      </w:r>
      <w:r>
        <w:t xml:space="preserve"> </w:t>
      </w:r>
      <m:oMath>
        <m:r>
          <m:t>20</m:t>
        </m:r>
        <m:r>
          <m:rPr>
            <m:sty m:val="p"/>
          </m:rPr>
          <m:t>−</m:t>
        </m:r>
        <m:r>
          <m:t>35</m:t>
        </m:r>
        <m:r>
          <m:t> </m:t>
        </m:r>
        <m:r>
          <m:t>μ</m:t>
        </m:r>
        <m:r>
          <m:rPr>
            <m:nor/>
            <m:sty m:val="p"/>
          </m:rPr>
          <m:t>m</m:t>
        </m:r>
      </m:oMath>
      <w:r>
        <w:t xml:space="preserve"> </w:t>
      </w:r>
      <w:r>
        <w:t xml:space="preserve">de diámetro celular esférico equivalente</w:t>
      </w:r>
      <w:r>
        <w:br/>
      </w:r>
      <w:r>
        <w:rPr>
          <w:b/>
          <w:bCs/>
        </w:rPr>
        <w:t xml:space="preserve">Volumen citoplasmático</w:t>
      </w:r>
      <w:r>
        <w:t xml:space="preserve"> </w:t>
      </w:r>
      <w:r>
        <w:t xml:space="preserve">&amp;</w:t>
      </w:r>
      <w:r>
        <w:t xml:space="preserve"> </w:t>
      </w:r>
      <m:oMath>
        <m:r>
          <m:t>4</m:t>
        </m:r>
        <m:r>
          <m:t> </m:t>
        </m:r>
        <m:r>
          <m:t>000</m:t>
        </m:r>
        <m:r>
          <m:t> </m:t>
        </m:r>
        <m:r>
          <m:t>μ</m:t>
        </m:r>
        <m:sSup>
          <m:e>
            <m:r>
              <m:rPr>
                <m:nor/>
                <m:sty m:val="p"/>
              </m:rPr>
              <m:t>m</m:t>
            </m:r>
          </m:e>
          <m:sup>
            <m:r>
              <m:t>3</m:t>
            </m:r>
          </m:sup>
        </m:sSup>
      </m:oMath>
      <w:r>
        <w:t xml:space="preserve"> </w:t>
      </w:r>
      <w:r>
        <w:t xml:space="preserve">(cerrado) a</w:t>
      </w:r>
      <w:r>
        <w:t xml:space="preserve"> </w:t>
      </w:r>
      <m:oMath>
        <m:r>
          <m:t>7</m:t>
        </m:r>
        <m:r>
          <m:t> </m:t>
        </m:r>
        <m:r>
          <m:t>500</m:t>
        </m:r>
        <m:r>
          <m:t> </m:t>
        </m:r>
        <m:r>
          <m:t>μ</m:t>
        </m:r>
        <m:sSup>
          <m:e>
            <m:r>
              <m:rPr>
                <m:nor/>
                <m:sty m:val="p"/>
              </m:rPr>
              <m:t>m</m:t>
            </m:r>
          </m:e>
          <m:sup>
            <m:r>
              <m:t>3</m:t>
            </m:r>
          </m:sup>
        </m:sSup>
      </m:oMath>
      <w:r>
        <w:t xml:space="preserve"> </w:t>
      </w:r>
      <w:r>
        <w:t xml:space="preserve">(abierto) &amp;</w:t>
      </w:r>
      <w:r>
        <w:t xml:space="preserve"> </w:t>
      </w:r>
      <m:oMath>
        <m:r>
          <m:t>11</m:t>
        </m:r>
        <m:r>
          <m:t> </m:t>
        </m:r>
        <m:r>
          <m:t>000</m:t>
        </m:r>
        <m:r>
          <m:rPr>
            <m:sty m:val="p"/>
          </m:rPr>
          <m:t>−</m:t>
        </m:r>
        <m:r>
          <m:t>14</m:t>
        </m:r>
        <m:r>
          <m:t> </m:t>
        </m:r>
        <m:r>
          <m:t>000</m:t>
        </m:r>
        <m:r>
          <m:t> </m:t>
        </m:r>
        <m:r>
          <m:t>μ</m:t>
        </m:r>
        <m:sSup>
          <m:e>
            <m:r>
              <m:rPr>
                <m:nor/>
                <m:sty m:val="p"/>
              </m:rPr>
              <m:t>m</m:t>
            </m:r>
          </m:e>
          <m:sup>
            <m:r>
              <m:t>3</m:t>
            </m:r>
          </m:sup>
        </m:sSup>
      </m:oMath>
      <w:r>
        <w:t xml:space="preserve"> </w:t>
      </w:r>
      <w:r>
        <w:t xml:space="preserve">(relativamente constante)</w:t>
      </w:r>
      <w:r>
        <w:br/>
      </w:r>
      <w:r>
        <w:rPr>
          <w:b/>
          <w:bCs/>
        </w:rPr>
        <w:t xml:space="preserve">Relación Superficie / Volumen</w:t>
      </w:r>
      <w:r>
        <w:t xml:space="preserve"> </w:t>
      </w:r>
      <w:r>
        <w:t xml:space="preserve">&amp;</w:t>
      </w:r>
      <w:r>
        <w:t xml:space="preserve"> </w:t>
      </w:r>
      <m:oMath>
        <m:r>
          <m:t>0.75</m:t>
        </m:r>
        <m:r>
          <m:rPr>
            <m:sty m:val="p"/>
          </m:rPr>
          <m:t>−</m:t>
        </m:r>
        <m:r>
          <m:t>0.90</m:t>
        </m:r>
        <m:r>
          <m:t> </m:t>
        </m:r>
        <m:r>
          <m:t>μ</m:t>
        </m:r>
        <m:sSup>
          <m:e>
            <m:r>
              <m:rPr>
                <m:nor/>
                <m:sty m:val="p"/>
              </m:rPr>
              <m:t>m</m:t>
            </m:r>
          </m:e>
          <m:sup>
            <m:r>
              <m:rPr>
                <m:sty m:val="p"/>
              </m:rPr>
              <m:t>−</m:t>
            </m:r>
            <m:r>
              <m:t>1</m:t>
            </m:r>
          </m:sup>
        </m:sSup>
      </m:oMath>
      <w:r>
        <w:t xml:space="preserve"> </w:t>
      </w:r>
      <w:r>
        <w:t xml:space="preserve">(altísima para flujos iónicos) &amp;</w:t>
      </w:r>
      <w:r>
        <w:t xml:space="preserve"> </w:t>
      </w:r>
      <m:oMath>
        <m:r>
          <m:t>0.25</m:t>
        </m:r>
        <m:r>
          <m:rPr>
            <m:sty m:val="p"/>
          </m:rPr>
          <m:t>−</m:t>
        </m:r>
        <m:r>
          <m:t>0.35</m:t>
        </m:r>
        <m:r>
          <m:t> </m:t>
        </m:r>
        <m:r>
          <m:t>μ</m:t>
        </m:r>
        <m:sSup>
          <m:e>
            <m:r>
              <m:rPr>
                <m:nor/>
                <m:sty m:val="p"/>
              </m:rPr>
              <m:t>m</m:t>
            </m:r>
          </m:e>
          <m:sup>
            <m:r>
              <m:rPr>
                <m:sty m:val="p"/>
              </m:rPr>
              <m:t>−</m:t>
            </m:r>
            <m:r>
              <m:t>1</m:t>
            </m:r>
          </m:sup>
        </m:sSup>
      </m:oMath>
      <w:r>
        <w:t xml:space="preserve"> </w:t>
      </w:r>
      <w:r>
        <w:t xml:space="preserve">(optimizada para volumen metabólico)</w:t>
      </w:r>
      <w:r>
        <w:br/>
      </w:r>
      <w:r>
        <w:rPr>
          <w:b/>
          <w:bCs/>
        </w:rPr>
        <w:t xml:space="preserve">Pared / Envoltura exterior</w:t>
      </w:r>
      <w:r>
        <w:t xml:space="preserve"> </w:t>
      </w:r>
      <w:r>
        <w:t xml:space="preserve">&amp; Pared celulósica asimétrica (</w:t>
      </w:r>
      <m:oMath>
        <m:r>
          <m:t>0.8</m:t>
        </m:r>
        <m:r>
          <m:rPr>
            <m:sty m:val="p"/>
          </m:rPr>
          <m:t>−</m:t>
        </m:r>
        <m:r>
          <m:t>4.5</m:t>
        </m:r>
        <m:r>
          <m:t> </m:t>
        </m:r>
        <m:r>
          <m:t>μ</m:t>
        </m:r>
        <m:r>
          <m:rPr>
            <m:nor/>
            <m:sty m:val="p"/>
          </m:rPr>
          <m:t>m</m:t>
        </m:r>
      </m:oMath>
      <w:r>
        <w:t xml:space="preserve">) &amp; Glucocáliz delgado (</w:t>
      </w:r>
      <m:oMath>
        <m:r>
          <m:t>10</m:t>
        </m:r>
        <m:r>
          <m:rPr>
            <m:sty m:val="p"/>
          </m:rPr>
          <m:t>−</m:t>
        </m:r>
        <m:r>
          <m:t>20</m:t>
        </m:r>
        <m:r>
          <m:t> </m:t>
        </m:r>
        <m:r>
          <m:rPr>
            <m:nor/>
            <m:sty m:val="p"/>
          </m:rPr>
          <m:t>nm</m:t>
        </m:r>
      </m:oMath>
      <w:r>
        <w:t xml:space="preserve">); sin pared rígida</w:t>
      </w:r>
      <w:r>
        <w:br/>
      </w:r>
      <w:r>
        <w:rPr>
          <w:b/>
          <w:bCs/>
        </w:rPr>
        <w:t xml:space="preserve">Organelo dominante</w:t>
      </w:r>
      <w:r>
        <w:t xml:space="preserve"> </w:t>
      </w:r>
      <w:r>
        <w:t xml:space="preserve">&amp; Vacuola lítica y de reserva osmótica (</w:t>
      </w:r>
      <m:oMath>
        <m:r>
          <m:t>70</m:t>
        </m:r>
        <m:r>
          <m:rPr>
            <m:sty m:val="p"/>
          </m:rPr>
          <m:t>−</m:t>
        </m:r>
        <m:r>
          <m:t>85</m:t>
        </m:r>
        <m:r>
          <m:rPr>
            <m:sty m:val="p"/>
          </m:rPr>
          <m:t>%</m:t>
        </m:r>
      </m:oMath>
      <w:r>
        <w:t xml:space="preserve"> </w:t>
      </w:r>
      <w:r>
        <w:t xml:space="preserve">vol.) &amp; Retículo endoplásmico rugoso y liso (</w:t>
      </w:r>
      <m:oMath>
        <m:r>
          <m:t>25</m:t>
        </m:r>
        <m:r>
          <m:rPr>
            <m:sty m:val="p"/>
          </m:rPr>
          <m:t>−</m:t>
        </m:r>
        <m:r>
          <m:t>35</m:t>
        </m:r>
        <m:r>
          <m:rPr>
            <m:sty m:val="p"/>
          </m:rPr>
          <m:t>%</m:t>
        </m:r>
      </m:oMath>
      <w:r>
        <w:t xml:space="preserve"> </w:t>
      </w:r>
      <w:r>
        <w:t xml:space="preserve">vol.)</w:t>
      </w:r>
      <w:r>
        <w:br/>
      </w:r>
      <w:r>
        <w:rPr>
          <w:b/>
          <w:bCs/>
        </w:rPr>
        <w:t xml:space="preserve">Plástidos / Mitocondrias</w:t>
      </w:r>
      <w:r>
        <w:t xml:space="preserve"> </w:t>
      </w:r>
      <w:r>
        <w:t xml:space="preserve">&amp;</w:t>
      </w:r>
      <w:r>
        <w:t xml:space="preserve"> </w:t>
      </w:r>
      <m:oMath>
        <m:r>
          <m:t>8</m:t>
        </m:r>
        <m:r>
          <m:rPr>
            <m:sty m:val="p"/>
          </m:rPr>
          <m:t>−</m:t>
        </m:r>
        <m:r>
          <m:t>15</m:t>
        </m:r>
      </m:oMath>
      <w:r>
        <w:t xml:space="preserve"> </w:t>
      </w:r>
      <w:r>
        <w:t xml:space="preserve">cloroplastos;</w:t>
      </w:r>
      <w:r>
        <w:t xml:space="preserve"> </w:t>
      </w:r>
      <m:oMath>
        <m:r>
          <m:t>80</m:t>
        </m:r>
        <m:r>
          <m:rPr>
            <m:sty m:val="p"/>
          </m:rPr>
          <m:t>−</m:t>
        </m:r>
        <m:r>
          <m:t>120</m:t>
        </m:r>
      </m:oMath>
      <w:r>
        <w:t xml:space="preserve"> </w:t>
      </w:r>
      <w:r>
        <w:t xml:space="preserve">mitocondrias &amp; Cero plástidos;</w:t>
      </w:r>
      <w:r>
        <w:t xml:space="preserve"> </w:t>
      </w:r>
      <m:oMath>
        <m:r>
          <m:t>800</m:t>
        </m:r>
        <m:r>
          <m:rPr>
            <m:sty m:val="p"/>
          </m:rPr>
          <m:t>−</m:t>
        </m:r>
        <m:r>
          <m:t>1</m:t>
        </m:r>
        <m:r>
          <m:t> </m:t>
        </m:r>
        <m:r>
          <m:t>200</m:t>
        </m:r>
      </m:oMath>
      <w:r>
        <w:t xml:space="preserve"> </w:t>
      </w:r>
      <w:r>
        <w:t xml:space="preserve">mitocondrias densas</w:t>
      </w:r>
      <w:r>
        <w:br/>
      </w:r>
      <w:r>
        <w:rPr>
          <w:b/>
          <w:bCs/>
        </w:rPr>
        <w:t xml:space="preserve">Resistencia mecánica</w:t>
      </w:r>
      <w:r>
        <w:t xml:space="preserve"> </w:t>
      </w:r>
      <w:r>
        <w:t xml:space="preserve">&amp; Soporta presión de turgencia de hasta</w:t>
      </w:r>
      <w:r>
        <w:t xml:space="preserve"> </w:t>
      </w:r>
      <m:oMath>
        <m:r>
          <m:t>4.5</m:t>
        </m:r>
        <m:r>
          <m:t> </m:t>
        </m:r>
        <m:r>
          <m:rPr>
            <m:nor/>
            <m:sty m:val="p"/>
          </m:rPr>
          <m:t>MPa</m:t>
        </m:r>
      </m:oMath>
      <w:r>
        <w:t xml:space="preserve"> </w:t>
      </w:r>
      <w:r>
        <w:t xml:space="preserve">&amp; Sensible a lisis por estrés osmótico hipotónico</w:t>
      </w:r>
      <w:r>
        <w:br/>
      </w:r>
    </w:p>
    <w:p>
      <w:pPr>
        <w:pStyle w:val="BodyText"/>
      </w:pPr>
      <w:r>
        <w:rPr>
          <w:i/>
          <w:iCs/>
        </w:rPr>
        <w:t xml:space="preserve">Fuente:</w:t>
      </w:r>
      <w:r>
        <w:t xml:space="preserve"> </w:t>
      </w:r>
      <w:r>
        <w:t xml:space="preserve">Elaboración propia a partir de datos compilados en</w:t>
      </w:r>
      <w:r>
        <w:t xml:space="preserve"> </w:t>
      </w:r>
      <w:r>
        <w:t xml:space="preserve">.</w:t>
      </w:r>
    </w:p>
    <w:bookmarkEnd w:id="24"/>
    <w:bookmarkStart w:id="25" w:name="Xfeac003cd07cde6a6955b56b17ec5928f4e9c54"/>
    <w:p>
      <w:pPr>
        <w:pStyle w:val="Heading2"/>
      </w:pPr>
      <w:r>
        <w:t xml:space="preserve">Especialización mecánica de la pared celular: micelación radial</w:t>
      </w:r>
    </w:p>
    <w:p>
      <w:pPr>
        <w:pStyle w:val="FirstParagraph"/>
      </w:pPr>
      <w:r>
        <w:t xml:space="preserve">El principio de deformación elástica del estoma depende de dos propiedades físicas de su envoltura:</w:t>
      </w:r>
    </w:p>
    <w:p>
      <w:pPr>
        <w:numPr>
          <w:ilvl w:val="0"/>
          <w:numId w:val="1002"/>
        </w:numPr>
      </w:pPr>
      <w:r>
        <w:rPr>
          <w:b/>
          <w:bCs/>
        </w:rPr>
        <w:t xml:space="preserve">Engrosamiento parietal diferencial:</w:t>
      </w:r>
      <w:r>
        <w:t xml:space="preserve"> </w:t>
      </w:r>
      <w:r>
        <w:t xml:space="preserve">La pared periclinal interna (aquella que bordea directamente el poro u ostiolo) exhibe un espesor notablemente robusto de</w:t>
      </w:r>
      <w:r>
        <w:t xml:space="preserve"> </w:t>
      </w:r>
      <m:oMath>
        <m:r>
          <m:t>2.5</m:t>
        </m:r>
      </m:oMath>
      <w:r>
        <w:t xml:space="preserve"> </w:t>
      </w:r>
      <w:r>
        <w:t xml:space="preserve">a</w:t>
      </w:r>
      <w:r>
        <w:t xml:space="preserve"> </w:t>
      </w:r>
      <m:oMath>
        <m:r>
          <m:t>4.5</m:t>
        </m:r>
        <m:r>
          <m:t> </m:t>
        </m:r>
        <m:r>
          <m:t>μ</m:t>
        </m:r>
        <m:r>
          <m:rPr>
            <m:nor/>
            <m:sty m:val="p"/>
          </m:rPr>
          <m:t>m</m:t>
        </m:r>
      </m:oMath>
      <w:r>
        <w:t xml:space="preserve">, impregnada de pectinas altamente reticuladas y hemicelulosas (xiloglucano). En contraste, la pared periclinal dorsal externa (en contacto con las células epidérmicas) es delgada y flexible, con un espesor de apenas</w:t>
      </w:r>
      <w:r>
        <w:t xml:space="preserve"> </w:t>
      </w:r>
      <m:oMath>
        <m:r>
          <m:t>0.8</m:t>
        </m:r>
      </m:oMath>
      <w:r>
        <w:t xml:space="preserve"> </w:t>
      </w:r>
      <w:r>
        <w:t xml:space="preserve">a</w:t>
      </w:r>
      <w:r>
        <w:t xml:space="preserve"> </w:t>
      </w:r>
      <m:oMath>
        <m:r>
          <m:t>1.5</m:t>
        </m:r>
        <m:r>
          <m:t> </m:t>
        </m:r>
        <m:r>
          <m:t>μ</m:t>
        </m:r>
        <m:r>
          <m:rPr>
            <m:nor/>
            <m:sty m:val="p"/>
          </m:rPr>
          <m:t>m</m:t>
        </m:r>
      </m:oMath>
      <w:r>
        <w:t xml:space="preserve"> </w:t>
      </w:r>
      <w:r>
        <w:t xml:space="preserve">.</w:t>
      </w:r>
    </w:p>
    <w:p>
      <w:pPr>
        <w:numPr>
          <w:ilvl w:val="0"/>
          <w:numId w:val="1002"/>
        </w:numPr>
      </w:pPr>
      <w:r>
        <w:rPr>
          <w:b/>
          <w:bCs/>
        </w:rPr>
        <w:t xml:space="preserve">Micelación radial de microfibrillas de celulosa:</w:t>
      </w:r>
      <w:r>
        <w:t xml:space="preserve"> </w:t>
      </w:r>
      <w:r>
        <w:t xml:space="preserve">Mediante microscopía de polarización y criomicroscopía electrónica de barrido, se demuestra que las microfibrillas de celulosa depositadas por los complejos celulosa sintasa (CESA) no se disponen al azar ni de manera longitudinal, sino que irradian transversalmente desde el borde del ostiolo hacia la cara externa, a manera de arcos o cinchas de barril (</w:t>
      </w:r>
      <w:r>
        <w:rPr>
          <w:i/>
          <w:iCs/>
        </w:rPr>
        <w:t xml:space="preserve">radial micellation</w:t>
      </w:r>
      <w:r>
        <w:t xml:space="preserve">). Al inflarse la célula por absorción osmótica de agua, la micelación radial previene el ensanchamiento transversal de la célula y canaliza la expansión hidrostática exclusivamente hacia la elongación de la pared externa flexible. Dado que los dos extremos polares de las células oclusivas se encuentran sólidamente soldados entre sí en la lámina media, la elongación forzada de la cara externa empuja a las células a arquearse centrífugamente, abriendo el ostiolo estomático</w:t>
      </w:r>
      <w:r>
        <w:t xml:space="preserve"> </w:t>
      </w:r>
      <w:r>
        <w:t xml:space="preserve">.</w:t>
      </w:r>
    </w:p>
    <w:bookmarkEnd w:id="25"/>
    <w:bookmarkStart w:id="26" w:name="Xb0aeca8b9120b1acffbe3b75de52fc8c71e38e2"/>
    <w:p>
      <w:pPr>
        <w:pStyle w:val="Heading2"/>
      </w:pPr>
      <w:r>
        <w:t xml:space="preserve">Compartimentación y dinámica de organelos</w:t>
      </w:r>
    </w:p>
    <w:p>
      <w:pPr>
        <w:numPr>
          <w:ilvl w:val="0"/>
          <w:numId w:val="1003"/>
        </w:numPr>
      </w:pPr>
      <w:r>
        <w:rPr>
          <w:b/>
          <w:bCs/>
        </w:rPr>
        <w:t xml:space="preserve">Vacuola central y dinámica de fusión/fisión:</w:t>
      </w:r>
      <w:r>
        <w:t xml:space="preserve"> </w:t>
      </w:r>
      <w:r>
        <w:t xml:space="preserve">En condiciones de estrés hídrico o en la oscuridad nocturna, la vacuola de la célula oclusiva se encuentra fragmentada en múltiples microvacuolas y vesículas esferoidales o tubulares acidificadas. Durante la apertura matutina estimulada por luz, estas estructuras vacuolares se fusionan progresivamente a lo largo de filamentos de actina polarizados, coalesciendo en una o dos grandes vacuolas que ocupan hasta el 85% del lumen citosólico. La membrana vacuolar (tonoplasto) alberga una densidad formidable de dos bombas de protones independientes: la</w:t>
      </w:r>
      <w:r>
        <w:t xml:space="preserve"> </w:t>
      </w:r>
      <m:oMath>
        <m:sSup>
          <m:e>
            <m:r>
              <m:t>H</m:t>
            </m:r>
          </m:e>
          <m:sup>
            <m:r>
              <m:rPr>
                <m:sty m:val="p"/>
              </m:rPr>
              <m:t>+</m:t>
            </m:r>
          </m:sup>
        </m:sSup>
      </m:oMath>
      <w:r>
        <w:t xml:space="preserve">-ATPasa vacuolar (complejo multisubunitario tipo V) y la</w:t>
      </w:r>
      <w:r>
        <w:t xml:space="preserve"> </w:t>
      </w:r>
      <m:oMath>
        <m:sSup>
          <m:e>
            <m:r>
              <m:t>H</m:t>
            </m:r>
          </m:e>
          <m:sup>
            <m:r>
              <m:rPr>
                <m:sty m:val="p"/>
              </m:rPr>
              <m:t>+</m:t>
            </m:r>
          </m:sup>
        </m:sSup>
      </m:oMath>
      <w:r>
        <w:t xml:space="preserve">-pirofosfatasa vacuolar (V-PPasa, que hidroliza</w:t>
      </w:r>
      <w:r>
        <w:t xml:space="preserve"> </w:t>
      </w:r>
      <m:oMath>
        <m:sSub>
          <m:e>
            <m:r>
              <m:rPr>
                <m:nor/>
                <m:sty m:val="p"/>
              </m:rPr>
              <m:t>PP</m:t>
            </m:r>
          </m:e>
          <m:sub>
            <m:r>
              <m:t>i</m:t>
            </m:r>
          </m:sub>
        </m:sSub>
      </m:oMath>
      <w:r>
        <w:t xml:space="preserve"> </w:t>
      </w:r>
      <w:r>
        <w:t xml:space="preserve">citosólico), encargadas de acidificar la vacuola (</w:t>
      </w:r>
      <m:oMath>
        <m:r>
          <m:rPr>
            <m:nor/>
            <m:sty m:val="p"/>
          </m:rPr>
          <m:t>pH</m:t>
        </m:r>
        <m:r>
          <m:rPr>
            <m:sty m:val="p"/>
          </m:rPr>
          <m:t>≈</m:t>
        </m:r>
        <m:r>
          <m:t>5.0</m:t>
        </m:r>
        <m:r>
          <m:rPr>
            <m:sty m:val="p"/>
          </m:rPr>
          <m:t>−</m:t>
        </m:r>
        <m:r>
          <m:t>5.5</m:t>
        </m:r>
      </m:oMath>
      <w:r>
        <w:t xml:space="preserve">) y establecer un potencial de membrana transtonoplástico de</w:t>
      </w:r>
      <w:r>
        <w:t xml:space="preserve"> </w:t>
      </w:r>
      <m:oMath>
        <m:r>
          <m:rPr>
            <m:sty m:val="p"/>
          </m:rPr>
          <m:t>+</m:t>
        </m:r>
        <m:r>
          <m:t>30</m:t>
        </m:r>
      </m:oMath>
      <w:r>
        <w:t xml:space="preserve"> </w:t>
      </w:r>
      <w:r>
        <w:t xml:space="preserve">a</w:t>
      </w:r>
      <w:r>
        <w:t xml:space="preserve"> </w:t>
      </w:r>
      <m:oMath>
        <m:r>
          <m:rPr>
            <m:sty m:val="p"/>
          </m:rPr>
          <m:t>+</m:t>
        </m:r>
        <m:r>
          <m:t>50</m:t>
        </m:r>
        <m:r>
          <m:t> </m:t>
        </m:r>
        <m:r>
          <m:rPr>
            <m:nor/>
            <m:sty m:val="p"/>
          </m:rPr>
          <m:t>mV</m:t>
        </m:r>
      </m:oMath>
      <w:r>
        <w:t xml:space="preserve"> </w:t>
      </w:r>
      <w:r>
        <w:t xml:space="preserve">orientado hacia el interior de la vacuola</w:t>
      </w:r>
      <w:r>
        <w:t xml:space="preserve"> </w:t>
      </w:r>
      <w:r>
        <w:t xml:space="preserve">.</w:t>
      </w:r>
    </w:p>
    <w:p>
      <w:pPr>
        <w:numPr>
          <w:ilvl w:val="0"/>
          <w:numId w:val="1003"/>
        </w:numPr>
      </w:pPr>
      <w:r>
        <w:rPr>
          <w:b/>
          <w:bCs/>
        </w:rPr>
        <w:t xml:space="preserve">Cloroplastos estomáticos:</w:t>
      </w:r>
      <w:r>
        <w:t xml:space="preserve"> </w:t>
      </w:r>
      <w:r>
        <w:t xml:space="preserve">Las células oclusivas son las únicas células de la epidermis foliar que retienen cloroplastos diferenciados (típicamente de 8 a 15 por célula). Estos organelos poseen tilacoides con grana desarrollados y fotosistemas funcionales. No obstante, su actividad de fijación de carbono por ribulosa-1,5-bisfosfato carboxilasa/oxigenasa (Rubisco) es considerablemente reducida (menos del 10% respecto al mesófilo). Su función principal consiste en generar ATP por fotofosforilación acíclica y cíclica para alimentar las bombas de protones de membrana, albergar fotorreceptores de luz azul y transducir reservas transitorias de almidón que se hidrolizan al amanecer para abastecer la síntesis de esqueletos carbonados osmóticos</w:t>
      </w:r>
      <w:r>
        <w:t xml:space="preserve"> </w:t>
      </w:r>
      <w:r>
        <w:t xml:space="preserve">.</w:t>
      </w:r>
    </w:p>
    <w:p>
      <w:pPr>
        <w:numPr>
          <w:ilvl w:val="0"/>
          <w:numId w:val="1003"/>
        </w:numPr>
      </w:pPr>
      <w:r>
        <w:rPr>
          <w:b/>
          <w:bCs/>
        </w:rPr>
        <w:t xml:space="preserve">Mitocondrias:</w:t>
      </w:r>
      <w:r>
        <w:t xml:space="preserve"> </w:t>
      </w:r>
      <w:r>
        <w:t xml:space="preserve">Presentan crestas densas y una actividad respiratoria desproporcionadamente alta en comparación con otros tejidos vegetales, suministrando de manera ininterrumpida el ATP necesario para energizar la</w:t>
      </w:r>
      <w:r>
        <w:t xml:space="preserve"> </w:t>
      </w:r>
      <m:oMath>
        <m:sSup>
          <m:e>
            <m:r>
              <m:t>H</m:t>
            </m:r>
          </m:e>
          <m:sup>
            <m:r>
              <m:rPr>
                <m:sty m:val="p"/>
              </m:rPr>
              <m:t>+</m:t>
            </m:r>
          </m:sup>
        </m:sSup>
      </m:oMath>
      <w:r>
        <w:t xml:space="preserve">-ATPasa de membrana plasmática en condiciones donde la fotosíntesis plastídica es insuficiente o ante perturbaciones osmóticas</w:t>
      </w:r>
      <w:r>
        <w:t xml:space="preserve"> </w:t>
      </w:r>
      <w:r>
        <w:t xml:space="preserve">.</w:t>
      </w:r>
    </w:p>
    <w:p>
      <w:pPr>
        <w:numPr>
          <w:ilvl w:val="0"/>
          <w:numId w:val="1003"/>
        </w:numPr>
      </w:pPr>
      <w:r>
        <w:rPr>
          <w:b/>
          <w:bCs/>
        </w:rPr>
        <w:t xml:space="preserve">Citoesqueleto microtubular y de actina:</w:t>
      </w:r>
      <w:r>
        <w:t xml:space="preserve"> </w:t>
      </w:r>
      <w:r>
        <w:t xml:space="preserve">El citoesqueleto orquesta activamente los cambios de forma. Los microtúbulos corticales adoptan una orientación radial simétrica guiando la dirección de síntesis de las microfibrillas de pared. Los microfilamentos de actina transitan de una arquitectura radial extendida de cables tensiles en estado turgente a una red desensamblada y amorfa mediada por la elevación de calcio libre durante el cierre</w:t>
      </w:r>
      <w:r>
        <w:t xml:space="preserve"> </w:t>
      </w:r>
      <w:r>
        <w:t xml:space="preserve">.</w:t>
      </w:r>
    </w:p>
    <w:bookmarkEnd w:id="26"/>
    <w:bookmarkEnd w:id="27"/>
    <w:bookmarkStart w:id="30" w:name="X9d8c769c829a97dbf84604810444c3703e179d2"/>
    <w:p>
      <w:pPr>
        <w:pStyle w:val="Heading1"/>
      </w:pPr>
      <w:r>
        <w:t xml:space="preserve">Fisiología celular, bioenergética y homeostasis osmótica</w:t>
      </w:r>
    </w:p>
    <w:p>
      <w:pPr>
        <w:pStyle w:val="FirstParagraph"/>
      </w:pPr>
      <w:r>
        <w:t xml:space="preserve">La modulación del poro estomático constituye una respuesta hidráulica gobernada por el gradiente de potencial hídrico celular:</w:t>
      </w:r>
    </w:p>
    <w:p>
      <w:pPr>
        <w:pStyle w:val="BodyText"/>
      </w:pPr>
      <m:oMathPara>
        <m:oMathParaPr>
          <m:jc m:val="center"/>
        </m:oMathParaPr>
        <m:oMath>
          <m:sSub>
            <m:e>
              <m:r>
                <m:rPr>
                  <m:sty m:val="p"/>
                </m:rPr>
                <m:t>Ψ</m:t>
              </m:r>
            </m:e>
            <m:sub>
              <m:r>
                <m:t>w</m:t>
              </m:r>
            </m:sub>
          </m:sSub>
          <m:r>
            <m:rPr>
              <m:sty m:val="p"/>
            </m:rPr>
            <m:t>=</m:t>
          </m:r>
          <m:sSub>
            <m:e>
              <m:r>
                <m:rPr>
                  <m:sty m:val="p"/>
                </m:rPr>
                <m:t>Ψ</m:t>
              </m:r>
            </m:e>
            <m:sub>
              <m:r>
                <m:t>s</m:t>
              </m:r>
            </m:sub>
          </m:sSub>
          <m:r>
            <m:rPr>
              <m:sty m:val="p"/>
            </m:rPr>
            <m:t>+</m:t>
          </m:r>
          <m:sSub>
            <m:e>
              <m:r>
                <m:rPr>
                  <m:sty m:val="p"/>
                </m:rPr>
                <m:t>Ψ</m:t>
              </m:r>
            </m:e>
            <m:sub>
              <m:r>
                <m:t>p</m:t>
              </m:r>
            </m:sub>
          </m:sSub>
        </m:oMath>
      </m:oMathPara>
    </w:p>
    <w:p>
      <w:pPr>
        <w:pStyle w:val="FirstParagraph"/>
      </w:pPr>
      <w:r>
        <w:t xml:space="preserve">Cuando el citosol y la vacuola acumulan osmolitos solubles, el potencial osmótico (</w:t>
      </w:r>
      <m:oMath>
        <m:sSub>
          <m:e>
            <m:r>
              <m:rPr>
                <m:sty m:val="p"/>
              </m:rPr>
              <m:t>Ψ</m:t>
            </m:r>
          </m:e>
          <m:sub>
            <m:r>
              <m:t>s</m:t>
            </m:r>
          </m:sub>
        </m:sSub>
      </m:oMath>
      <w:r>
        <w:t xml:space="preserve">) se hace fuertemente negativo (descendiendo desde</w:t>
      </w:r>
      <w:r>
        <w:t xml:space="preserve"> </w:t>
      </w:r>
      <m:oMath>
        <m:r>
          <m:rPr>
            <m:sty m:val="p"/>
          </m:rPr>
          <m:t>−</m:t>
        </m:r>
        <m:r>
          <m:t>1.0</m:t>
        </m:r>
        <m:r>
          <m:t> </m:t>
        </m:r>
        <m:r>
          <m:rPr>
            <m:nor/>
            <m:sty m:val="p"/>
          </m:rPr>
          <m:t>MPa</m:t>
        </m:r>
      </m:oMath>
      <w:r>
        <w:t xml:space="preserve"> </w:t>
      </w:r>
      <w:r>
        <w:t xml:space="preserve">en estado cerrado hasta</w:t>
      </w:r>
      <w:r>
        <w:t xml:space="preserve"> </w:t>
      </w:r>
      <m:oMath>
        <m:r>
          <m:rPr>
            <m:sty m:val="p"/>
          </m:rPr>
          <m:t>−</m:t>
        </m:r>
        <m:r>
          <m:t>3.5</m:t>
        </m:r>
      </m:oMath>
      <w:r>
        <w:t xml:space="preserve"> </w:t>
      </w:r>
      <w:r>
        <w:t xml:space="preserve">a</w:t>
      </w:r>
      <w:r>
        <w:t xml:space="preserve"> </w:t>
      </w:r>
      <m:oMath>
        <m:r>
          <m:rPr>
            <m:sty m:val="p"/>
          </m:rPr>
          <m:t>−</m:t>
        </m:r>
        <m:r>
          <m:t>4.5</m:t>
        </m:r>
        <m:r>
          <m:t> </m:t>
        </m:r>
        <m:r>
          <m:rPr>
            <m:nor/>
            <m:sty m:val="p"/>
          </m:rPr>
          <m:t>MPa</m:t>
        </m:r>
      </m:oMath>
      <w:r>
        <w:t xml:space="preserve"> </w:t>
      </w:r>
      <w:r>
        <w:t xml:space="preserve">en estado abierto). Este gradiente negativo crea una fuerza termodinámica motriz que succiona agua desde el apoplasto hacia el interior de la célula oclusiva a través de acuaporinas transmembranales de la subfamilia PIP (</w:t>
      </w:r>
      <w:r>
        <w:rPr>
          <w:i/>
          <w:iCs/>
        </w:rPr>
        <w:t xml:space="preserve">Plasma membrane Intrinsic Proteins</w:t>
      </w:r>
      <w:r>
        <w:t xml:space="preserve">), elevando la presión de turgencia hidrostática (</w:t>
      </w:r>
      <m:oMath>
        <m:sSub>
          <m:e>
            <m:r>
              <m:rPr>
                <m:sty m:val="p"/>
              </m:rPr>
              <m:t>Ψ</m:t>
            </m:r>
          </m:e>
          <m:sub>
            <m:r>
              <m:t>p</m:t>
            </m:r>
          </m:sub>
        </m:sSub>
      </m:oMath>
      <w:r>
        <w:t xml:space="preserve">) por encima de</w:t>
      </w:r>
      <w:r>
        <w:t xml:space="preserve"> </w:t>
      </w:r>
      <m:oMath>
        <m:r>
          <m:t>3.5</m:t>
        </m:r>
        <m:r>
          <m:t> </m:t>
        </m:r>
        <m:r>
          <m:rPr>
            <m:nor/>
            <m:sty m:val="p"/>
          </m:rPr>
          <m:t>MPa</m:t>
        </m:r>
      </m:oMath>
      <w:r>
        <w:t xml:space="preserve"> </w:t>
      </w:r>
      <w:r>
        <w:t xml:space="preserve">.</w:t>
      </w:r>
    </w:p>
    <w:bookmarkStart w:id="28" w:name="X5b675d48bb80db1a4b943c676d64ea6ec504926"/>
    <w:p>
      <w:pPr>
        <w:pStyle w:val="Heading2"/>
      </w:pPr>
      <w:r>
        <w:t xml:space="preserve">Fase de apertura: generación del potencial electroquímico y captación de solutos</w:t>
      </w:r>
    </w:p>
    <w:p>
      <w:pPr>
        <w:pStyle w:val="FirstParagraph"/>
      </w:pPr>
      <w:r>
        <w:t xml:space="preserve">El proceso de apertura estomática matutino ocurre mediante un circuito fisiológico orquestado:</w:t>
      </w:r>
    </w:p>
    <w:p>
      <w:pPr>
        <w:numPr>
          <w:ilvl w:val="0"/>
          <w:numId w:val="1004"/>
        </w:numPr>
      </w:pPr>
      <w:r>
        <w:rPr>
          <w:b/>
          <w:bCs/>
        </w:rPr>
        <w:t xml:space="preserve">Percepción luminosa y activación de la</w:t>
      </w:r>
      <w:r>
        <w:rPr>
          <w:b/>
          <w:bCs/>
        </w:rPr>
        <w:t xml:space="preserve"> </w:t>
      </w:r>
      <m:oMath>
        <m:sSup>
          <m:e>
            <m:r>
              <m:t>H</m:t>
            </m:r>
          </m:e>
          <m:sup>
            <m:r>
              <m:rPr>
                <m:sty m:val="p"/>
              </m:rPr>
              <m:t>+</m:t>
            </m:r>
          </m:sup>
        </m:sSup>
      </m:oMath>
      <w:r>
        <w:rPr>
          <w:b/>
          <w:bCs/>
        </w:rPr>
        <w:t xml:space="preserve">-ATPasa:</w:t>
      </w:r>
      <w:r>
        <w:t xml:space="preserve"> </w:t>
      </w:r>
      <w:r>
        <w:t xml:space="preserve">La luz azul matutina (</w:t>
      </w:r>
      <m:oMath>
        <m:r>
          <m:t>450</m:t>
        </m:r>
        <m:r>
          <m:t> </m:t>
        </m:r>
        <m:r>
          <m:rPr>
            <m:nor/>
            <m:sty m:val="p"/>
          </m:rPr>
          <m:t>nm</m:t>
        </m:r>
      </m:oMath>
      <w:r>
        <w:t xml:space="preserve">) activa a los fotorreceptores citoplasmáticos fototropinas 1 y 2 (PHOT1/PHOT2), cinasas serina/treonina que autofosforilan dominios LOV y desencadenan la señal a través de la proteína BLUS1. Esto converge en la fosforilación del residuo terminal conservado Treonina-947 de la</w:t>
      </w:r>
      <w:r>
        <w:t xml:space="preserve"> </w:t>
      </w:r>
      <m:oMath>
        <m:sSup>
          <m:e>
            <m:r>
              <m:t>H</m:t>
            </m:r>
          </m:e>
          <m:sup>
            <m:r>
              <m:rPr>
                <m:sty m:val="p"/>
              </m:rPr>
              <m:t>+</m:t>
            </m:r>
          </m:sup>
        </m:sSup>
      </m:oMath>
      <w:r>
        <w:t xml:space="preserve">-ATPasa de membrana plasmática (isoformas predominantes AHA1 y AHA2 en *Arabidopsis*).</w:t>
      </w:r>
    </w:p>
    <w:p>
      <w:pPr>
        <w:numPr>
          <w:ilvl w:val="0"/>
          <w:numId w:val="1004"/>
        </w:numPr>
      </w:pPr>
      <w:r>
        <w:rPr>
          <w:b/>
          <w:bCs/>
        </w:rPr>
        <w:t xml:space="preserve">Unión de proteínas 14-3-3 e hiperpolarización de membrana:</w:t>
      </w:r>
      <w:r>
        <w:t xml:space="preserve"> </w:t>
      </w:r>
      <w:r>
        <w:t xml:space="preserve">La fosforilación de Thr-947 recluta una proteína reguladora 14-3-3 que inhibe el dominio autoinhibitorio carboxilo-terminal de la bomba. Al activarse plenamente, la</w:t>
      </w:r>
      <w:r>
        <w:t xml:space="preserve"> </w:t>
      </w:r>
      <m:oMath>
        <m:sSup>
          <m:e>
            <m:r>
              <m:t>H</m:t>
            </m:r>
          </m:e>
          <m:sup>
            <m:r>
              <m:rPr>
                <m:sty m:val="p"/>
              </m:rPr>
              <m:t>+</m:t>
            </m:r>
          </m:sup>
        </m:sSup>
      </m:oMath>
      <w:r>
        <w:t xml:space="preserve">-ATPasa expulsa protones hacia el apoplasto consumiendo ATP, acidificando el espacio parietal (</w:t>
      </w:r>
      <m:oMath>
        <m:r>
          <m:rPr>
            <m:nor/>
            <m:sty m:val="p"/>
          </m:rPr>
          <m:t>pH</m:t>
        </m:r>
        <m:r>
          <m:rPr>
            <m:sty m:val="p"/>
          </m:rPr>
          <m:t>≈</m:t>
        </m:r>
        <m:r>
          <m:t>4.8</m:t>
        </m:r>
      </m:oMath>
      <w:r>
        <w:t xml:space="preserve">) y generando una dramática hiperpolarización del potencial de membrana (</w:t>
      </w:r>
      <m:oMath>
        <m:sSub>
          <m:e>
            <m:r>
              <m:t>V</m:t>
            </m:r>
          </m:e>
          <m:sub>
            <m:r>
              <m:t>m</m:t>
            </m:r>
          </m:sub>
        </m:sSub>
      </m:oMath>
      <w:r>
        <w:t xml:space="preserve">) desde</w:t>
      </w:r>
      <w:r>
        <w:t xml:space="preserve"> </w:t>
      </w:r>
      <m:oMath>
        <m:r>
          <m:rPr>
            <m:sty m:val="p"/>
          </m:rPr>
          <m:t>−</m:t>
        </m:r>
        <m:r>
          <m:t>80</m:t>
        </m:r>
        <m:r>
          <m:t> </m:t>
        </m:r>
        <m:r>
          <m:rPr>
            <m:nor/>
            <m:sty m:val="p"/>
          </m:rPr>
          <m:t>mV</m:t>
        </m:r>
      </m:oMath>
      <w:r>
        <w:t xml:space="preserve"> </w:t>
      </w:r>
      <w:r>
        <w:t xml:space="preserve">hasta valores inferiores a</w:t>
      </w:r>
      <w:r>
        <w:t xml:space="preserve"> </w:t>
      </w:r>
      <m:oMath>
        <m:r>
          <m:rPr>
            <m:sty m:val="p"/>
          </m:rPr>
          <m:t>−</m:t>
        </m:r>
        <m:r>
          <m:t>160</m:t>
        </m:r>
        <m:r>
          <m:t> </m:t>
        </m:r>
        <m:r>
          <m:rPr>
            <m:nor/>
            <m:sty m:val="p"/>
          </m:rPr>
          <m:t>mV</m:t>
        </m:r>
      </m:oMath>
      <w:r>
        <w:t xml:space="preserve"> </w:t>
      </w:r>
      <w:r>
        <w:t xml:space="preserve">(pudiendo alcanzar</w:t>
      </w:r>
      <w:r>
        <w:t xml:space="preserve"> </w:t>
      </w:r>
      <m:oMath>
        <m:r>
          <m:rPr>
            <m:sty m:val="p"/>
          </m:rPr>
          <m:t>−</m:t>
        </m:r>
        <m:r>
          <m:t>200</m:t>
        </m:r>
        <m:r>
          <m:t> </m:t>
        </m:r>
        <m:r>
          <m:rPr>
            <m:nor/>
            <m:sty m:val="p"/>
          </m:rPr>
          <m:t>mV</m:t>
        </m:r>
      </m:oMath>
      <w:r>
        <w:t xml:space="preserve">)</w:t>
      </w:r>
      <w:r>
        <w:t xml:space="preserve"> </w:t>
      </w:r>
      <w:r>
        <w:t xml:space="preserve">.</w:t>
      </w:r>
    </w:p>
    <w:p>
      <w:pPr>
        <w:numPr>
          <w:ilvl w:val="0"/>
          <w:numId w:val="1004"/>
        </w:numPr>
      </w:pPr>
      <w:r>
        <w:rPr>
          <w:b/>
          <w:bCs/>
        </w:rPr>
        <w:t xml:space="preserve">Influjo electroforético de Potasio (</w:t>
      </w:r>
      <m:oMath>
        <m:sSup>
          <m:e>
            <m:r>
              <m:t>K</m:t>
            </m:r>
          </m:e>
          <m:sup>
            <m:r>
              <m:rPr>
                <m:sty m:val="p"/>
              </m:rPr>
              <m:t>+</m:t>
            </m:r>
          </m:sup>
        </m:sSup>
      </m:oMath>
      <w:r>
        <w:rPr>
          <w:b/>
          <w:bCs/>
        </w:rPr>
        <w:t xml:space="preserve">):</w:t>
      </w:r>
      <w:r>
        <w:t xml:space="preserve"> </w:t>
      </w:r>
      <w:r>
        <w:t xml:space="preserve">Dado que el potencial de equilibrio termodinámico de Nernst para el potasio (</w:t>
      </w:r>
      <m:oMath>
        <m:sSub>
          <m:e>
            <m:r>
              <m:t>E</m:t>
            </m:r>
          </m:e>
          <m:sub>
            <m:r>
              <m:t>K</m:t>
            </m:r>
          </m:sub>
        </m:sSub>
      </m:oMath>
      <w:r>
        <w:t xml:space="preserve">) se sitúa en torno a</w:t>
      </w:r>
      <w:r>
        <w:t xml:space="preserve"> </w:t>
      </w:r>
      <m:oMath>
        <m:r>
          <m:rPr>
            <m:sty m:val="p"/>
          </m:rPr>
          <m:t>−</m:t>
        </m:r>
        <m:r>
          <m:t>120</m:t>
        </m:r>
        <m:r>
          <m:t> </m:t>
        </m:r>
        <m:r>
          <m:rPr>
            <m:nor/>
            <m:sty m:val="p"/>
          </m:rPr>
          <m:t>mV</m:t>
        </m:r>
      </m:oMath>
      <w:r>
        <w:t xml:space="preserve">, la hiperpolarización a</w:t>
      </w:r>
      <w:r>
        <w:t xml:space="preserve"> </w:t>
      </w:r>
      <m:oMath>
        <m:r>
          <m:rPr>
            <m:sty m:val="p"/>
          </m:rPr>
          <m:t>−</m:t>
        </m:r>
        <m:r>
          <m:t>180</m:t>
        </m:r>
        <m:r>
          <m:t> </m:t>
        </m:r>
        <m:r>
          <m:rPr>
            <m:nor/>
            <m:sty m:val="p"/>
          </m:rPr>
          <m:t>mV</m:t>
        </m:r>
      </m:oMath>
      <w:r>
        <w:t xml:space="preserve"> </w:t>
      </w:r>
      <w:r>
        <w:t xml:space="preserve">activa a los canales rectificadores entrantes de potasio dependientes de voltaje de la familia Shaker (KAT1, KAT2 y heterotetrámeros KAT1/AKT1). El</w:t>
      </w:r>
      <w:r>
        <w:t xml:space="preserve"> </w:t>
      </w:r>
      <m:oMath>
        <m:sSup>
          <m:e>
            <m:r>
              <m:t>K</m:t>
            </m:r>
          </m:e>
          <m:sup>
            <m:r>
              <m:rPr>
                <m:sty m:val="p"/>
              </m:rPr>
              <m:t>+</m:t>
            </m:r>
          </m:sup>
        </m:sSup>
      </m:oMath>
      <w:r>
        <w:t xml:space="preserve"> </w:t>
      </w:r>
      <w:r>
        <w:t xml:space="preserve">ingresa masivamente a favor de su gradiente electroquímico, elevando su concentración intracelular desde</w:t>
      </w:r>
      <w:r>
        <w:t xml:space="preserve"> </w:t>
      </w:r>
      <m:oMath>
        <m:r>
          <m:t>100</m:t>
        </m:r>
        <m:r>
          <m:t> </m:t>
        </m:r>
        <m:r>
          <m:rPr>
            <m:nor/>
            <m:sty m:val="p"/>
          </m:rPr>
          <m:t>mM</m:t>
        </m:r>
      </m:oMath>
      <w:r>
        <w:t xml:space="preserve"> </w:t>
      </w:r>
      <w:r>
        <w:t xml:space="preserve">hasta</w:t>
      </w:r>
      <w:r>
        <w:t xml:space="preserve"> </w:t>
      </w:r>
      <m:oMath>
        <m:r>
          <m:t>400</m:t>
        </m:r>
        <m:r>
          <m:rPr>
            <m:sty m:val="p"/>
          </m:rPr>
          <m:t>−</m:t>
        </m:r>
        <m:r>
          <m:t>800</m:t>
        </m:r>
        <m:r>
          <m:t> </m:t>
        </m:r>
        <m:r>
          <m:rPr>
            <m:nor/>
            <m:sty m:val="p"/>
          </m:rPr>
          <m:t>mM</m:t>
        </m:r>
      </m:oMath>
      <w:r>
        <w:t xml:space="preserve"> </w:t>
      </w:r>
      <w:r>
        <w:t xml:space="preserve">.</w:t>
      </w:r>
    </w:p>
    <w:p>
      <w:pPr>
        <w:numPr>
          <w:ilvl w:val="0"/>
          <w:numId w:val="1004"/>
        </w:numPr>
      </w:pPr>
      <w:r>
        <w:rPr>
          <w:b/>
          <w:bCs/>
        </w:rPr>
        <w:t xml:space="preserve">Neutralización electrostática e influjo de Aniones:</w:t>
      </w:r>
      <w:r>
        <w:t xml:space="preserve"> </w:t>
      </w:r>
      <w:r>
        <w:t xml:space="preserve">El ingreso masivo de cargas catiónicas de</w:t>
      </w:r>
      <w:r>
        <w:t xml:space="preserve"> </w:t>
      </w:r>
      <m:oMath>
        <m:sSup>
          <m:e>
            <m:r>
              <m:t>K</m:t>
            </m:r>
          </m:e>
          <m:sup>
            <m:r>
              <m:rPr>
                <m:sty m:val="p"/>
              </m:rPr>
              <m:t>+</m:t>
            </m:r>
          </m:sup>
        </m:sSup>
      </m:oMath>
      <w:r>
        <w:t xml:space="preserve"> </w:t>
      </w:r>
      <w:r>
        <w:t xml:space="preserve">debe neutralizarse electroquímicamente para mantener el balance celular. Esto se logra mediante dos mecanismos simultáneos:</w:t>
      </w:r>
    </w:p>
    <w:p>
      <w:pPr>
        <w:numPr>
          <w:ilvl w:val="1"/>
          <w:numId w:val="1005"/>
        </w:numPr>
      </w:pPr>
      <w:r>
        <w:rPr>
          <w:i/>
          <w:iCs/>
        </w:rPr>
        <w:t xml:space="preserve">Cotransporte simporte de aniones inorgánicos:</w:t>
      </w:r>
      <w:r>
        <w:t xml:space="preserve"> </w:t>
      </w:r>
      <w:r>
        <w:t xml:space="preserve">Los transportadores de membrana tipo simporte</w:t>
      </w:r>
      <w:r>
        <w:t xml:space="preserve"> </w:t>
      </w:r>
      <m:oMath>
        <m:r>
          <m:t>2</m:t>
        </m:r>
        <m:sSup>
          <m:e>
            <m:r>
              <m:t>H</m:t>
            </m:r>
          </m:e>
          <m:sup>
            <m:r>
              <m:rPr>
                <m:sty m:val="p"/>
              </m:rPr>
              <m:t>+</m:t>
            </m:r>
          </m:sup>
        </m:sSup>
        <m:r>
          <m:rPr>
            <m:sty m:val="p"/>
          </m:rPr>
          <m:t>/</m:t>
        </m:r>
        <m:sSup>
          <m:e>
            <m:r>
              <m:rPr>
                <m:nor/>
                <m:sty m:val="p"/>
              </m:rPr>
              <m:t>Cl</m:t>
            </m:r>
          </m:e>
          <m:sup>
            <m:r>
              <m:rPr>
                <m:sty m:val="p"/>
              </m:rPr>
              <m:t>−</m:t>
            </m:r>
          </m:sup>
        </m:sSup>
      </m:oMath>
      <w:r>
        <w:t xml:space="preserve"> </w:t>
      </w:r>
      <w:r>
        <w:t xml:space="preserve">(CLCa) y transportadores de nitrato (NRT1.5) captan cloruro y nitrato del apoplasto acoplados al gradiente protónico.</w:t>
      </w:r>
    </w:p>
    <w:p>
      <w:pPr>
        <w:numPr>
          <w:ilvl w:val="1"/>
          <w:numId w:val="1005"/>
        </w:numPr>
      </w:pPr>
      <w:r>
        <w:rPr>
          <w:i/>
          <w:iCs/>
        </w:rPr>
        <w:t xml:space="preserve">Biosíntesis acelerada de malato citosólico:</w:t>
      </w:r>
      <w:r>
        <w:t xml:space="preserve"> </w:t>
      </w:r>
      <w:r>
        <w:t xml:space="preserve">El almidón de los cloroplastos se degrada a glucosa-6-fosfato y posteriormente a fosfoenolpiruvato (PEP) en la glucólisis. La enzima citosólica fosfoenolpiruvato carboxilasa (PEPC) fija bicarbonato (</w:t>
      </w:r>
      <m:oMath>
        <m:sSubSup>
          <m:e>
            <m:r>
              <m:rPr>
                <m:nor/>
                <m:sty m:val="p"/>
              </m:rPr>
              <m:t>HCO</m:t>
            </m:r>
          </m:e>
          <m:sub>
            <m:r>
              <m:t>3</m:t>
            </m:r>
          </m:sub>
          <m:sup>
            <m:r>
              <m:rPr>
                <m:sty m:val="p"/>
              </m:rPr>
              <m:t>−</m:t>
            </m:r>
          </m:sup>
        </m:sSubSup>
      </m:oMath>
      <w:r>
        <w:t xml:space="preserve">) sobre el PEP para rendir oxalacetato, el cual es reducido a malato</w:t>
      </w:r>
      <m:oMath>
        <m:sSup>
          <m:e>
            <m:r>
              <m:t>​</m:t>
            </m:r>
          </m:e>
          <m:sup>
            <m:r>
              <m:t>2</m:t>
            </m:r>
            <m:r>
              <m:rPr>
                <m:sty m:val="p"/>
              </m:rPr>
              <m:t>−</m:t>
            </m:r>
          </m:sup>
        </m:sSup>
      </m:oMath>
      <w:r>
        <w:t xml:space="preserve"> </w:t>
      </w:r>
      <w:r>
        <w:t xml:space="preserve">por la malato deshidrogenasa citoplásmica dependiente de NADH:</w:t>
      </w:r>
    </w:p>
    <w:p>
      <w:pPr>
        <w:pStyle w:val="BodyText"/>
      </w:pPr>
      <m:oMathPara>
        <m:oMathParaPr>
          <m:jc m:val="center"/>
        </m:oMathParaPr>
        <m:oMath>
          <m:r>
            <m:rPr>
              <m:nor/>
              <m:sty m:val="p"/>
            </m:rPr>
            <m:t>PEP</m:t>
          </m:r>
          <m:r>
            <m:rPr>
              <m:sty m:val="p"/>
            </m:rPr>
            <m:t>+</m:t>
          </m:r>
          <m:sSubSup>
            <m:e>
              <m:r>
                <m:rPr>
                  <m:nor/>
                  <m:sty m:val="p"/>
                </m:rPr>
                <m:t>HCO</m:t>
              </m:r>
            </m:e>
            <m:sub>
              <m:r>
                <m:t>3</m:t>
              </m:r>
            </m:sub>
            <m:sup>
              <m:r>
                <m:rPr>
                  <m:sty m:val="p"/>
                </m:rPr>
                <m:t>−</m:t>
              </m:r>
            </m:sup>
          </m:sSubSup>
          <m:limUpp>
            <m:e>
              <m:r>
                <m:rPr>
                  <m:sty m:val="p"/>
                </m:rPr>
                <m:t>→</m:t>
              </m:r>
            </m:e>
            <m:lim>
              <m:r>
                <m:rPr>
                  <m:nor/>
                  <m:sty m:val="p"/>
                </m:rPr>
                <m:t>PEPC</m:t>
              </m:r>
            </m:lim>
          </m:limUpp>
          <m:r>
            <m:rPr>
              <m:nor/>
              <m:sty m:val="p"/>
            </m:rPr>
            <m:t>Oxalacetato</m:t>
          </m:r>
          <m:r>
            <m:rPr>
              <m:sty m:val="p"/>
            </m:rPr>
            <m:t>+</m:t>
          </m:r>
          <m:sSub>
            <m:e>
              <m:r>
                <m:rPr>
                  <m:nor/>
                  <m:sty m:val="p"/>
                </m:rPr>
                <m:t>P</m:t>
              </m:r>
            </m:e>
            <m:sub>
              <m:r>
                <m:t>i</m:t>
              </m:r>
            </m:sub>
          </m:sSub>
          <m:limLow>
            <m:e>
              <m:limUpp>
                <m:e>
                  <m:r>
                    <m:rPr>
                      <m:sty m:val="p"/>
                    </m:rPr>
                    <m:t>→</m:t>
                  </m:r>
                </m:e>
                <m:lim>
                  <m:r>
                    <m:rPr>
                      <m:nor/>
                      <m:sty m:val="p"/>
                    </m:rPr>
                    <m:t>c-MDH</m:t>
                  </m:r>
                </m:lim>
              </m:limUpp>
            </m:e>
            <m:lim>
              <m:r>
                <m:rPr>
                  <m:nor/>
                  <m:sty m:val="p"/>
                </m:rPr>
                <m:t>NADH</m:t>
              </m:r>
              <m:r>
                <m:rPr>
                  <m:sty m:val="p"/>
                </m:rPr>
                <m:t>→</m:t>
              </m:r>
              <m:sSup>
                <m:e>
                  <m:r>
                    <m:rPr>
                      <m:nor/>
                      <m:sty m:val="p"/>
                    </m:rPr>
                    <m:t>NAD</m:t>
                  </m:r>
                </m:e>
                <m:sup>
                  <m:r>
                    <m:rPr>
                      <m:sty m:val="p"/>
                    </m:rPr>
                    <m:t>+</m:t>
                  </m:r>
                </m:sup>
              </m:sSup>
            </m:lim>
          </m:limLow>
          <m:sSup>
            <m:e>
              <m:r>
                <m:rPr>
                  <m:nor/>
                  <m:sty m:val="p"/>
                </m:rPr>
                <m:t>Malato</m:t>
              </m:r>
            </m:e>
            <m:sup>
              <m:r>
                <m:t>2</m:t>
              </m:r>
              <m:r>
                <m:rPr>
                  <m:sty m:val="p"/>
                </m:rPr>
                <m:t>−</m:t>
              </m:r>
            </m:sup>
          </m:sSup>
        </m:oMath>
      </m:oMathPara>
    </w:p>
    <w:p>
      <w:pPr>
        <w:numPr>
          <w:ilvl w:val="0"/>
          <w:numId w:val="1004"/>
        </w:numPr>
      </w:pPr>
      <w:r>
        <w:rPr>
          <w:b/>
          <w:bCs/>
        </w:rPr>
        <w:t xml:space="preserve">Secuestro vacuolar:</w:t>
      </w:r>
      <w:r>
        <w:t xml:space="preserve"> </w:t>
      </w:r>
      <w:r>
        <w:t xml:space="preserve">El potasio citosólico ingresa a la vacuola mediante antiportadores catión/</w:t>
      </w:r>
      <m:oMath>
        <m:sSup>
          <m:e>
            <m:r>
              <m:t>H</m:t>
            </m:r>
          </m:e>
          <m:sup>
            <m:r>
              <m:rPr>
                <m:sty m:val="p"/>
              </m:rPr>
              <m:t>+</m:t>
            </m:r>
          </m:sup>
        </m:sSup>
      </m:oMath>
      <w:r>
        <w:t xml:space="preserve"> </w:t>
      </w:r>
      <w:r>
        <w:t xml:space="preserve">(NHX1 y NHX2) y canales de dos poros TPK1, mientras que el malato</w:t>
      </w:r>
      <m:oMath>
        <m:sSup>
          <m:e>
            <m:r>
              <m:t>​</m:t>
            </m:r>
          </m:e>
          <m:sup>
            <m:r>
              <m:t>2</m:t>
            </m:r>
            <m:r>
              <m:rPr>
                <m:sty m:val="p"/>
              </m:rPr>
              <m:t>−</m:t>
            </m:r>
          </m:sup>
        </m:sSup>
      </m:oMath>
      <w:r>
        <w:t xml:space="preserve"> </w:t>
      </w:r>
      <w:r>
        <w:t xml:space="preserve">y el</w:t>
      </w:r>
      <w:r>
        <w:t xml:space="preserve"> </w:t>
      </w:r>
      <m:oMath>
        <m:sSup>
          <m:e>
            <m:r>
              <m:rPr>
                <m:nor/>
                <m:sty m:val="p"/>
              </m:rPr>
              <m:t>Cl</m:t>
            </m:r>
          </m:e>
          <m:sup>
            <m:r>
              <m:rPr>
                <m:sty m:val="p"/>
              </m:rPr>
              <m:t>−</m:t>
            </m:r>
          </m:sup>
        </m:sSup>
      </m:oMath>
      <w:r>
        <w:t xml:space="preserve"> </w:t>
      </w:r>
      <w:r>
        <w:t xml:space="preserve">son bombeados a la vacuola a través de canales aniónicos de tonoplasto tipo ALMT (AtALMT9), provocando la disminución osmótica global del potencial hídrico y la hinchazón turgente</w:t>
      </w:r>
      <w:r>
        <w:t xml:space="preserve"> </w:t>
      </w:r>
      <w:r>
        <w:t xml:space="preserve">.</w:t>
      </w:r>
    </w:p>
    <w:p>
      <w:pPr>
        <w:numPr>
          <w:ilvl w:val="0"/>
          <w:numId w:val="1004"/>
        </w:numPr>
      </w:pPr>
      <w:r>
        <w:rPr>
          <w:b/>
          <w:bCs/>
        </w:rPr>
        <w:t xml:space="preserve">Sustitución vespertina por sacarosa:</w:t>
      </w:r>
      <w:r>
        <w:t xml:space="preserve"> </w:t>
      </w:r>
      <w:r>
        <w:t xml:space="preserve">Mediciones micrométricas y biofísicas demuestran que el potasio y el malato dominan la turgencia en las primeras cuatro horas de la mañana (</w:t>
      </w:r>
      <m:oMath>
        <m:r>
          <m:t>06</m:t>
        </m:r>
        <m:r>
          <m:rPr>
            <m:sty m:val="p"/>
          </m:rPr>
          <m:t>:</m:t>
        </m:r>
        <m:r>
          <m:t>00</m:t>
        </m:r>
        <m:r>
          <m:rPr>
            <m:sty m:val="p"/>
          </m:rPr>
          <m:t>−</m:t>
        </m:r>
        <m:r>
          <m:t>10</m:t>
        </m:r>
        <m:r>
          <m:rPr>
            <m:sty m:val="p"/>
          </m:rPr>
          <m:t>:</m:t>
        </m:r>
        <m:r>
          <m:t>00</m:t>
        </m:r>
        <m:r>
          <m:t> </m:t>
        </m:r>
        <m:r>
          <m:rPr>
            <m:nor/>
            <m:sty m:val="p"/>
          </m:rPr>
          <m:t>h</m:t>
        </m:r>
      </m:oMath>
      <w:r>
        <w:t xml:space="preserve">). Hacia la tarde (</w:t>
      </w:r>
      <m:oMath>
        <m:r>
          <m:t>11</m:t>
        </m:r>
        <m:r>
          <m:rPr>
            <m:sty m:val="p"/>
          </m:rPr>
          <m:t>:</m:t>
        </m:r>
        <m:r>
          <m:t>00</m:t>
        </m:r>
        <m:r>
          <m:rPr>
            <m:sty m:val="p"/>
          </m:rPr>
          <m:t>−</m:t>
        </m:r>
        <m:r>
          <m:t>16</m:t>
        </m:r>
        <m:r>
          <m:rPr>
            <m:sty m:val="p"/>
          </m:rPr>
          <m:t>:</m:t>
        </m:r>
        <m:r>
          <m:t>00</m:t>
        </m:r>
        <m:r>
          <m:t> </m:t>
        </m:r>
        <m:r>
          <m:rPr>
            <m:nor/>
            <m:sty m:val="p"/>
          </m:rPr>
          <m:t>h</m:t>
        </m:r>
      </m:oMath>
      <w:r>
        <w:t xml:space="preserve">), la concentración de potasio decae progresivamente y el rol de osmolito mayoritario es asumido por la sacarosa, sintetizada internamente vía sacarosa-fosfato sintasa (SPS) o importada del apoplasto por simportes</w:t>
      </w:r>
      <w:r>
        <w:t xml:space="preserve"> </w:t>
      </w:r>
      <m:oMath>
        <m:sSup>
          <m:e>
            <m:r>
              <m:t>H</m:t>
            </m:r>
          </m:e>
          <m:sup>
            <m:r>
              <m:rPr>
                <m:sty m:val="p"/>
              </m:rPr>
              <m:t>+</m:t>
            </m:r>
          </m:sup>
        </m:sSup>
      </m:oMath>
      <w:r>
        <w:t xml:space="preserve">/sacarosa de la familia SUC/SUT, evitando toxicidades iónicas a largo plazo</w:t>
      </w:r>
      <w:r>
        <w:t xml:space="preserve"> </w:t>
      </w:r>
      <w:r>
        <w:t xml:space="preserve">.</w:t>
      </w:r>
    </w:p>
    <w:bookmarkEnd w:id="28"/>
    <w:bookmarkStart w:id="29" w:name="X0519d138ce1e7d7bf34ef3d8ad6019a2c1f2a4a"/>
    <w:p>
      <w:pPr>
        <w:pStyle w:val="Heading2"/>
      </w:pPr>
      <w:r>
        <w:t xml:space="preserve">Fase de cierre: despolarización y eflujo pasivo de solutos</w:t>
      </w:r>
    </w:p>
    <w:p>
      <w:pPr>
        <w:pStyle w:val="FirstParagraph"/>
      </w:pPr>
      <w:r>
        <w:t xml:space="preserve">El cierre estomático ante la oscuridad o bajo déficit hídrico edáfico es una respuesta activa gobernada por el eflujo catiónico y aniónico:</w:t>
      </w:r>
    </w:p>
    <w:p>
      <w:pPr>
        <w:numPr>
          <w:ilvl w:val="0"/>
          <w:numId w:val="1006"/>
        </w:numPr>
      </w:pPr>
      <w:r>
        <w:t xml:space="preserve">La señalización hormonal o estrés activa canales aniónicos lentos tipo S (SLAC1) y rápidos tipo R (QUAC1/ALMT12) en la membrana plasmática.</w:t>
      </w:r>
    </w:p>
    <w:p>
      <w:pPr>
        <w:numPr>
          <w:ilvl w:val="0"/>
          <w:numId w:val="1006"/>
        </w:numPr>
      </w:pPr>
      <w:r>
        <w:t xml:space="preserve">El eflujo de</w:t>
      </w:r>
      <w:r>
        <w:t xml:space="preserve"> </w:t>
      </w:r>
      <m:oMath>
        <m:sSup>
          <m:e>
            <m:r>
              <m:rPr>
                <m:nor/>
                <m:sty m:val="p"/>
              </m:rPr>
              <m:t>Cl</m:t>
            </m:r>
          </m:e>
          <m:sup>
            <m:r>
              <m:rPr>
                <m:sty m:val="p"/>
              </m:rPr>
              <m:t>−</m:t>
            </m:r>
          </m:sup>
        </m:sSup>
      </m:oMath>
      <w:r>
        <w:t xml:space="preserve"> </w:t>
      </w:r>
      <w:r>
        <w:t xml:space="preserve">y malato</w:t>
      </w:r>
      <m:oMath>
        <m:sSup>
          <m:e>
            <m:r>
              <m:t>​</m:t>
            </m:r>
          </m:e>
          <m:sup>
            <m:r>
              <m:t>2</m:t>
            </m:r>
            <m:r>
              <m:rPr>
                <m:sty m:val="p"/>
              </m:rPr>
              <m:t>−</m:t>
            </m:r>
          </m:sup>
        </m:sSup>
      </m:oMath>
      <w:r>
        <w:t xml:space="preserve"> </w:t>
      </w:r>
      <w:r>
        <w:t xml:space="preserve">hacia el exterior celular despolariza la membrana plasmática, desplazando el potencial</w:t>
      </w:r>
      <w:r>
        <w:t xml:space="preserve"> </w:t>
      </w:r>
      <m:oMath>
        <m:sSub>
          <m:e>
            <m:r>
              <m:t>V</m:t>
            </m:r>
          </m:e>
          <m:sub>
            <m:r>
              <m:t>m</m:t>
            </m:r>
          </m:sub>
        </m:sSub>
      </m:oMath>
      <w:r>
        <w:t xml:space="preserve"> </w:t>
      </w:r>
      <w:r>
        <w:t xml:space="preserve">hacia</w:t>
      </w:r>
      <w:r>
        <w:t xml:space="preserve"> </w:t>
      </w:r>
      <m:oMath>
        <m:r>
          <m:rPr>
            <m:sty m:val="p"/>
          </m:rPr>
          <m:t>−</m:t>
        </m:r>
        <m:r>
          <m:t>40</m:t>
        </m:r>
      </m:oMath>
      <w:r>
        <w:t xml:space="preserve"> </w:t>
      </w:r>
      <w:r>
        <w:t xml:space="preserve">o</w:t>
      </w:r>
      <w:r>
        <w:t xml:space="preserve"> </w:t>
      </w:r>
      <m:oMath>
        <m:r>
          <m:rPr>
            <m:sty m:val="p"/>
          </m:rPr>
          <m:t>−</m:t>
        </m:r>
        <m:r>
          <m:t>30</m:t>
        </m:r>
        <m:r>
          <m:t> </m:t>
        </m:r>
        <m:r>
          <m:rPr>
            <m:nor/>
            <m:sty m:val="p"/>
          </m:rPr>
          <m:t>mV</m:t>
        </m:r>
      </m:oMath>
      <w:r>
        <w:t xml:space="preserve">.</w:t>
      </w:r>
    </w:p>
    <w:p>
      <w:pPr>
        <w:numPr>
          <w:ilvl w:val="0"/>
          <w:numId w:val="1006"/>
        </w:numPr>
      </w:pPr>
      <w:r>
        <w:t xml:space="preserve">Esta despolarización cruza el umbral de activación del canal rectificador saliente de potasio GORK (</w:t>
      </w:r>
      <w:r>
        <w:rPr>
          <w:i/>
          <w:iCs/>
        </w:rPr>
        <w:t xml:space="preserve">Guard cell Outward-Rectifying</w:t>
      </w:r>
      <w:r>
        <w:rPr>
          <w:i/>
          <w:iCs/>
        </w:rPr>
        <w:t xml:space="preserve"> </w:t>
      </w:r>
      <m:oMath>
        <m:sSup>
          <m:e>
            <m:r>
              <m:t>K</m:t>
            </m:r>
          </m:e>
          <m:sup>
            <m:r>
              <m:rPr>
                <m:sty m:val="p"/>
              </m:rPr>
              <m:t>+</m:t>
            </m:r>
          </m:sup>
        </m:sSup>
      </m:oMath>
      <w:r>
        <w:rPr>
          <w:i/>
          <w:iCs/>
        </w:rPr>
        <w:t xml:space="preserve"> </w:t>
      </w:r>
      <w:r>
        <w:rPr>
          <w:i/>
          <w:iCs/>
        </w:rPr>
        <w:t xml:space="preserve">channel</w:t>
      </w:r>
      <w:r>
        <w:t xml:space="preserve">). Al abrirse GORK, el potasio acumulado escapa masivamente a favor de su nuevo gradiente electroquímico.</w:t>
      </w:r>
    </w:p>
    <w:p>
      <w:pPr>
        <w:numPr>
          <w:ilvl w:val="0"/>
          <w:numId w:val="1006"/>
        </w:numPr>
      </w:pPr>
      <w:r>
        <w:t xml:space="preserve">El eflujo coordinado de</w:t>
      </w:r>
      <w:r>
        <w:t xml:space="preserve"> </w:t>
      </w:r>
      <m:oMath>
        <m:sSup>
          <m:e>
            <m:r>
              <m:t>K</m:t>
            </m:r>
          </m:e>
          <m:sup>
            <m:r>
              <m:rPr>
                <m:sty m:val="p"/>
              </m:rPr>
              <m:t>+</m:t>
            </m:r>
          </m:sup>
        </m:sSup>
      </m:oMath>
      <w:r>
        <w:t xml:space="preserve"> </w:t>
      </w:r>
      <w:r>
        <w:t xml:space="preserve">y aniones disipa el gradiente osmótico; el agua escapa rápidamente por las acuaporinas PIP2 hacia el apoplasto, la presión de turgencia colapsa y el poro estomático se cierra herméticamente</w:t>
      </w:r>
      <w:r>
        <w:t xml:space="preserve"> </w:t>
      </w:r>
      <w:r>
        <w:t xml:space="preserve">.</w:t>
      </w:r>
    </w:p>
    <w:bookmarkEnd w:id="29"/>
    <w:bookmarkEnd w:id="30"/>
    <w:bookmarkStart w:id="34" w:name="X27349004de76256a47a2c7f316109674194cfcf"/>
    <w:p>
      <w:pPr>
        <w:pStyle w:val="Heading1"/>
      </w:pPr>
      <w:r>
        <w:t xml:space="preserve">Uniones celulares, matriz extracelular y aislamiento simplástico</w:t>
      </w:r>
    </w:p>
    <w:p>
      <w:pPr>
        <w:pStyle w:val="FirstParagraph"/>
      </w:pPr>
      <w:r>
        <w:t xml:space="preserve">Uno de los postulados fundamentales de la biología celular vegetal es la existencia de plasmodesmos que interconectan el citoplasma de las células adyacentes formando un continuo simplástico coordinado</w:t>
      </w:r>
      <w:r>
        <w:t xml:space="preserve"> </w:t>
      </w:r>
      <w:r>
        <w:t xml:space="preserve">. Sin embargo, la célula oclusiva madura constituye una notable excepción anatómica y fisiológica a este paradigma.</w:t>
      </w:r>
    </w:p>
    <w:bookmarkStart w:id="31" w:name="Xf3e508182acaa7d2110a564a36f68f182f0b4ef"/>
    <w:p>
      <w:pPr>
        <w:pStyle w:val="Heading2"/>
      </w:pPr>
      <w:r>
        <w:t xml:space="preserve">Aislamiento simplástico de la célula oclusiva adulta</w:t>
      </w:r>
    </w:p>
    <w:p>
      <w:pPr>
        <w:pStyle w:val="FirstParagraph"/>
      </w:pPr>
      <w:r>
        <w:t xml:space="preserve">Durante las divisiones tempranas de la protodermis, los meristemoides estomáticos presentan plasmodesmos primarios con sus células vecinas. No obstante, al alcanzar el estadio terminal regulado por el factor FAMA, se desencadena la biosíntesis localizada de calosa (</w:t>
      </w:r>
      <m:oMath>
        <m:r>
          <m:t>β</m:t>
        </m:r>
      </m:oMath>
      <w:r>
        <w:t xml:space="preserve">-1,3-glucano) catalizada por enzimas calosa sintasas (GSL). La calosa se deposita densamente en los cuellos de los plasmodesmos hasta obturarlos de manera irreversible. Posteriormente, los componentes desmotubulares se reabsorben y la pared celular circundante sufre remodelación bioquímica, sellando cualquier continuidad citoplasmática entre la célula guarda y las células subsidiarias o epidérmicas adyacentes</w:t>
      </w:r>
      <w:r>
        <w:t xml:space="preserve"> </w:t>
      </w:r>
      <w:r>
        <w:t xml:space="preserve">.</w:t>
      </w:r>
    </w:p>
    <w:p>
      <w:pPr>
        <w:pStyle w:val="BodyText"/>
      </w:pPr>
      <w:r>
        <w:t xml:space="preserve">Este aislamiento simplástico terminal es una exigencia biofísica ineludible: si las células oclusivas mantuvieran canales simplásticos abiertos hacia la epidermis, el gradiente de potasio y malato acumulado (</w:t>
      </w:r>
      <m:oMath>
        <m:r>
          <m:rPr>
            <m:sty m:val="p"/>
          </m:rPr>
          <m:t>&gt;</m:t>
        </m:r>
        <m:r>
          <m:t>500</m:t>
        </m:r>
        <m:r>
          <m:t> </m:t>
        </m:r>
        <m:r>
          <m:rPr>
            <m:nor/>
            <m:sty m:val="p"/>
          </m:rPr>
          <m:t>mM</m:t>
        </m:r>
      </m:oMath>
      <w:r>
        <w:t xml:space="preserve">) se disiparía por difusión facilitada hacia el parénquima epidérmico circundante, imposibilitando la generación y sostenimiento de la presión de turgencia hidrostática necesaria para abrir el estoma</w:t>
      </w:r>
      <w:r>
        <w:t xml:space="preserve"> </w:t>
      </w:r>
      <w:r>
        <w:t xml:space="preserve">.</w:t>
      </w:r>
    </w:p>
    <w:bookmarkEnd w:id="31"/>
    <w:bookmarkStart w:id="32" w:name="X916803b7644633d7f50827ceb838d395a2b96bd"/>
    <w:p>
      <w:pPr>
        <w:pStyle w:val="Heading2"/>
      </w:pPr>
      <w:r>
        <w:t xml:space="preserve">Matriz extracelular vegetal y anclaje polar</w:t>
      </w:r>
    </w:p>
    <w:p>
      <w:pPr>
        <w:pStyle w:val="FirstParagraph"/>
      </w:pPr>
      <w:r>
        <w:t xml:space="preserve">La pared celular que envuelve a las células oclusivas funge simultáneamente como matriz extracelular especializada. En los dos vértices polares donde las dos células de guarda permanecen en contacto mutuo, la lámina media no se disuelve (como sí ocurre en la porción central para formar el poro ostiolar). Dicha lámina media polar está compuesta por pectinas insolubles del tipo homogalacturonanos, los cuales han sido desesterificados por pectina metilesterasas (PME) endógenas. Los grupos carboxilo libres resultantes forman complejos de coordinación iónica con cationes de calcio bivalente (</w:t>
      </w:r>
      <m:oMath>
        <m:sSup>
          <m:e>
            <m:r>
              <m:rPr>
                <m:nor/>
                <m:sty m:val="p"/>
              </m:rPr>
              <m:t>Ca</m:t>
            </m:r>
          </m:e>
          <m:sup>
            <m:r>
              <m:t>2</m:t>
            </m:r>
            <m:r>
              <m:rPr>
                <m:sty m:val="p"/>
              </m:rPr>
              <m:t>+</m:t>
            </m:r>
          </m:sup>
        </m:sSup>
      </m:oMath>
      <w:r>
        <w:t xml:space="preserve">), conformando una red de pectato de calcio extraordinariamente rígida conocida bioquímicamente como modelo de la</w:t>
      </w:r>
      <w:r>
        <w:t xml:space="preserve"> </w:t>
      </w:r>
      <w:r>
        <w:t xml:space="preserve">“caja de huevos”</w:t>
      </w:r>
      <w:r>
        <w:t xml:space="preserve"> </w:t>
      </w:r>
      <w:r>
        <w:t xml:space="preserve">(</w:t>
      </w:r>
      <w:r>
        <w:rPr>
          <w:i/>
          <w:iCs/>
        </w:rPr>
        <w:t xml:space="preserve">egg-box structure</w:t>
      </w:r>
      <w:r>
        <w:t xml:space="preserve">)</w:t>
      </w:r>
      <w:r>
        <w:t xml:space="preserve"> </w:t>
      </w:r>
      <w:r>
        <w:t xml:space="preserve">. Estos anclajes polares rígidos operan como goznes o pivotes mecánicos inamovibles, obligando al cuerpo celular turgente a curvarse hacia afuera</w:t>
      </w:r>
      <w:r>
        <w:t xml:space="preserve"> </w:t>
      </w:r>
      <w:r>
        <w:t xml:space="preserve">.</w:t>
      </w:r>
    </w:p>
    <w:bookmarkEnd w:id="32"/>
    <w:bookmarkStart w:id="33" w:name="Xdbd28553c5a9e29a1cf3f42d8853ca94d3def63"/>
    <w:p>
      <w:pPr>
        <w:pStyle w:val="Heading2"/>
      </w:pPr>
      <w:r>
        <w:t xml:space="preserve">Análisis comparativo transversal con el modelo animal: Hepatocito de mamífero</w:t>
      </w:r>
    </w:p>
    <w:p>
      <w:pPr>
        <w:pStyle w:val="FirstParagraph"/>
      </w:pPr>
      <w:r>
        <w:t xml:space="preserve">En agronomía y zootecnia aplicada, el parénquima funcional por excelencia en animales domésticos (</w:t>
      </w:r>
      <w:r>
        <w:rPr>
          <w:i/>
          <w:iCs/>
        </w:rPr>
        <w:t xml:space="preserve">Bos taurus</w:t>
      </w:r>
      <w:r>
        <w:t xml:space="preserve">,</w:t>
      </w:r>
      <w:r>
        <w:t xml:space="preserve"> </w:t>
      </w:r>
      <w:r>
        <w:rPr>
          <w:i/>
          <w:iCs/>
        </w:rPr>
        <w:t xml:space="preserve">Sus scrofa</w:t>
      </w:r>
      <w:r>
        <w:t xml:space="preserve">) es el tejido hepático. A diferencia del aislamiento simplástico de las células oclusivas, el hepatocito ilustra la máxima expresión de interacción y acoplamiento con la matriz extracelular y con las células vecinas</w:t>
      </w:r>
      <w:r>
        <w:t xml:space="preserve"> </w:t>
      </w:r>
      <w:r>
        <w:t xml:space="preserve">:</w:t>
      </w:r>
    </w:p>
    <w:p>
      <w:pPr>
        <w:numPr>
          <w:ilvl w:val="0"/>
          <w:numId w:val="1007"/>
        </w:numPr>
      </w:pPr>
      <w:r>
        <w:rPr>
          <w:b/>
          <w:bCs/>
        </w:rPr>
        <w:t xml:space="preserve">Polaridad tisular y uniones estrechas (</w:t>
      </w:r>
      <w:r>
        <w:rPr>
          <w:b/>
          <w:bCs/>
          <w:i/>
          <w:iCs/>
        </w:rPr>
        <w:t xml:space="preserve">Zonula occludens</w:t>
      </w:r>
      <w:r>
        <w:rPr>
          <w:b/>
          <w:bCs/>
        </w:rPr>
        <w:t xml:space="preserve">):</w:t>
      </w:r>
      <w:r>
        <w:t xml:space="preserve"> </w:t>
      </w:r>
      <w:r>
        <w:t xml:space="preserve">El hepatocito posee dominios de membrana claramente polarizados: la membrana basolateral (sinusoidal) y la membrana apical (canalicular). El límite físico entre ambos dominios está sellado por uniones estrechas formadas por proteínas integrales tetraspánicas (Claudina-1, Claudina-3 y Ocludina), ancladas a la actina subcortical mediante proteínas de andamiaje ZO-1 y ZO-2. Estas uniones impiden el reflujo paracelular de las sales biliares corrosivas desde el canalículo hacia el torrente sanguíneo sinusoidal</w:t>
      </w:r>
      <w:r>
        <w:t xml:space="preserve"> </w:t>
      </w:r>
      <w:r>
        <w:t xml:space="preserve">.</w:t>
      </w:r>
    </w:p>
    <w:p>
      <w:pPr>
        <w:numPr>
          <w:ilvl w:val="0"/>
          <w:numId w:val="1007"/>
        </w:numPr>
      </w:pPr>
      <w:r>
        <w:rPr>
          <w:b/>
          <w:bCs/>
        </w:rPr>
        <w:t xml:space="preserve">Uniones de anclaje intercelular (Uniones adherentes y desmosomas):</w:t>
      </w:r>
      <w:r>
        <w:t xml:space="preserve"> </w:t>
      </w:r>
      <w:r>
        <w:t xml:space="preserve">Las caras laterales hepatocitarias se mantienen unidas por uniones adherentes dependientes de calcio (</w:t>
      </w:r>
      <w:r>
        <w:rPr>
          <w:i/>
          <w:iCs/>
        </w:rPr>
        <w:t xml:space="preserve">Zonula adherens</w:t>
      </w:r>
      <w:r>
        <w:t xml:space="preserve">) mediadas por E-cadherinas conectadas a filamentos de actina vía</w:t>
      </w:r>
      <w:r>
        <w:t xml:space="preserve"> </w:t>
      </w:r>
      <m:oMath>
        <m:r>
          <m:t>α</m:t>
        </m:r>
      </m:oMath>
      <w:r>
        <w:t xml:space="preserve">-catenina y</w:t>
      </w:r>
      <w:r>
        <w:t xml:space="preserve"> </w:t>
      </w:r>
      <m:oMath>
        <m:r>
          <m:t>β</m:t>
        </m:r>
      </m:oMath>
      <w:r>
        <w:t xml:space="preserve">-catenina. Adicionalmente, desmosomas puntuales (</w:t>
      </w:r>
      <w:r>
        <w:rPr>
          <w:i/>
          <w:iCs/>
        </w:rPr>
        <w:t xml:space="preserve">Macula adherens</w:t>
      </w:r>
      <w:r>
        <w:t xml:space="preserve">) basados en desmogleína-2 y desmocolina-2 se anclan a filamentos intermedios de citoqueratina (CK8 y CK18), confiriendo resistencia mecánica contra fuerzas de cizallamiento hemático</w:t>
      </w:r>
      <w:r>
        <w:t xml:space="preserve"> </w:t>
      </w:r>
      <w:r>
        <w:t xml:space="preserve">.</w:t>
      </w:r>
    </w:p>
    <w:p>
      <w:pPr>
        <w:numPr>
          <w:ilvl w:val="0"/>
          <w:numId w:val="1007"/>
        </w:numPr>
      </w:pPr>
      <w:r>
        <w:rPr>
          <w:b/>
          <w:bCs/>
        </w:rPr>
        <w:t xml:space="preserve">Uniones comunicantes (</w:t>
      </w:r>
      <w:r>
        <w:rPr>
          <w:b/>
          <w:bCs/>
          <w:i/>
          <w:iCs/>
        </w:rPr>
        <w:t xml:space="preserve">Gap junctions</w:t>
      </w:r>
      <w:r>
        <w:rPr>
          <w:b/>
          <w:bCs/>
        </w:rPr>
        <w:t xml:space="preserve"> </w:t>
      </w:r>
      <w:r>
        <w:rPr>
          <w:b/>
          <w:bCs/>
        </w:rPr>
        <w:t xml:space="preserve">o conexones):</w:t>
      </w:r>
      <w:r>
        <w:t xml:space="preserve"> </w:t>
      </w:r>
      <w:r>
        <w:t xml:space="preserve">Contrariamente al aislamiento de la célula oclusiva, los hepatocitos se encuentran acoplados eléctrica y metabólicamente en un verdadero sincitio funcional mediante uniones comunicantes formadas por hexámeros de conexina-32 (Cx32) y conexina-26 (Cx26). Estos canales permiten el paso bidireccional instantáneo de iones (</w:t>
      </w:r>
      <m:oMath>
        <m:r>
          <m:t>C</m:t>
        </m:r>
        <m:sSup>
          <m:e>
            <m:r>
              <m:t>a</m:t>
            </m:r>
          </m:e>
          <m:sup>
            <m:r>
              <m:t>2</m:t>
            </m:r>
            <m:r>
              <m:rPr>
                <m:sty m:val="p"/>
              </m:rPr>
              <m:t>+</m:t>
            </m:r>
          </m:sup>
        </m:sSup>
      </m:oMath>
      <w:r>
        <w:t xml:space="preserve">,</w:t>
      </w:r>
      <w:r>
        <w:t xml:space="preserve"> </w:t>
      </w:r>
      <m:oMath>
        <m:sSup>
          <m:e>
            <m:r>
              <m:t>K</m:t>
            </m:r>
          </m:e>
          <m:sup>
            <m:r>
              <m:rPr>
                <m:sty m:val="p"/>
              </m:rPr>
              <m:t>+</m:t>
            </m:r>
          </m:sup>
        </m:sSup>
      </m:oMath>
      <w:r>
        <w:t xml:space="preserve">), segundos mensajeros (AMPc,</w:t>
      </w:r>
      <w:r>
        <w:t xml:space="preserve"> </w:t>
      </w:r>
      <m:oMath>
        <m:sSub>
          <m:e>
            <m:r>
              <m:rPr>
                <m:nor/>
                <m:sty m:val="p"/>
              </m:rPr>
              <m:t>IP</m:t>
            </m:r>
          </m:e>
          <m:sub>
            <m:r>
              <m:t>3</m:t>
            </m:r>
          </m:sub>
        </m:sSub>
      </m:oMath>
      <w:r>
        <w:t xml:space="preserve">) y metabolitos de peso molecular menor a</w:t>
      </w:r>
      <w:r>
        <w:t xml:space="preserve"> </w:t>
      </w:r>
      <m:oMath>
        <m:r>
          <m:t>1.2</m:t>
        </m:r>
        <m:r>
          <m:t> </m:t>
        </m:r>
        <m:r>
          <m:rPr>
            <m:nor/>
            <m:sty m:val="p"/>
          </m:rPr>
          <m:t>kDa</m:t>
        </m:r>
      </m:oMath>
      <w:r>
        <w:t xml:space="preserve">, permitiendo que el lobulillo hepático coordine de forma síncrona la respuesta a estímulos hormonales como la adrenalina o el glucagón</w:t>
      </w:r>
      <w:r>
        <w:t xml:space="preserve"> </w:t>
      </w:r>
      <w:r>
        <w:t xml:space="preserve">.</w:t>
      </w:r>
    </w:p>
    <w:p>
      <w:pPr>
        <w:numPr>
          <w:ilvl w:val="0"/>
          <w:numId w:val="1007"/>
        </w:numPr>
      </w:pPr>
      <w:r>
        <w:rPr>
          <w:b/>
          <w:bCs/>
        </w:rPr>
        <w:t xml:space="preserve">Interacción con la matriz extracelular (Espacio de Disse):</w:t>
      </w:r>
      <w:r>
        <w:t xml:space="preserve"> </w:t>
      </w:r>
      <w:r>
        <w:t xml:space="preserve">La membrana sinusoidal del hepatocito emite abundantes microvellosidades hacia el espacio perisinusoidal de Disse. En esta matriz no existe una lámina basal densa típica para no obstruir el intercambio de macromoléculas con el plasma sanguíneo, sino una trama laxa de colágeno tipo IV, fibronectina, laminina y proteoglicanos de heparán sulfato producida por las células estrelladas hepáticas (de Ito). El hepatocito se ancla a esta matriz a través de heterodímeros de integrinas (</w:t>
      </w:r>
      <m:oMath>
        <m:sSub>
          <m:e>
            <m:r>
              <m:t>α</m:t>
            </m:r>
          </m:e>
          <m:sub>
            <m:r>
              <m:t>1</m:t>
            </m:r>
          </m:sub>
        </m:sSub>
        <m:sSub>
          <m:e>
            <m:r>
              <m:t>β</m:t>
            </m:r>
          </m:e>
          <m:sub>
            <m:r>
              <m:t>1</m:t>
            </m:r>
          </m:sub>
        </m:sSub>
      </m:oMath>
      <w:r>
        <w:t xml:space="preserve"> </w:t>
      </w:r>
      <w:r>
        <w:t xml:space="preserve">y</w:t>
      </w:r>
      <w:r>
        <w:t xml:space="preserve"> </w:t>
      </w:r>
      <m:oMath>
        <m:sSub>
          <m:e>
            <m:r>
              <m:t>α</m:t>
            </m:r>
          </m:e>
          <m:sub>
            <m:r>
              <m:t>5</m:t>
            </m:r>
          </m:sub>
        </m:sSub>
        <m:sSub>
          <m:e>
            <m:r>
              <m:t>β</m:t>
            </m:r>
          </m:e>
          <m:sub>
            <m:r>
              <m:t>1</m:t>
            </m:r>
          </m:sub>
        </m:sSub>
      </m:oMath>
      <w:r>
        <w:t xml:space="preserve">), los cuales transducen señales mecánicas y de supervivencia hacia el interior citoplásmico</w:t>
      </w:r>
      <w:r>
        <w:t xml:space="preserve"> </w:t>
      </w:r>
      <w:r>
        <w:t xml:space="preserve">.</w:t>
      </w:r>
    </w:p>
    <w:bookmarkEnd w:id="33"/>
    <w:bookmarkEnd w:id="34"/>
    <w:bookmarkStart w:id="38" w:name="X0fb1eea4e455a165d0c65947a50f039310c3ac6"/>
    <w:p>
      <w:pPr>
        <w:pStyle w:val="Heading1"/>
      </w:pPr>
      <w:r>
        <w:t xml:space="preserve">Mecanismos moleculares de señalización y respuesta a estímulos</w:t>
      </w:r>
    </w:p>
    <w:bookmarkStart w:id="36" w:name="Xb58195d5b4fdc49dcc0dc8ddb7be4ef54c47e19"/>
    <w:p>
      <w:pPr>
        <w:pStyle w:val="Heading2"/>
      </w:pPr>
      <w:r>
        <w:t xml:space="preserve">Vía de percepción de sequía por Ácido Abscísico (ABA)</w:t>
      </w:r>
    </w:p>
    <w:p>
      <w:pPr>
        <w:pStyle w:val="FirstParagraph"/>
      </w:pPr>
      <w:r>
        <w:t xml:space="preserve">La ruta molecular de cierre inducida por el ácido abscísico (</w:t>
      </w:r>
      <m:oMath>
        <m:r>
          <m:t>A</m:t>
        </m:r>
        <m:r>
          <m:t>B</m:t>
        </m:r>
        <m:r>
          <m:t>A</m:t>
        </m:r>
      </m:oMath>
      <w:r>
        <w:t xml:space="preserve">) en células oclusivas es uno de los módulos de señalización más exhaustivamente elucidados en la biología vegetal moderna</w:t>
      </w:r>
      <w:r>
        <w:t xml:space="preserve"> </w:t>
      </w:r>
      <w:r>
        <w:t xml:space="preserve">.</w:t>
      </w:r>
    </w:p>
    <w:bookmarkStart w:id="35" w:name="fig:cascada_aba"/>
    <w:tbl>
      <w:tblPr>
        <w:tblStyle w:val="FigureTable"/>
        <w:tblW w:type="auto" w:w="0"/>
        <w:jc w:val="center"/>
        <w:tblLook w:firstRow="0" w:lastRow="0" w:firstColumn="0" w:lastColumn="0"/>
      </w:tblPr>
      <w:tblGrid>
        <w:gridCol w:w="7920"/>
      </w:tblGrid>
      <w:tr>
        <w:tc>
          <w:tcPr/>
          <w:p/>
        </w:tc>
      </w:tr>
    </w:tbl>
    <w:p>
      <w:pPr>
        <w:pStyle w:val="ImageCaption"/>
      </w:pPr>
      <w:r>
        <w:t xml:space="preserve">Cascada de transducción molecular del ácido abscísico (ABA) en células oclusivas vegetales.</w:t>
      </w:r>
    </w:p>
    <w:bookmarkEnd w:id="35"/>
    <w:bookmarkEnd w:id="36"/>
    <w:bookmarkStart w:id="37" w:name="X7931a75c3b583c921b81c47de6bc0c71ed67c2e"/>
    <w:p>
      <w:pPr>
        <w:pStyle w:val="Heading2"/>
      </w:pPr>
      <w:r>
        <w:t xml:space="preserve">Regulación homeostática cruzada en el hepatocito: Insulina vs. Glucagón</w:t>
      </w:r>
    </w:p>
    <w:p>
      <w:pPr>
        <w:pStyle w:val="FirstParagraph"/>
      </w:pPr>
      <w:r>
        <w:t xml:space="preserve">Como contraparte funcional, la homeostasis celular en el hepatocito responde a dos vías hormonales recíprocas acopladas a receptores transmembranales diferentes</w:t>
      </w:r>
      <w:r>
        <w:t xml:space="preserve"> </w:t>
      </w:r>
      <w:r>
        <w:t xml:space="preserve">:</w:t>
      </w:r>
    </w:p>
    <w:p>
      <w:pPr>
        <w:numPr>
          <w:ilvl w:val="0"/>
          <w:numId w:val="1008"/>
        </w:numPr>
      </w:pPr>
      <w:r>
        <w:rPr>
          <w:b/>
          <w:bCs/>
        </w:rPr>
        <w:t xml:space="preserve">Ruta anabólica de la Insulina (Receptor Tirosina Cinasa - RTK):</w:t>
      </w:r>
      <w:r>
        <w:t xml:space="preserve"> </w:t>
      </w:r>
      <w:r>
        <w:t xml:space="preserve">Tras la ingesta, la insulina secretada por las células</w:t>
      </w:r>
      <w:r>
        <w:t xml:space="preserve"> </w:t>
      </w:r>
      <m:oMath>
        <m:r>
          <m:t>β</m:t>
        </m:r>
      </m:oMath>
      <w:r>
        <w:t xml:space="preserve"> </w:t>
      </w:r>
      <w:r>
        <w:t xml:space="preserve">pancreáticas se une al dominio extracelular de su receptor tetramérico (</w:t>
      </w:r>
      <m:oMath>
        <m:sSub>
          <m:e>
            <m:r>
              <m:t>α</m:t>
            </m:r>
          </m:e>
          <m:sub>
            <m:r>
              <m:t>2</m:t>
            </m:r>
          </m:sub>
        </m:sSub>
        <m:sSub>
          <m:e>
            <m:r>
              <m:t>β</m:t>
            </m:r>
          </m:e>
          <m:sub>
            <m:r>
              <m:t>2</m:t>
            </m:r>
          </m:sub>
        </m:sSub>
      </m:oMath>
      <w:r>
        <w:t xml:space="preserve">). Las subunidades</w:t>
      </w:r>
      <w:r>
        <w:t xml:space="preserve"> </w:t>
      </w:r>
      <m:oMath>
        <m:r>
          <m:t>β</m:t>
        </m:r>
      </m:oMath>
      <w:r>
        <w:t xml:space="preserve"> </w:t>
      </w:r>
      <w:r>
        <w:t xml:space="preserve">intracelulares se autofosforilan en residuos de tirosina, reclutando a las proteínas adaptadoras sustrato del receptor de insulina (IRS-1 e IRS-2). IRS fosforilado activa a la fosfoinositol 3-cinasa (PI3K), la cual fosforila fosfatidilinositol-4,5-bisfosfato (</w:t>
      </w:r>
      <m:oMath>
        <m:sSub>
          <m:e>
            <m:r>
              <m:rPr>
                <m:nor/>
                <m:sty m:val="p"/>
              </m:rPr>
              <m:t>PIP</m:t>
            </m:r>
          </m:e>
          <m:sub>
            <m:r>
              <m:t>2</m:t>
            </m:r>
          </m:sub>
        </m:sSub>
      </m:oMath>
      <w:r>
        <w:t xml:space="preserve">) generando fosfatidilinositol-3,4,5-trisfosfato (</w:t>
      </w:r>
      <m:oMath>
        <m:sSub>
          <m:e>
            <m:r>
              <m:rPr>
                <m:nor/>
                <m:sty m:val="p"/>
              </m:rPr>
              <m:t>PIP</m:t>
            </m:r>
          </m:e>
          <m:sub>
            <m:r>
              <m:t>3</m:t>
            </m:r>
          </m:sub>
        </m:sSub>
      </m:oMath>
      <w:r>
        <w:t xml:space="preserve">) en la monocapa interna de la membrana.</w:t>
      </w:r>
      <w:r>
        <w:t xml:space="preserve"> </w:t>
      </w:r>
      <m:oMath>
        <m:sSub>
          <m:e>
            <m:r>
              <m:rPr>
                <m:nor/>
                <m:sty m:val="p"/>
              </m:rPr>
              <m:t>PIP</m:t>
            </m:r>
          </m:e>
          <m:sub>
            <m:r>
              <m:t>3</m:t>
            </m:r>
          </m:sub>
        </m:sSub>
      </m:oMath>
      <w:r>
        <w:t xml:space="preserve"> </w:t>
      </w:r>
      <w:r>
        <w:t xml:space="preserve">ancla a la cinasa dependiente de fosfoinosítidos (PDK1) y a la proteína cinasa B (Akt/PKB). Akt fosforila e inhibe a la glucógeno sintasa cinasa 3 (</w:t>
      </w:r>
      <m:oMath>
        <m:r>
          <m:rPr>
            <m:nor/>
            <m:sty m:val="p"/>
          </m:rPr>
          <m:t>GSK3</m:t>
        </m:r>
        <m:r>
          <m:t>β</m:t>
        </m:r>
      </m:oMath>
      <w:r>
        <w:t xml:space="preserve">), lo que libera a la enzima glucógeno sintasa de su inhibición por fosforilación, estimulando la polimerización de glucógeno y la lipogénesis, al tiempo que promueve la transcripción de enzimas glucolíticas</w:t>
      </w:r>
      <w:r>
        <w:t xml:space="preserve"> </w:t>
      </w:r>
      <w:r>
        <w:t xml:space="preserve">.</w:t>
      </w:r>
    </w:p>
    <w:p>
      <w:pPr>
        <w:numPr>
          <w:ilvl w:val="0"/>
          <w:numId w:val="1008"/>
        </w:numPr>
      </w:pPr>
      <w:r>
        <w:rPr>
          <w:b/>
          <w:bCs/>
        </w:rPr>
        <w:t xml:space="preserve">Ruta catabólica del Glucagón (Receptor Acoplado a Proteína G - GPCR):</w:t>
      </w:r>
      <w:r>
        <w:t xml:space="preserve"> </w:t>
      </w:r>
      <w:r>
        <w:t xml:space="preserve">En periodos de ayuno o estrés metabólico, el glucagón se une a un receptor serpentina de 7 cruces transmembranales (GPCR). Esto induce un cambio conformacional que promueve el intercambio de GDP por GTP en la subunidad</w:t>
      </w:r>
      <w:r>
        <w:t xml:space="preserve"> </w:t>
      </w:r>
      <m:oMath>
        <m:r>
          <m:t>G</m:t>
        </m:r>
        <m:sSub>
          <m:e>
            <m:r>
              <m:t>α</m:t>
            </m:r>
          </m:e>
          <m:sub>
            <m:r>
              <m:t>s</m:t>
            </m:r>
          </m:sub>
        </m:sSub>
      </m:oMath>
      <w:r>
        <w:t xml:space="preserve">.</w:t>
      </w:r>
      <w:r>
        <w:t xml:space="preserve"> </w:t>
      </w:r>
      <m:oMath>
        <m:r>
          <m:t>G</m:t>
        </m:r>
        <m:sSub>
          <m:e>
            <m:r>
              <m:t>α</m:t>
            </m:r>
          </m:e>
          <m:sub>
            <m:r>
              <m:t>s</m:t>
            </m:r>
          </m:sub>
        </m:sSub>
      </m:oMath>
      <w:r>
        <w:t xml:space="preserve">-GTP se disocia e interactúa con la adenilato ciclasa de membrana, estimulando la conversión de ATP en adenosín monofosfato cíclico (AMPc). El incremento citosólico de AMPc activa a la proteína cinasa A (PKA), la cual fosforila e hiperactiva a la fosforilasa cinasa, que a su vez fosforila a la glucógeno fosforilasa-</w:t>
      </w:r>
      <m:oMath>
        <m:r>
          <m:t>b</m:t>
        </m:r>
      </m:oMath>
      <w:r>
        <w:t xml:space="preserve"> </w:t>
      </w:r>
      <w:r>
        <w:t xml:space="preserve">convirtiéndola en su estado activo glucógeno fosforilasa-</w:t>
      </w:r>
      <m:oMath>
        <m:r>
          <m:t>a</m:t>
        </m:r>
      </m:oMath>
      <w:r>
        <w:t xml:space="preserve">, liberando glucosa-1-fosfato al torrente sanguíneo mediante el transportador facilitador GLUT2 para mantener la glucemia del animal</w:t>
      </w:r>
      <w:r>
        <w:t xml:space="preserve"> </w:t>
      </w:r>
      <w:r>
        <w:t xml:space="preserve">.</w:t>
      </w:r>
    </w:p>
    <w:bookmarkEnd w:id="37"/>
    <w:bookmarkEnd w:id="38"/>
    <w:bookmarkStart w:id="39" w:name="Xfd19acebe765c392a1f8646fabc4e544eb86020"/>
    <w:p>
      <w:pPr>
        <w:pStyle w:val="Heading1"/>
      </w:pPr>
      <w:r>
        <w:t xml:space="preserve">Perspectivas biotecnológicas y relevancia en la agronomía moderna</w:t>
      </w:r>
    </w:p>
    <w:p>
      <w:pPr>
        <w:pStyle w:val="FirstParagraph"/>
      </w:pPr>
      <w:r>
        <w:t xml:space="preserve">La comprensión precisa de la biología celular de la célula oclusiva ha abierto horizontes sin precedentes para la biotecnología agrícola orientada a la sostenibilidad:</w:t>
      </w:r>
    </w:p>
    <w:p>
      <w:pPr>
        <w:numPr>
          <w:ilvl w:val="0"/>
          <w:numId w:val="1009"/>
        </w:numPr>
      </w:pPr>
      <w:r>
        <w:rPr>
          <w:b/>
          <w:bCs/>
        </w:rPr>
        <w:t xml:space="preserve">Ingeniería de la cinética estomática mediante canales iónicos optogenéticos:</w:t>
      </w:r>
      <w:r>
        <w:t xml:space="preserve"> </w:t>
      </w:r>
      <w:r>
        <w:t xml:space="preserve">Se ha demostrado experimentalmente que los estomas naturales tardan entre 10 y 45 minutos en responder a fluctuaciones de luz en el dosel vegetal (por ejemplo, ante el paso transitorio de nubes o sombreado mutuo de hojas), provocando pérdidas de agua innecesarias sin asimilación fotosintética de carbono. Mediante la introducción de canales iónicos sintéticos activados por luz (como el canal BLINK1, un canal de potasio artificial activado por luz azul), se ha logrado acelerar la cinética de apertura y cierre hasta en un 500%, incrementando la biomasa total del cultivo en un 20% bajo condiciones de campo sin aumentar el consumo de agua</w:t>
      </w:r>
      <w:r>
        <w:t xml:space="preserve"> </w:t>
      </w:r>
      <w:r>
        <w:t xml:space="preserve">.</w:t>
      </w:r>
    </w:p>
    <w:p>
      <w:pPr>
        <w:numPr>
          <w:ilvl w:val="0"/>
          <w:numId w:val="1009"/>
        </w:numPr>
      </w:pPr>
      <w:r>
        <w:rPr>
          <w:b/>
          <w:bCs/>
        </w:rPr>
        <w:t xml:space="preserve">Modulación de la densidad estomática mediante edición génica (CRISPR/Cas9):</w:t>
      </w:r>
      <w:r>
        <w:t xml:space="preserve"> </w:t>
      </w:r>
      <w:r>
        <w:t xml:space="preserve">La sobreexpresión de los péptidos inhibidores EPF1 o la edición dirigida de los promotores de los factores SPCH y MUTE ha permitido desarrollar líneas de arroz, trigo y cebada con una densidad estomática reducida entre un 30% y 50%. Estos cultivos retienen tasas de asimilación fotosintética comparables a las variedades parentales bajo riego, pero exhiben una supervivencia y rendimiento significativamente superiores ante condiciones de estrés por sequía extrema y estrés térmico</w:t>
      </w:r>
      <w:r>
        <w:t xml:space="preserve"> </w:t>
      </w:r>
      <w:r>
        <w:t xml:space="preserve">.</w:t>
      </w:r>
    </w:p>
    <w:p>
      <w:pPr>
        <w:numPr>
          <w:ilvl w:val="0"/>
          <w:numId w:val="1009"/>
        </w:numPr>
      </w:pPr>
      <w:r>
        <w:rPr>
          <w:b/>
          <w:bCs/>
        </w:rPr>
        <w:t xml:space="preserve">Receptores sintéticos de ABA optimizados:</w:t>
      </w:r>
      <w:r>
        <w:t xml:space="preserve"> </w:t>
      </w:r>
      <w:r>
        <w:t xml:space="preserve">Mediante biología estructural guiada por cristalografía de rayos X del receptor PYL, se han diseñado análogos químicos sintéticos (como la quinabactina y mandipropamida modificada) capaces de activar selectivamente el cierre estomático en cultivos de maíz y soya de forma preventiva antes de una ola de calor, reduciendo el riesgo de colapso por cavitación xilemática</w:t>
      </w:r>
      <w:r>
        <w:t xml:space="preserve"> </w:t>
      </w:r>
      <w:r>
        <w:t xml:space="preserve">.</w:t>
      </w:r>
    </w:p>
    <w:bookmarkEnd w:id="39"/>
    <w:bookmarkStart w:id="40" w:name="conclusiones"/>
    <w:p>
      <w:pPr>
        <w:pStyle w:val="Heading1"/>
      </w:pPr>
      <w:r>
        <w:t xml:space="preserve">Conclusiones</w:t>
      </w:r>
    </w:p>
    <w:p>
      <w:pPr>
        <w:pStyle w:val="FirstParagraph"/>
      </w:pPr>
      <w:r>
        <w:t xml:space="preserve">El análisis integral de la célula oclusiva demuestra cómo la ultraestructura celular, la física de materiales de la pared extracelular y la biofísica transmembranal convergen en un actuador nanoscópico autorregulado de excepcional eficiencia.</w:t>
      </w:r>
    </w:p>
    <w:p>
      <w:pPr>
        <w:numPr>
          <w:ilvl w:val="0"/>
          <w:numId w:val="1010"/>
        </w:numPr>
      </w:pPr>
      <w:r>
        <w:t xml:space="preserve">En el plano ultraestructural, el engrosamiento asimétrico periclinal y la micelación radial de las microfibrillas de celulosa constituyen el fundamento biomecánico indispensable para traducir la turgencia hidrostática en arqueamiento centrífugo y apertura ostiolar.</w:t>
      </w:r>
    </w:p>
    <w:p>
      <w:pPr>
        <w:numPr>
          <w:ilvl w:val="0"/>
          <w:numId w:val="1010"/>
        </w:numPr>
      </w:pPr>
      <w:r>
        <w:t xml:space="preserve">En el plano fisiológico y metabólico, la homeostasis hídrica de la planta descansa en la actividad coordinada de la bomba electrogénica de protones (</w:t>
      </w:r>
      <m:oMath>
        <m:sSup>
          <m:e>
            <m:r>
              <m:t>H</m:t>
            </m:r>
          </m:e>
          <m:sup>
            <m:r>
              <m:rPr>
                <m:sty m:val="p"/>
              </m:rPr>
              <m:t>+</m:t>
            </m:r>
          </m:sup>
        </m:sSup>
      </m:oMath>
      <w:r>
        <w:t xml:space="preserve">-ATPasa), transportadores simporte de aniones y rectificadores de potasio (KAT1, GORK), complementados por la biosíntesis de malato</w:t>
      </w:r>
      <m:oMath>
        <m:sSup>
          <m:e>
            <m:r>
              <m:t>​</m:t>
            </m:r>
          </m:e>
          <m:sup>
            <m:r>
              <m:t>2</m:t>
            </m:r>
            <m:r>
              <m:rPr>
                <m:sty m:val="p"/>
              </m:rPr>
              <m:t>−</m:t>
            </m:r>
          </m:sup>
        </m:sSup>
      </m:oMath>
      <w:r>
        <w:t xml:space="preserve"> </w:t>
      </w:r>
      <w:r>
        <w:t xml:space="preserve">y sacarosa.</w:t>
      </w:r>
    </w:p>
    <w:p>
      <w:pPr>
        <w:numPr>
          <w:ilvl w:val="0"/>
          <w:numId w:val="1010"/>
        </w:numPr>
      </w:pPr>
      <w:r>
        <w:t xml:space="preserve">En el plano de las interacciones tisulares, el aislamiento simplástico terminal impuesto por el sellado con calosa en los plasmodesmos primarios resulta biofísicamente obligatorio para evitar la disipación pasiva del gradiente de solutos hacia la epidermis. Este comportamiento contrasta radicalmente con el sincitio acoplado por uniones comunicantes de conexina y uniones estrechas que gobierna la homeostasis metabólica del hepatocito animal.</w:t>
      </w:r>
    </w:p>
    <w:p>
      <w:pPr>
        <w:numPr>
          <w:ilvl w:val="0"/>
          <w:numId w:val="1010"/>
        </w:numPr>
      </w:pPr>
      <w:r>
        <w:t xml:space="preserve">En el plano de la señalización, el módulo receptor soluble de ABA (PYR/PYL/RCAR–PP2C–SnRK2.6) representa uno de los circuitos moleculares más refinados y susceptibles de manipulación biotecnológica para asegurar la resiliencia climática y la productividad en la agronomía moderna.</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2026-10-14T00:18:12Z</dcterms:created>
  <dcterms:modified xsi:type="dcterms:W3CDTF">2026-10-14T00:18:12Z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Resumen: La célula oclusiva o guarda del estoma representa uno de los modelos celulares más especializados y dinámicos en los organismos vegetales, responsable de regular el balance crítico entre la asimilación fotosintética de dióxido de carbono (\text{CO}_2) y la pérdida de vapor de agua por transpiración. Este artículo de revisión analiza integralmente la biología de la célula oclusiva desde una perspectiva estructural, fisiológica y molecular, abordando su ontogenia a partir del meristemoide epidérmico bajo el control de factores de transcripción básicos de hélice-bucle-hélice (SPCH, MUTE, FAMA), su ultraestructura adaptada mecánicamente con engrosamientos parietales asimétricos y micelación radial de microfibrillas de celulosa, así como la compartimentación de sus organelos (vacuola dinámica, cloroplastos especializados y mitocondrias densas). Se describen detalladamente los circuitos de transporte transmembranal y osmorregulación en homeostasis celular, impulsados por la bomba electrogénica de protones (H^+-ATPasa de membrana plasmática) y flujos masivos de K^+, \text{Cl}^-, malato^{2-} y sacarosa. Asimismo, se desentrañan las cascadas de señalización acopladas al estrés hídrico mediadas por el módulo receptor soluble de ácido abscísico (PYR/PYL/RCAR–PP2C–SnRK2.6/OST1) y canales aniónicos (SLAC1/ALMT12). Como contraste biológico transversal, se confronta esta maquinaria con la arquitectura ultraestructural, los complejos de unión intercelular (uniones estrechas, desmosomas y conexones tipo gap) y la regulación metabólica recíproca (insulina/glucagón) en el hepatocito de mamíferos domésticos. Finalmente, se discuten las implicaciones y perspectivas biotecnológicas en el mejoramiento de la eficiencia del uso del agua (WUE) para cultivos agrícolas estratégicos.Palabras clave: Célula oclusiva; estoma; potencial hídrico; transporte iónico; ácido abscísico; SnRK2; hepatocito; uniones celulares; agronomía.</vt:lpwstr>
  </property>
</Properties>
</file>