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drawing>
          <wp:inline>
            <wp:extent cx="2011680" cy="640267"/>
            <wp:docPr id="24" name="Picture 24"/>
            <wp:cNvGraphicFramePr>
              <a:graphicFrameLocks noChangeAspect="1"/>
            </wp:cNvGraphicFramePr>
            <a:graphic>
              <a:graphicData uri="http://schemas.openxmlformats.org/drawingml/2006/picture">
                <pic:pic>
                  <pic:nvPicPr>
                    <pic:cNvPr id="0" name="logo-itesca-contorno.png"/>
                    <pic:cNvPicPr/>
                  </pic:nvPicPr>
                  <pic:blipFill>
                    <a:blip r:embed="rId11"/>
                    <a:stretch>
                      <a:fillRect/>
                    </a:stretch>
                  </pic:blipFill>
                  <pic:spPr>
                    <a:xfrm>
                      <a:off x="0" y="0"/>
                      <a:ext cx="2011680" cy="640267"/>
                    </a:xfrm>
                    <a:prstGeom prst="rect"/>
                  </pic:spPr>
                </pic:pic>
              </a:graphicData>
            </a:graphic>
          </wp:inline>
        </w:drawing>
      </w:r>
    </w:p>
    <w:p>
      <w:pPr>
        <w:jc w:val="center"/>
      </w:pPr>
      <w:r>
        <w:t>Instituto Tecnológico Superior de Cajeme</w:t>
      </w:r>
    </w:p>
    <w:p>
      <w:pPr>
        <w:jc w:val="center"/>
      </w:pPr>
      <w:r>
        <w:t>Maestría en Gestión Administrativa</w:t>
      </w:r>
    </w:p>
    <w:p>
      <w:pPr>
        <w:jc w:val="center"/>
      </w:pPr>
      <w:r>
        <w:t>Posgrado e Investigación</w:t>
      </w:r>
    </w:p>
    <w:p>
      <w:pPr>
        <w:jc w:val="center"/>
      </w:pPr>
      <w:r/>
    </w:p>
    <w:p>
      <w:pPr>
        <w:jc w:val="center"/>
      </w:pPr>
      <w:r>
        <w:rPr>
          <w:b/>
          <w:color w:val="9D1420"/>
          <w:sz w:val="38"/>
        </w:rPr>
        <w:t>Imagen de la empresa</w:t>
      </w:r>
    </w:p>
    <w:p>
      <w:pPr>
        <w:jc w:val="center"/>
      </w:pPr>
      <w:r>
        <w:t>Actividad 6 - Plan de Negocios</w:t>
      </w:r>
    </w:p>
    <w:p>
      <w:pPr>
        <w:jc w:val="center"/>
      </w:pPr>
      <w:r/>
    </w:p>
    <w:tbl>
      <w:tblPr>
        <w:tblW w:type="auto" w:w="0"/>
        <w:tblLook w:firstColumn="1" w:firstRow="1" w:lastColumn="0" w:lastRow="0" w:noHBand="0" w:noVBand="1" w:val="04A0"/>
      </w:tblPr>
      <w:tblGrid>
        <w:gridCol w:w="4680"/>
        <w:gridCol w:w="4680"/>
      </w:tblGrid>
      <w:tr>
        <w:tc>
          <w:tcPr>
            <w:tcW w:type="dxa" w:w="4680"/>
          </w:tcPr>
          <w:p>
            <w:r>
              <w:t>Estudiante</w:t>
            </w:r>
          </w:p>
        </w:tc>
        <w:tc>
          <w:tcPr>
            <w:tcW w:type="dxa" w:w="4680"/>
          </w:tcPr>
          <w:p>
            <w:r>
              <w:t>Martín Jonathan de la Cruz Muñoz</w:t>
            </w:r>
          </w:p>
        </w:tc>
      </w:tr>
      <w:tr>
        <w:tc>
          <w:tcPr>
            <w:tcW w:type="dxa" w:w="4680"/>
          </w:tcPr>
          <w:p>
            <w:r>
              <w:t>Matrícula</w:t>
            </w:r>
          </w:p>
        </w:tc>
        <w:tc>
          <w:tcPr>
            <w:tcW w:type="dxa" w:w="4680"/>
          </w:tcPr>
          <w:p>
            <w:r>
              <w:t>26130503</w:t>
            </w:r>
          </w:p>
        </w:tc>
      </w:tr>
      <w:tr>
        <w:tc>
          <w:tcPr>
            <w:tcW w:type="dxa" w:w="4680"/>
          </w:tcPr>
          <w:p>
            <w:r>
              <w:t>Correo institucional</w:t>
            </w:r>
          </w:p>
        </w:tc>
        <w:tc>
          <w:tcPr>
            <w:tcW w:type="dxa" w:w="4680"/>
          </w:tcPr>
          <w:p>
            <w:r>
              <w:t>26130503@cajeme.tecnm.mx</w:t>
            </w:r>
          </w:p>
        </w:tc>
      </w:tr>
      <w:tr>
        <w:tc>
          <w:tcPr>
            <w:tcW w:type="dxa" w:w="4680"/>
          </w:tcPr>
          <w:p>
            <w:r>
              <w:t>Docente</w:t>
            </w:r>
          </w:p>
        </w:tc>
        <w:tc>
          <w:tcPr>
            <w:tcW w:type="dxa" w:w="4680"/>
          </w:tcPr>
          <w:p>
            <w:r>
              <w:t>Celia Velázquez Reyna</w:t>
            </w:r>
          </w:p>
        </w:tc>
      </w:tr>
      <w:tr>
        <w:tc>
          <w:tcPr>
            <w:tcW w:type="dxa" w:w="4680"/>
          </w:tcPr>
          <w:p>
            <w:r>
              <w:t>Periodo</w:t>
            </w:r>
          </w:p>
        </w:tc>
        <w:tc>
          <w:tcPr>
            <w:tcW w:type="dxa" w:w="4680"/>
          </w:tcPr>
          <w:p>
            <w:r>
              <w:t>2026-II</w:t>
            </w:r>
          </w:p>
        </w:tc>
      </w:tr>
      <w:tr>
        <w:tc>
          <w:tcPr>
            <w:tcW w:type="dxa" w:w="4680"/>
          </w:tcPr>
          <w:p>
            <w:r>
              <w:t>Fecha de realización</w:t>
            </w:r>
          </w:p>
        </w:tc>
        <w:tc>
          <w:tcPr>
            <w:tcW w:type="dxa" w:w="4680"/>
          </w:tcPr>
          <w:p>
            <w:r>
              <w:t>23 de septiembre de 2026</w:t>
            </w:r>
          </w:p>
        </w:tc>
      </w:tr>
      <w:tr>
        <w:tc>
          <w:tcPr>
            <w:tcW w:type="dxa" w:w="4680"/>
          </w:tcPr>
          <w:p>
            <w:r>
              <w:t>Lugar</w:t>
            </w:r>
          </w:p>
        </w:tc>
        <w:tc>
          <w:tcPr>
            <w:tcW w:type="dxa" w:w="4680"/>
          </w:tcPr>
          <w:p>
            <w:r>
              <w:t>Monterrey, Nuevo León</w:t>
            </w:r>
          </w:p>
        </w:tc>
      </w:tr>
    </w:tbl>
    <w:p>
      <w:r>
        <w:br w:type="page"/>
      </w:r>
    </w:p>
    <w:bookmarkStart w:id="20" w:name="introducción"/>
    <w:p>
      <w:pPr>
        <w:pStyle w:val="Heading1"/>
      </w:pPr>
      <w:r>
        <w:t xml:space="preserve">Introducción</w:t>
      </w:r>
    </w:p>
    <w:p>
      <w:pPr>
        <w:pStyle w:val="FirstParagraph"/>
      </w:pPr>
      <w:r>
        <w:t xml:space="preserve">La identidad visual de</w:t>
      </w:r>
      <w:r>
        <w:t xml:space="preserve"> </w:t>
      </w:r>
      <w:r>
        <w:rPr>
          <w:b/>
          <w:bCs/>
        </w:rPr>
        <w:t xml:space="preserve">AM Taller Autocentro</w:t>
      </w:r>
      <w:r>
        <w:t xml:space="preserve"> </w:t>
      </w:r>
      <w:r>
        <w:t xml:space="preserve">se analiza como un recurso académico para valorar la coherencia entre nombre comercial, logotipo y lema dentro de una propuesta de servicios automotrices. El criterio de revisión consiste en reconocer cómo esos elementos comunican el giro del negocio sin convertir su existencia gráfica en prueba suficiente de validación comercial. Por ello, el análisis describe la función estratégica de la marca y separa de manera explícita los atributos visibles de las comprobaciones todavía pendientes.</w:t>
      </w:r>
    </w:p>
    <w:p>
      <w:pPr>
        <w:pStyle w:val="BodyText"/>
      </w:pPr>
      <w:r>
        <w:t xml:space="preserve">La combinación entre mecánica, llantas y refacciones exige una identidad que pueda operar en medios digitales, cotizaciones, señalética y documentos de servicio. La pertinencia del nombre, de los colores y del lema depende de que faciliten recordación, lectura y diferenciación. Esa utilidad debe entenderse como hipótesis razonable de trabajo, no como un resultado ya confirmado con clientes reales.</w:t>
      </w:r>
    </w:p>
    <w:bookmarkEnd w:id="20"/>
    <w:bookmarkStart w:id="28" w:name="identidad-visual-de-am-taller-autocentro"/>
    <w:p>
      <w:pPr>
        <w:pStyle w:val="Heading1"/>
      </w:pPr>
      <w:r>
        <w:t xml:space="preserve">Identidad visual de AM Taller Autocentro</w:t>
      </w:r>
    </w:p>
    <w:p>
      <w:pPr>
        <w:pStyle w:val="FirstParagraph"/>
      </w:pPr>
      <w:r>
        <w:drawing>
          <wp:inline>
            <wp:extent cx="3840480" cy="3840479"/>
            <wp:effectExtent b="0" l="0" r="0" t="0"/>
            <wp:docPr descr="image" title="" id="22" name="Picture"/>
            <a:graphic>
              <a:graphicData uri="http://schemas.openxmlformats.org/drawingml/2006/picture">
                <pic:pic>
                  <pic:nvPicPr>
                    <pic:cNvPr descr="ITESCA/maestria-en-gestion-administrativa/plan-de-negocios-mga/assets-plan-de-negocios/am-taller-logo-1024.png" id="23" name="Picture"/>
                    <pic:cNvPicPr>
                      <a:picLocks noChangeArrowheads="1" noChangeAspect="1"/>
                    </pic:cNvPicPr>
                  </pic:nvPicPr>
                  <pic:blipFill>
                    <a:blip r:embed="rId21"/>
                    <a:stretch>
                      <a:fillRect/>
                    </a:stretch>
                  </pic:blipFill>
                  <pic:spPr bwMode="auto">
                    <a:xfrm>
                      <a:off x="0" y="0"/>
                      <a:ext cx="3840480" cy="3840479"/>
                    </a:xfrm>
                    <a:prstGeom prst="rect">
                      <a:avLst/>
                    </a:prstGeom>
                    <a:noFill/>
                    <a:ln w="9525">
                      <a:noFill/>
                      <a:headEnd/>
                      <a:tailEnd/>
                    </a:ln>
                  </pic:spPr>
                </pic:pic>
              </a:graphicData>
            </a:graphic>
          </wp:inline>
        </w:drawing>
      </w:r>
    </w:p>
    <w:bookmarkStart w:id="24" w:name="nombre-del-proyecto"/>
    <w:p>
      <w:pPr>
        <w:pStyle w:val="Heading2"/>
      </w:pPr>
      <w:r>
        <w:t xml:space="preserve">Nombre del proyecto</w:t>
      </w:r>
    </w:p>
    <w:p>
      <w:pPr>
        <w:pStyle w:val="FirstParagraph"/>
      </w:pPr>
      <w:r>
        <w:t xml:space="preserve">El nombre del proyecto es</w:t>
      </w:r>
      <w:r>
        <w:t xml:space="preserve"> </w:t>
      </w:r>
      <w:r>
        <w:rPr>
          <w:b/>
          <w:bCs/>
        </w:rPr>
        <w:t xml:space="preserve">AM Taller Autocentro</w:t>
      </w:r>
      <w:r>
        <w:t xml:space="preserve">. La expresión</w:t>
      </w:r>
      <w:r>
        <w:t xml:space="preserve"> </w:t>
      </w:r>
      <w:r>
        <w:rPr>
          <w:i/>
          <w:iCs/>
        </w:rPr>
        <w:t xml:space="preserve">AM</w:t>
      </w:r>
      <w:r>
        <w:t xml:space="preserve"> </w:t>
      </w:r>
      <w:r>
        <w:t xml:space="preserve">se relaciona con la prontitud asociada a la etiqueta de hora</w:t>
      </w:r>
      <w:r>
        <w:t xml:space="preserve"> </w:t>
      </w:r>
      <w:r>
        <w:rPr>
          <w:i/>
          <w:iCs/>
        </w:rPr>
        <w:t xml:space="preserve">a. m.</w:t>
      </w:r>
      <w:r>
        <w:t xml:space="preserve">: comunica la intención de atender al cliente desde temprano, con disponibilidad y organización del servicio. La palabra</w:t>
      </w:r>
      <w:r>
        <w:t xml:space="preserve"> </w:t>
      </w:r>
      <w:r>
        <w:rPr>
          <w:i/>
          <w:iCs/>
        </w:rPr>
        <w:t xml:space="preserve">Taller</w:t>
      </w:r>
      <w:r>
        <w:t xml:space="preserve"> </w:t>
      </w:r>
      <w:r>
        <w:t xml:space="preserve">declara de manera directa el giro del negocio y</w:t>
      </w:r>
      <w:r>
        <w:t xml:space="preserve"> </w:t>
      </w:r>
      <w:r>
        <w:rPr>
          <w:i/>
          <w:iCs/>
        </w:rPr>
        <w:t xml:space="preserve">Autocentro</w:t>
      </w:r>
      <w:r>
        <w:t xml:space="preserve"> </w:t>
      </w:r>
      <w:r>
        <w:t xml:space="preserve">amplía esa identificación al reunir mecánica, llantas y refacciones en un mismo punto de atención. La combinación es corta, se pronuncia con facilidad y permite asociar el nombre con una atención oportuna para el vehículo.</w:t>
      </w:r>
    </w:p>
    <w:p>
      <w:pPr>
        <w:pStyle w:val="BodyText"/>
      </w:pPr>
      <w:r>
        <w:t xml:space="preserve">El nombre es congruente con el proyecto, que integra agenda de citas, servicios de taller, productos de llantera, inventario y relación con proveedores. Su utilidad estratégica consiste en presentar una identidad simple para medios digitales, cotizaciones, órdenes de servicio y comunicación en el punto de venta. Antes de utilizarlo comercialmente se deberá verificar la disponibilidad del nombre y su recordación con clientes potenciales.</w:t>
      </w:r>
    </w:p>
    <w:bookmarkEnd w:id="24"/>
    <w:bookmarkStart w:id="25" w:name="logotipo-existente"/>
    <w:p>
      <w:pPr>
        <w:pStyle w:val="Heading2"/>
      </w:pPr>
      <w:r>
        <w:t xml:space="preserve">Logotipo existente</w:t>
      </w:r>
    </w:p>
    <w:p>
      <w:pPr>
        <w:pStyle w:val="FirstParagraph"/>
      </w:pPr>
      <w:r>
        <w:rPr>
          <w:b/>
          <w:bCs/>
        </w:rPr>
        <w:t xml:space="preserve">Autoría y procedencia.</w:t>
      </w:r>
      <w:r>
        <w:t xml:space="preserve"> </w:t>
      </w:r>
      <w:r>
        <w:t xml:space="preserve">No se ha acreditado quién creó el logotipo. El recurso procede del proyecto local AM Taller y se conserva sin alterarlo en los assets de la materia. La procedencia del archivo no demuestra autoría, cesión de derechos o registro de marca; tampoco permite atribuirlo al estudiante o a una herramienta de inteligencia artificial. Este requisito de la consigna permanece pendiente de confirmación documental.</w:t>
      </w:r>
    </w:p>
    <w:p>
      <w:pPr>
        <w:pStyle w:val="BodyText"/>
      </w:pPr>
      <w:r>
        <w:t xml:space="preserve">El logotipo utilizado es el que ya forma parte de AM Taller Autocentro. En su aplicación digital se integra con una composición tipográfica de alto contraste y un emblema circular dorado. La marca presenta los servicios de</w:t>
      </w:r>
      <w:r>
        <w:t xml:space="preserve"> </w:t>
      </w:r>
      <w:r>
        <w:rPr>
          <w:i/>
          <w:iCs/>
        </w:rPr>
        <w:t xml:space="preserve">mecánica, llantas y refacciones</w:t>
      </w:r>
      <w:r>
        <w:t xml:space="preserve">, por lo que comunica de manera directa el alcance del negocio. El emblema aporta reconocimiento visual y la denominación</w:t>
      </w:r>
      <w:r>
        <w:t xml:space="preserve"> </w:t>
      </w:r>
      <w:r>
        <w:rPr>
          <w:i/>
          <w:iCs/>
        </w:rPr>
        <w:t xml:space="preserve">Autocentro</w:t>
      </w:r>
      <w:r>
        <w:t xml:space="preserve"> </w:t>
      </w:r>
      <w:r>
        <w:t xml:space="preserve">diferencia la propuesta de un taller limitado a una sola especialidad.</w:t>
      </w:r>
    </w:p>
    <w:p>
      <w:pPr>
        <w:pStyle w:val="BodyText"/>
      </w:pPr>
      <w:r>
        <w:t xml:space="preserve">La paleta dorada, identificada en los recursos del proyecto con el color</w:t>
      </w:r>
      <w:r>
        <w:t xml:space="preserve"> </w:t>
      </w:r>
      <w:r>
        <w:rPr>
          <w:rStyle w:val="VerbatimChar"/>
        </w:rPr>
        <w:t xml:space="preserve">#C4973B</w:t>
      </w:r>
      <w:r>
        <w:t xml:space="preserve">, se emplea como color principal de la marca. Se complementa con tonos oscuros cercanos a</w:t>
      </w:r>
      <w:r>
        <w:t xml:space="preserve"> </w:t>
      </w:r>
      <w:r>
        <w:rPr>
          <w:rStyle w:val="VerbatimChar"/>
        </w:rPr>
        <w:t xml:space="preserve">#2B2B2B</w:t>
      </w:r>
      <w:r>
        <w:t xml:space="preserve">, que favorecen el contraste y la lectura del símbolo y del nombre. El dorado da una referencia visual reconocible y los tonos oscuros aportan sobriedad para aplicaciones en uniformes, señalética, redes sociales y documentos de servicio. Estas decisiones describen la identidad existente; su efectividad comercial debe validarse con usuarios reales.</w:t>
      </w:r>
    </w:p>
    <w:bookmarkEnd w:id="25"/>
    <w:bookmarkStart w:id="26" w:name="lema-y-función-estratégica"/>
    <w:p>
      <w:pPr>
        <w:pStyle w:val="Heading2"/>
      </w:pPr>
      <w:r>
        <w:t xml:space="preserve">Lema y función estratégica</w:t>
      </w:r>
    </w:p>
    <w:p>
      <w:pPr>
        <w:pStyle w:val="FirstParagraph"/>
      </w:pPr>
      <w:r>
        <w:t xml:space="preserve">El lema de la marca es</w:t>
      </w:r>
      <w:r>
        <w:t xml:space="preserve"> </w:t>
      </w:r>
      <w:r>
        <w:rPr>
          <w:b/>
          <w:bCs/>
        </w:rPr>
        <w:t xml:space="preserve">“Pasión por los autos. Compromiso contigo.”</w:t>
      </w:r>
      <w:r>
        <w:t xml:space="preserve">. Surge de la identidad ya comunicada en el sitio de AM Taller Autocentro y vincula el conocimiento técnico con una relación de servicio centrada en el cliente. La primera frase expresa especialización e interés por el sector automotriz; la segunda enfatiza la responsabilidad de informar, atender y dar seguimiento a las necesidades del usuario.</w:t>
      </w:r>
    </w:p>
    <w:p>
      <w:pPr>
        <w:pStyle w:val="BodyText"/>
      </w:pPr>
      <w:r>
        <w:t xml:space="preserve">Estratégicamente, el lema complementa el nombre y el logotipo en la agenda digital, señalética, cotizaciones, recordatorios de servicio y comunicación comercial. También diferencia al proyecto de servicios comunicados únicamente como reparación de emergencia, al expresar una vocación de atención integral. Su comprensión y diferenciación deberán contrastarse con clientes antes de cualquier ajuste definitivo.</w:t>
      </w:r>
    </w:p>
    <w:bookmarkEnd w:id="26"/>
    <w:bookmarkStart w:id="27" w:name="validaciones-pendientes"/>
    <w:p>
      <w:pPr>
        <w:pStyle w:val="Heading2"/>
      </w:pPr>
      <w:r>
        <w:t xml:space="preserve">Validaciones pendientes</w:t>
      </w:r>
    </w:p>
    <w:p>
      <w:pPr>
        <w:pStyle w:val="FirstParagraph"/>
      </w:pPr>
      <w:r>
        <w:t xml:space="preserve">La identidad existente sirve como base de análisis, pero todavía requiere confirmar la titularidad y disponibilidad del nombre y los signos, documentar la autoría de sus recursos gráficos, comprobar la legibilidad de la marca en escala de grises y validar nombre, lema y colores con clientes potenciales. El formato solicitado por el módulo es Word; por ello, el PDF solo funciona como copia de revisión y no sustituye el formato de entrega requerido.</w:t>
      </w:r>
    </w:p>
    <w:bookmarkEnd w:id="27"/>
    <w:bookmarkEnd w:id="28"/>
    <w:bookmarkStart w:id="30" w:name="conclusiones"/>
    <w:p>
      <w:pPr>
        <w:pStyle w:val="Heading1"/>
      </w:pPr>
      <w:r>
        <w:t xml:space="preserve">Conclusiones</w:t>
      </w:r>
    </w:p>
    <w:p>
      <w:pPr>
        <w:pStyle w:val="FirstParagraph"/>
      </w:pPr>
      <w:r>
        <w:t xml:space="preserve">La imagen de AM Taller Autocentro muestra coherencia entre el alcance del negocio y la forma con la que se presenta. El nombre identifica con claridad el servicio, el logotipo aporta reconocimiento visual y el lema refuerza la orientación al cliente. Esa articulación permite sostener académicamente que la identidad cumple una función estratégica básica dentro del proyecto.</w:t>
      </w:r>
    </w:p>
    <w:p>
      <w:pPr>
        <w:pStyle w:val="BodyText"/>
      </w:pPr>
      <w:r>
        <w:t xml:space="preserve">Sin embargo, la utilidad visual no equivale a validación comercial. La siguiente etapa debe comprobar disponibilidad marcaria, aceptación del público y desempeño de la identidad en distintos soportes antes de consolidarla como recurso operativo del negocio.</w:t>
      </w:r>
      <w:r>
        <w:t xml:space="preserve"> </w:t>
      </w:r>
      <w:r>
        <w:rPr>
          <w:rStyle w:val="FootnoteReference"/>
        </w:rPr>
        <w:footnoteReference w:id="29"/>
      </w:r>
    </w:p>
    <w:bookmarkEnd w:id="30"/>
    <w:sectPr>
      <w:headerReference w:type="default" r:id="rId9"/>
      <w:footerReference w:type="default" r:id="rId10"/>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Plan de Negocios | Martín Jonathan de la Cruz Muñoz</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Se utilizó asistencia de inteligencia artificial para revisar la redacción y la trazabilidad del recurso. No se atribuye a esta revisión la creación del logotipo existente.</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ITESCA | Maestría en Gestión Administrativa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Arial" w:hAnsi="Arial"/>
      <w:color w:val="9D142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Arial" w:hAnsi="Arial"/>
      <w:color w:val="9D142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Arial" w:hAnsi="Arial"/>
      <w:color w:val="9D142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Imagen de la empresa</dc:title>
  <dc:creator>Martín Jonathan de la Cruz Muñoz</dc:creator>
  <cp:keywords/>
  <dcterms:created xsi:type="dcterms:W3CDTF">2026-09-24T01:19:18Z</dcterms:created>
  <dcterms:modified xsi:type="dcterms:W3CDTF">2026-09-24T01:19:18Z</dcterms:modified>
  <dc:subject>Actividad 6 - Plan de Negocios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csl">
    <vt:lpwstr>C:\Users\Sysx\Documents\AulaTeX-Academico\ITESCA\maestria-en-gestion-administrativa\plan-de-negocios-mga\referencias-plan-de-negocios\metodologia-actividad-5\apa.csl</vt:lpwstr>
  </property>
</Properties>
</file>