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011680" cy="64026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tesca-contor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Instituto Tecnológico Superior de Cajeme</w:t>
      </w:r>
    </w:p>
    <w:p>
      <w:pPr>
        <w:jc w:val="center"/>
      </w:pPr>
      <w:r>
        <w:t>Maestría en Gestión Administrativa</w:t>
      </w:r>
    </w:p>
    <w:p>
      <w:pPr>
        <w:jc w:val="center"/>
      </w:pPr>
      <w:r>
        <w:t>Posgrado e Investigación</w:t>
      </w:r>
    </w:p>
    <w:p>
      <w:pPr>
        <w:jc w:val="center"/>
      </w:pPr>
      <w:r/>
    </w:p>
    <w:p>
      <w:pPr>
        <w:jc w:val="center"/>
      </w:pPr>
      <w:r>
        <w:rPr>
          <w:b/>
          <w:color w:val="9D1420"/>
          <w:sz w:val="38"/>
        </w:rPr>
        <w:t>Mercadotecnia y publicidad</w:t>
      </w:r>
    </w:p>
    <w:p>
      <w:pPr>
        <w:jc w:val="center"/>
      </w:pPr>
      <w:r>
        <w:t>Actividad 8 - Plan de Negocios</w:t>
      </w:r>
    </w:p>
    <w:p>
      <w:pPr>
        <w:jc w:val="center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Estudiante</w:t>
            </w:r>
          </w:p>
        </w:tc>
        <w:tc>
          <w:tcPr>
            <w:tcW w:type="dxa" w:w="4680"/>
          </w:tcPr>
          <w:p>
            <w:r>
              <w:t>Martín Jonathan de la Cruz Muñoz</w:t>
            </w:r>
          </w:p>
        </w:tc>
      </w:tr>
      <w:tr>
        <w:tc>
          <w:tcPr>
            <w:tcW w:type="dxa" w:w="4680"/>
          </w:tcPr>
          <w:p>
            <w:r>
              <w:t>Matrícula</w:t>
            </w:r>
          </w:p>
        </w:tc>
        <w:tc>
          <w:tcPr>
            <w:tcW w:type="dxa" w:w="4680"/>
          </w:tcPr>
          <w:p>
            <w:r>
              <w:t>26130503</w:t>
            </w:r>
          </w:p>
        </w:tc>
      </w:tr>
      <w:tr>
        <w:tc>
          <w:tcPr>
            <w:tcW w:type="dxa" w:w="4680"/>
          </w:tcPr>
          <w:p>
            <w:r>
              <w:t>Correo institucional</w:t>
            </w:r>
          </w:p>
        </w:tc>
        <w:tc>
          <w:tcPr>
            <w:tcW w:type="dxa" w:w="4680"/>
          </w:tcPr>
          <w:p>
            <w:r>
              <w:t>26130503@cajeme.tecnm.mx</w:t>
            </w:r>
          </w:p>
        </w:tc>
      </w:tr>
      <w:tr>
        <w:tc>
          <w:tcPr>
            <w:tcW w:type="dxa" w:w="4680"/>
          </w:tcPr>
          <w:p>
            <w:r>
              <w:t>Docente</w:t>
            </w:r>
          </w:p>
        </w:tc>
        <w:tc>
          <w:tcPr>
            <w:tcW w:type="dxa" w:w="4680"/>
          </w:tcPr>
          <w:p>
            <w:r>
              <w:t>Celia Velázquez Reyna</w:t>
            </w:r>
          </w:p>
        </w:tc>
      </w:tr>
      <w:tr>
        <w:tc>
          <w:tcPr>
            <w:tcW w:type="dxa" w:w="4680"/>
          </w:tcPr>
          <w:p>
            <w:r>
              <w:t>Periodo</w:t>
            </w:r>
          </w:p>
        </w:tc>
        <w:tc>
          <w:tcPr>
            <w:tcW w:type="dxa" w:w="4680"/>
          </w:tcPr>
          <w:p>
            <w:r>
              <w:t>2026-II</w:t>
            </w:r>
          </w:p>
        </w:tc>
      </w:tr>
      <w:tr>
        <w:tc>
          <w:tcPr>
            <w:tcW w:type="dxa" w:w="4680"/>
          </w:tcPr>
          <w:p>
            <w:r>
              <w:t>Fecha de realización</w:t>
            </w:r>
          </w:p>
        </w:tc>
        <w:tc>
          <w:tcPr>
            <w:tcW w:type="dxa" w:w="4680"/>
          </w:tcPr>
          <w:p>
            <w:r>
              <w:t>23 de septiembre de 2026</w:t>
            </w:r>
          </w:p>
        </w:tc>
      </w:tr>
      <w:tr>
        <w:tc>
          <w:tcPr>
            <w:tcW w:type="dxa" w:w="4680"/>
          </w:tcPr>
          <w:p>
            <w:r>
              <w:t>Lugar</w:t>
            </w:r>
          </w:p>
        </w:tc>
        <w:tc>
          <w:tcPr>
            <w:tcW w:type="dxa" w:w="4680"/>
          </w:tcPr>
          <w:p>
            <w:r>
              <w:t>Monterrey, Nuevo León</w:t>
            </w:r>
          </w:p>
        </w:tc>
      </w:tr>
    </w:tbl>
    <w:p>
      <w:r>
        <w:br w:type="page"/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La estrategia de mercadotecnia para</w:t>
      </w:r>
      <w:r>
        <w:t xml:space="preserve"> </w:t>
      </w:r>
      <w:r>
        <w:rPr>
          <w:b/>
          <w:bCs/>
        </w:rPr>
        <w:t xml:space="preserve">AM Taller Autocentro</w:t>
      </w:r>
      <w:r>
        <w:t xml:space="preserve"> </w:t>
      </w:r>
      <w:r>
        <w:t xml:space="preserve">debe construir un primer contacto claro con el mercado sin prometer capacidades que todavía no han sido verificadas. El problema central consiste en comunicar mecánica, llantas y refacciones como una propuesta organizada de atención automotriz, manteniendo visibles las restricciones reales del proyecto. Por ello, la comunicación se diseña como hipótesis operativa: busca orientar al cliente potencial y, al mismo tiempo, proteger al proyecto frente a afirmaciones no sustentadas.</w:t>
      </w:r>
    </w:p>
    <w:p>
      <w:pPr>
        <w:pStyle w:val="BodyText"/>
      </w:pPr>
      <w:r>
        <w:t xml:space="preserve">La identidad disponible comprende un emblema circular dorado, tipografía oscura y el lema</w:t>
      </w:r>
      <w:r>
        <w:t xml:space="preserve"> </w:t>
      </w:r>
      <w:r>
        <w:t xml:space="preserve">“Pasión por los autos. Compromiso contigo.”</w:t>
      </w:r>
      <w:r>
        <w:t xml:space="preserve">. Estos elementos se conservan sin modificar ni atribuir titularidad. El análisis parte de un mercado objetivo preliminar conformado por personas que requieren mantenimiento mecánico, revisión de llantas o consulta de refacciones, pero ese supuesto deberá confirmarse con evidencia de territorio, necesidades, hábitos digitales y capacidad de atención.</w:t>
      </w:r>
    </w:p>
    <w:bookmarkEnd w:id="20"/>
    <w:bookmarkStart w:id="29" w:name="estrategia-de-mercadotecnia-y-publicidad"/>
    <w:p>
      <w:pPr>
        <w:pStyle w:val="Heading1"/>
      </w:pPr>
      <w:r>
        <w:t xml:space="preserve">Estrategia de mercadotecnia y publicidad</w:t>
      </w:r>
    </w:p>
    <w:bookmarkStart w:id="21" w:name="criterios-de-preparación-y-verificación"/>
    <w:p>
      <w:pPr>
        <w:pStyle w:val="Heading2"/>
      </w:pPr>
      <w:r>
        <w:t xml:space="preserve">Criterios de preparación y verificación</w:t>
      </w:r>
    </w:p>
    <w:p>
      <w:pPr>
        <w:pStyle w:val="FirstParagraph"/>
      </w:pPr>
      <w:r>
        <w:t xml:space="preserve">La propuesta relaciona público, mensaje, canal y capacidad de respuesta. El material de la segunda competencia vincula imagen, investigación de mercado y publicidad</w:t>
      </w:r>
      <w:r>
        <w:t xml:space="preserve"> </w:t>
      </w:r>
      <w:r>
        <w:t xml:space="preserve">(</w:t>
      </w:r>
      <w:r>
        <w:rPr>
          <w:i/>
          <w:iCs/>
        </w:rPr>
        <w:t xml:space="preserve">Competencia 2</w:t>
      </w:r>
      <w:r>
        <w:t xml:space="preserve">, s. f.)</w:t>
      </w:r>
      <w:r>
        <w:t xml:space="preserve">; el glosario diferencia estos componentes</w:t>
      </w:r>
      <w:r>
        <w:t xml:space="preserve"> </w:t>
      </w:r>
      <w:r>
        <w:t xml:space="preserve">(</w:t>
      </w:r>
      <w:r>
        <w:rPr>
          <w:i/>
          <w:iCs/>
        </w:rPr>
        <w:t xml:space="preserve">Propuesta de Glosario de Conceptos</w:t>
      </w:r>
      <w:r>
        <w:t xml:space="preserve">, 2024)</w:t>
      </w:r>
      <w:r>
        <w:t xml:space="preserve">. La pieza visual conserva la identidad existente, mientras que la cobertura, los canales de contacto, los horarios y el presupuesto deben confirmarse antes de una publicación comercial.</w:t>
      </w:r>
    </w:p>
    <w:p>
      <w:pPr>
        <w:pStyle w:val="BodyText"/>
      </w:pPr>
      <w:r>
        <w:t xml:space="preserve">Se consideran errores bloqueantes la publicación de teléfonos, domicilios, precios o descuentos no confirmados; presentar referencias de catálogo como existencias; prometer resultados mecánicos sin diagnóstico; y afirmar que AM Taller Autocentro ya opera comercialmente. También debe evitarse habilitar canales sin una persona responsable ni un proceso definido de respuesta.</w:t>
      </w:r>
    </w:p>
    <w:bookmarkEnd w:id="21"/>
    <w:bookmarkStart w:id="22" w:name="objetivo-de-comunicación"/>
    <w:p>
      <w:pPr>
        <w:pStyle w:val="Heading2"/>
      </w:pPr>
      <w:r>
        <w:t xml:space="preserve">Objetivo de comunicación</w:t>
      </w:r>
    </w:p>
    <w:p>
      <w:pPr>
        <w:pStyle w:val="FirstParagraph"/>
      </w:pPr>
      <w:r>
        <w:t xml:space="preserve">El objetivo es presentar a AM Taller Autocentro como una propuesta de atención automotriz que integra mecánica, llantas y consulta de refacciones mediante un proceso organizado de revisión, cotización y programación de citas. La comunicación facilita el primer contacto sin prometer disponibilidad, compatibilidad, tiempos de entrega o resultados que todavía no hayan sido comprobados.</w:t>
      </w:r>
    </w:p>
    <w:bookmarkEnd w:id="22"/>
    <w:bookmarkStart w:id="23" w:name="flyer-textual-propuesto"/>
    <w:p>
      <w:pPr>
        <w:pStyle w:val="Heading2"/>
      </w:pPr>
      <w:r>
        <w:t xml:space="preserve">Flyer textual propuesto</w:t>
      </w:r>
    </w:p>
    <w:p>
      <w:pPr>
        <w:pStyle w:val="FirstParagraph"/>
      </w:pPr>
      <w:r>
        <w:rPr>
          <w:b/>
          <w:bCs/>
        </w:rPr>
        <w:t xml:space="preserve">AM Taller Autocentro</w:t>
      </w:r>
    </w:p>
    <w:p>
      <w:pPr>
        <w:pStyle w:val="BodyText"/>
      </w:pPr>
      <w:r>
        <w:rPr>
          <w:b/>
          <w:bCs/>
        </w:rPr>
        <w:t xml:space="preserve">Mecánica, llantas y refacciones bajo revisión y cotización</w:t>
      </w:r>
    </w:p>
    <w:p>
      <w:pPr>
        <w:pStyle w:val="BodyText"/>
      </w:pPr>
      <w:r>
        <w:t xml:space="preserve">¿Tu automóvil necesita atención? Solicita información para programar una revisión de sus necesidades de mantenimiento, condición de las llantas o requerimientos de refacciones.</w:t>
      </w:r>
    </w:p>
    <w:p>
      <w:pPr>
        <w:numPr>
          <w:ilvl w:val="0"/>
          <w:numId w:val="1001"/>
        </w:numPr>
      </w:pPr>
      <w:r>
        <w:t xml:space="preserve">Orientación inicial sobre servicios de mecánica sujetos a diagnóstico.</w:t>
      </w:r>
    </w:p>
    <w:p>
      <w:pPr>
        <w:numPr>
          <w:ilvl w:val="0"/>
          <w:numId w:val="1001"/>
        </w:numPr>
      </w:pPr>
      <w:r>
        <w:t xml:space="preserve">Consulta de opciones de llantas conforme a la medida previamente confirmada.</w:t>
      </w:r>
    </w:p>
    <w:p>
      <w:pPr>
        <w:numPr>
          <w:ilvl w:val="0"/>
          <w:numId w:val="1001"/>
        </w:numPr>
      </w:pPr>
      <w:r>
        <w:t xml:space="preserve">Búsqueda de referencias de refacciones sujeta a compatibilidad y cotización.</w:t>
      </w:r>
    </w:p>
    <w:p>
      <w:pPr>
        <w:numPr>
          <w:ilvl w:val="0"/>
          <w:numId w:val="1001"/>
        </w:numPr>
      </w:pPr>
      <w:r>
        <w:t xml:space="preserve">Programación propuesta de citas para organizar la atención.</w:t>
      </w:r>
    </w:p>
    <w:p>
      <w:pPr>
        <w:pStyle w:val="FirstParagraph"/>
      </w:pPr>
      <w:r>
        <w:rPr>
          <w:b/>
          <w:bCs/>
        </w:rPr>
        <w:t xml:space="preserve">Pasión por los autos. Compromiso contigo.</w:t>
      </w:r>
    </w:p>
    <w:p>
      <w:pPr>
        <w:pStyle w:val="BodyText"/>
      </w:pPr>
      <w:r>
        <w:t xml:space="preserve">Solicita información por</w:t>
      </w:r>
      <w:r>
        <w:t xml:space="preserve"> </w:t>
      </w:r>
      <w:r>
        <w:rPr>
          <w:b/>
          <w:bCs/>
        </w:rPr>
        <w:t xml:space="preserve">[canal de contacto pendiente]</w:t>
      </w:r>
      <w:r>
        <w:t xml:space="preserve">. Atención propuesta en</w:t>
      </w:r>
      <w:r>
        <w:t xml:space="preserve"> </w:t>
      </w:r>
      <w:r>
        <w:rPr>
          <w:b/>
          <w:bCs/>
        </w:rPr>
        <w:t xml:space="preserve">[horario por confirmar]</w:t>
      </w:r>
      <w:r>
        <w:t xml:space="preserve">. La disponibilidad, compatibilidad, cotización y alcance de cada servicio deberán confirmarse antes de cualquier operación.</w:t>
      </w:r>
    </w:p>
    <w:p>
      <w:pPr>
        <w:pStyle w:val="BodyText"/>
      </w:pPr>
      <w:r>
        <w:t xml:space="preserve">Para la composición visual se propone colocar el emblema circular dorado en la parte superior y, debajo, el nombre del proyecto con tipografía oscura y legible. El mensaje principal ocuparía la zona central, acompañado de una imagen autorizada relacionada con el cuidado automotriz. En la parte inferior se ubicarían el lema, el llamado a solicitar información y los datos de contacto confirmados. La pieza no deberá incorporar marcas de terceros, fotografías sin permiso, precios, existencias, descuentos ni un domicilio no autorizado.</w:t>
      </w:r>
    </w:p>
    <w:bookmarkEnd w:id="23"/>
    <w:bookmarkStart w:id="27" w:name="diseño-publicitario"/>
    <w:p>
      <w:pPr>
        <w:pStyle w:val="Heading2"/>
      </w:pPr>
      <w:r>
        <w:t xml:space="preserve">Diseño publicitario</w:t>
      </w:r>
    </w:p>
    <w:p>
      <w:pPr>
        <w:pStyle w:val="FirstParagraph"/>
      </w:pPr>
      <w:r>
        <w:t xml:space="preserve">La propuesta visual utiliza el logotipo local, la paleta oscura y dorada y el lema existente. El llamado a cotizar no promete diagnóstico gratuito, inventario ni resultados. Se omiten contacto y horario hasta confirmarlos; la pieza es un diseño académico, no un anuncio publicado.</w:t>
      </w:r>
    </w:p>
    <w:p>
      <w:pPr>
        <w:pStyle w:val="BodyText"/>
      </w:pPr>
      <w:r>
        <w:drawing>
          <wp:inline>
            <wp:extent cx="4846320" cy="6230983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TESCA/maestria-en-gestion-administrativa/plan-de-negocios-mga/assets-plan-de-negocios/flyer-am-taller-propuest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6230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28ab97af167419c8f99d0994e77f2d4da081528"/>
    <w:p>
      <w:pPr>
        <w:pStyle w:val="Heading2"/>
      </w:pPr>
      <w:r>
        <w:t xml:space="preserve">Introducción al mercado, canales y promociones</w:t>
      </w:r>
    </w:p>
    <w:p>
      <w:pPr>
        <w:pStyle w:val="FirstParagraph"/>
      </w:pPr>
      <w:r>
        <w:t xml:space="preserve">La introducción se plantea en tres momentos. En la</w:t>
      </w:r>
      <w:r>
        <w:t xml:space="preserve"> </w:t>
      </w:r>
      <w:r>
        <w:rPr>
          <w:b/>
          <w:bCs/>
        </w:rPr>
        <w:t xml:space="preserve">preparación</w:t>
      </w:r>
      <w:r>
        <w:t xml:space="preserve"> </w:t>
      </w:r>
      <w:r>
        <w:t xml:space="preserve">se confirmarían los servicios que pueden comunicarse, la capacidad de atención, el procedimiento de citas, los responsables de los canales y los criterios de cotización. En la</w:t>
      </w:r>
      <w:r>
        <w:t xml:space="preserve"> </w:t>
      </w:r>
      <w:r>
        <w:rPr>
          <w:b/>
          <w:bCs/>
        </w:rPr>
        <w:t xml:space="preserve">difusión inicial</w:t>
      </w:r>
      <w:r>
        <w:t xml:space="preserve"> </w:t>
      </w:r>
      <w:r>
        <w:t xml:space="preserve">se publicaría el flyer junto con contenidos que expliquen el proceso para solicitar información, concentrando la comunicación en las categorías generales de mecánica, llantas y refacciones. En el</w:t>
      </w:r>
      <w:r>
        <w:t xml:space="preserve"> </w:t>
      </w:r>
      <w:r>
        <w:rPr>
          <w:b/>
          <w:bCs/>
        </w:rPr>
        <w:t xml:space="preserve">seguimiento</w:t>
      </w:r>
      <w:r>
        <w:t xml:space="preserve"> </w:t>
      </w:r>
      <w:r>
        <w:t xml:space="preserve">se registrarían consultas, categorías solicitadas, citas propuestas, cotizaciones elaboradas y motivos de no atención para ajustar los mensajes sin confundir consultas con ventas.</w:t>
      </w:r>
    </w:p>
    <w:p>
      <w:pPr>
        <w:pStyle w:val="BodyText"/>
      </w:pPr>
      <w:r>
        <w:t xml:space="preserve">Los canales digitales propuestos son Facebook, Instagram, WhatsApp Business y, de manera condicionada, un perfil empresarial en mapas si existe una ubicación pública y autorizada. Todos deberán mantener el mismo nombre, emblema, lema y tono informativo. Las respuestas deben indicar cuándo una solicitud requiere revisión técnica y evitar diagnósticos personalizados basados únicamente en mensajes o fotografías.</w:t>
      </w:r>
    </w:p>
    <w:p>
      <w:pPr>
        <w:pStyle w:val="BodyText"/>
      </w:pPr>
      <w:r>
        <w:t xml:space="preserve">Las promociones deben aprobarse después de evaluar costos, capacidad y condiciones de aplicación. Se proponen orientación inicial para identificar el tipo de revisión que podría requerirse, recordatorios voluntarios de citas o mantenimiento, paquetes de servicios relacionados definidos con base en costos reales, publicaciones educativas estacionales y colaboraciones con eventos locales o creadores de contenido cuando exista autorización y un beneficio evaluable.</w:t>
      </w:r>
    </w:p>
    <w:p>
      <w:pPr>
        <w:pStyle w:val="BodyText"/>
      </w:pPr>
      <w:r>
        <w:t xml:space="preserve">Para evaluar la introducción se registrarán consultas por canal, cotizaciones solicitadas, citas confirmadas y servicios efectivamente realizados, conservando denominadores comparables. Las consultas no se contarán como ventas. La elección de canales y mensajes deberá ajustarse con evidencia del estudio de mercado, cuyo diseño debe responder a objetivos concretos de información</w:t>
      </w:r>
      <w:r>
        <w:t xml:space="preserve"> </w:t>
      </w:r>
      <w:r>
        <w:t xml:space="preserve">(Gomez Albrecht et al., 2023)</w:t>
      </w:r>
      <w:r>
        <w:t xml:space="preserve">.</w:t>
      </w:r>
    </w:p>
    <w:bookmarkEnd w:id="28"/>
    <w:bookmarkEnd w:id="29"/>
    <w:bookmarkStart w:id="38" w:name="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La propuesta de mercadotecnia permite comunicar a AM Taller Autocentro con claridad sin exceder la evidencia disponible. El flyer, los canales sugeridos y la secuencia de introducción al mercado mantienen la identidad del proyecto y delimitan con cuidado lo que puede ofrecerse, lo que debe cotizarse y lo que todavía permanece en validación.</w:t>
      </w:r>
    </w:p>
    <w:p>
      <w:pPr>
        <w:pStyle w:val="BodyText"/>
      </w:pPr>
      <w:r>
        <w:t xml:space="preserve">La siguiente decisión metodológica consiste en confirmar territorio, mercado objetivo, presupuesto, responsables, datos de contacto, horarios, capacidad operativa, catálogo autorizado y políticas de cotización. Solo con esos datos la estrategia dejará de ser un borrador académico y podrá evaluarse como plan comercial operativo.</w:t>
      </w:r>
      <w:r>
        <w:t xml:space="preserve"> </w:t>
      </w:r>
      <w:r>
        <w:rPr>
          <w:rStyle w:val="FootnoteReference"/>
        </w:rPr>
        <w:footnoteReference w:id="30"/>
      </w:r>
    </w:p>
    <w:bookmarkStart w:id="37" w:name="refs"/>
    <w:bookmarkStart w:id="32" w:name="ref-itescaCompetencia2"/>
    <w:p>
      <w:pPr>
        <w:pStyle w:val="Bibliography"/>
      </w:pPr>
      <w:r>
        <w:rPr>
          <w:i/>
          <w:iCs/>
        </w:rPr>
        <w:t xml:space="preserve">Competencia 2</w:t>
      </w:r>
      <w:r>
        <w:t xml:space="preserve">. (s. f.). Presentacion PowerPoint alojada en ITESCA Virtual, Plan de Negocios.</w:t>
      </w:r>
      <w:r>
        <w:t xml:space="preserve"> </w:t>
      </w:r>
      <w:hyperlink r:id="rId31">
        <w:r>
          <w:rPr>
            <w:rStyle w:val="Hyperlink"/>
          </w:rPr>
          <w:t xml:space="preserve">https://cursos3.e-itesca.edu.mx/mod/resource/view.php?id=6542</w:t>
        </w:r>
      </w:hyperlink>
    </w:p>
    <w:bookmarkEnd w:id="32"/>
    <w:bookmarkStart w:id="34" w:name="ref-albrechtMarketing2023"/>
    <w:p>
      <w:pPr>
        <w:pStyle w:val="Bibliography"/>
      </w:pPr>
      <w:r>
        <w:t xml:space="preserve">Gomez Albrecht, M., Green, M., &amp; Hoffman, L. (2023).</w:t>
      </w:r>
      <w:r>
        <w:t xml:space="preserve"> </w:t>
      </w:r>
      <w:r>
        <w:rPr>
          <w:i/>
          <w:iCs/>
        </w:rPr>
        <w:t xml:space="preserve">Principles of marketing</w:t>
      </w:r>
      <w:r>
        <w:t xml:space="preserve">. OpenStax, Rice University.</w:t>
      </w:r>
      <w:r>
        <w:t xml:space="preserve"> </w:t>
      </w:r>
      <w:hyperlink r:id="rId33">
        <w:r>
          <w:rPr>
            <w:rStyle w:val="Hyperlink"/>
          </w:rPr>
          <w:t xml:space="preserve">https://openstax.org/books/principles-marketing/pages/6-3-steps-in-a-successful-marketing-research-plan</w:t>
        </w:r>
      </w:hyperlink>
    </w:p>
    <w:bookmarkEnd w:id="34"/>
    <w:bookmarkStart w:id="36" w:name="ref-planNegociosGlosario2024"/>
    <w:p>
      <w:pPr>
        <w:pStyle w:val="Bibliography"/>
      </w:pPr>
      <w:r>
        <w:rPr>
          <w:i/>
          <w:iCs/>
        </w:rPr>
        <w:t xml:space="preserve">Propuesta de glosario de conceptos</w:t>
      </w:r>
      <w:r>
        <w:t xml:space="preserve">. (2024). Material alojado en ITESCA Virtual, modulo 6527.</w:t>
      </w:r>
      <w:r>
        <w:t xml:space="preserve"> </w:t>
      </w:r>
      <w:hyperlink r:id="rId35">
        <w:r>
          <w:rPr>
            <w:rStyle w:val="Hyperlink"/>
          </w:rPr>
          <w:t xml:space="preserve">https://cursos3.e-itesca.edu.mx/mod/resource/view.php?id=6527</w:t>
        </w:r>
      </w:hyperlink>
    </w:p>
    <w:bookmarkEnd w:id="36"/>
    <w:bookmarkEnd w:id="37"/>
    <w:bookmarkEnd w:id="38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Plan de Negocios | Martín Jonathan de la Cruz Muñoz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 utilizó asistencia de inteligencia artificial para componer la pieza académica y revisar la estrategia. Se reutilizó el logotipo existente sin atribuir nueva autoría; no se publicó la campaña ni se generaron resultados comerciales.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ITESCA | Maestría en Gestión Administrativa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9D142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9D142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/>
      <w:color w:val="9D142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35" Type="http://schemas.openxmlformats.org/officeDocument/2006/relationships/hyperlink" Target="https://cursos3.e-itesca.edu.mx/mod/resource/view.php?id=6527" TargetMode="External"/><Relationship Id="rId31" Type="http://schemas.openxmlformats.org/officeDocument/2006/relationships/hyperlink" Target="https://cursos3.e-itesca.edu.mx/mod/resource/view.php?id=6542" TargetMode="External"/><Relationship Id="rId33" Type="http://schemas.openxmlformats.org/officeDocument/2006/relationships/hyperlink" Target="https://openstax.org/books/principles-marketing/pages/6-3-steps-in-a-successful-marketing-research-plan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ursos3.e-itesca.edu.mx/mod/resource/view.php?id=6527" TargetMode="External"/><Relationship Id="rId31" Type="http://schemas.openxmlformats.org/officeDocument/2006/relationships/hyperlink" Target="https://cursos3.e-itesca.edu.mx/mod/resource/view.php?id=6542" TargetMode="External"/><Relationship Id="rId33" Type="http://schemas.openxmlformats.org/officeDocument/2006/relationships/hyperlink" Target="https://openstax.org/books/principles-marketing/pages/6-3-steps-in-a-successful-marketing-research-p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Mercadotecnia y publicidad</dc:title>
  <dc:creator>Martín Jonathan de la Cruz Muñoz</dc:creator>
  <cp:keywords/>
  <dcterms:created xsi:type="dcterms:W3CDTF">2026-09-23T22:32:36Z</dcterms:created>
  <dcterms:modified xsi:type="dcterms:W3CDTF">2026-09-23T22:32:36Z</dcterms:modified>
  <dc:subject>Actividad 8 - Plan de Negocios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C:\Users\Sysx\Documents\AulaTeX-Academico\ITESCA\maestria-en-gestion-administrativa\plan-de-negocios-mga\plan-de-negocios.bib</vt:lpwstr>
  </property>
  <property fmtid="{D5CDD505-2E9C-101B-9397-08002B2CF9AE}" pid="3" name="csl">
    <vt:lpwstr>C:\Users\Sysx\Documents\AulaTeX-Academico\ITESCA\maestria-en-gestion-administrativa\plan-de-negocios-mga\referencias-plan-de-negocios\metodologia-actividad-5\apa.csl</vt:lpwstr>
  </property>
</Properties>
</file>