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tcPr>
          <w:p>
            <w:r>
              <w:t>Instituto Tecnológico Superior de Cajeme</w:t>
              <w:br/>
              <w:t>Maestría en Gestión Administrativa</w:t>
              <w:br/>
              <w:t>Posgrado e Investigación</w:t>
            </w:r>
          </w:p>
        </w:tc>
        <w:tc>
          <w:tcPr>
            <w:tcW w:type="dxa" w:w="4680"/>
          </w:tcPr>
          <w:p>
            <w:r>
              <w:drawing>
                <wp:inline>
                  <wp:extent cx="1645920" cy="52385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645920" cy="523854"/>
                          </a:xfrm>
                          <a:prstGeom prst="rect"/>
                        </pic:spPr>
                      </pic:pic>
                    </a:graphicData>
                  </a:graphic>
                </wp:inline>
              </w:drawing>
            </w:r>
          </w:p>
        </w:tc>
      </w:tr>
    </w:tbl>
    <w:p>
      <w:pPr>
        <w:spacing w:before="480"/>
        <w:jc w:val="center"/>
      </w:pPr>
      <w:r>
        <w:rPr>
          <w:rFonts w:ascii="Arial" w:hAnsi="Arial"/>
          <w:b/>
          <w:color w:val="8F1117"/>
          <w:sz w:val="44"/>
        </w:rPr>
        <w:t>Preguntas para el análisis de demanda y oferta</w:t>
      </w:r>
    </w:p>
    <w:p>
      <w:pPr>
        <w:spacing w:before="480"/>
        <w:jc w:val="center"/>
      </w:pPr>
      <w:r>
        <w:rPr>
          <w:rFonts w:ascii="Arial" w:hAnsi="Arial"/>
          <w:b/>
          <w:color w:val="8F1117"/>
          <w:sz w:val="32"/>
        </w:rPr>
        <w:t>AM Taller Autocentro</w:t>
      </w:r>
    </w:p>
    <w:p>
      <w:pPr>
        <w:spacing w:before="480"/>
        <w:jc w:val="center"/>
      </w:pPr>
      <w:r>
        <w:t>Actividad 5</w:t>
      </w:r>
    </w:p>
    <w:tbl>
      <w:tblPr>
        <w:tblW w:type="auto" w:w="0"/>
        <w:tblLook w:firstColumn="1" w:firstRow="1" w:lastColumn="0" w:lastRow="0" w:noHBand="0" w:noVBand="1" w:val="04A0"/>
      </w:tblPr>
      <w:tblGrid>
        <w:gridCol w:w="4680"/>
        <w:gridCol w:w="4680"/>
      </w:tblGrid>
      <w:tr>
        <w:tc>
          <w:tcPr>
            <w:tcW w:type="dxa" w:w="4680"/>
          </w:tcPr>
          <w:p>
            <w:r>
              <w:t>Alumno</w:t>
            </w:r>
          </w:p>
        </w:tc>
        <w:tc>
          <w:tcPr>
            <w:tcW w:type="dxa" w:w="4680"/>
          </w:tcPr>
          <w:p>
            <w:r>
              <w:t>Martín Jonathan de la Cruz Muñoz</w:t>
            </w:r>
          </w:p>
        </w:tc>
      </w:tr>
      <w:tr>
        <w:tc>
          <w:tcPr>
            <w:tcW w:type="dxa" w:w="4680"/>
          </w:tcPr>
          <w:p>
            <w:r>
              <w:t>Docente</w:t>
            </w:r>
          </w:p>
        </w:tc>
        <w:tc>
          <w:tcPr>
            <w:tcW w:type="dxa" w:w="4680"/>
          </w:tcPr>
          <w:p>
            <w:r>
              <w:t>Celia Velázquez Reyna</w:t>
            </w:r>
          </w:p>
        </w:tc>
      </w:tr>
      <w:tr>
        <w:tc>
          <w:tcPr>
            <w:tcW w:type="dxa" w:w="4680"/>
          </w:tcPr>
          <w:p>
            <w:r>
              <w:t>Asignatura</w:t>
            </w:r>
          </w:p>
        </w:tc>
        <w:tc>
          <w:tcPr>
            <w:tcW w:type="dxa" w:w="4680"/>
          </w:tcPr>
          <w:p>
            <w:r>
              <w:t>Plan de Negocios (GGPN01)</w:t>
            </w:r>
          </w:p>
        </w:tc>
      </w:tr>
      <w:tr>
        <w:tc>
          <w:tcPr>
            <w:tcW w:type="dxa" w:w="4680"/>
          </w:tcPr>
          <w:p>
            <w:r>
              <w:t>Periodo</w:t>
            </w:r>
          </w:p>
        </w:tc>
        <w:tc>
          <w:tcPr>
            <w:tcW w:type="dxa" w:w="4680"/>
          </w:tcPr>
          <w:p>
            <w:r>
              <w:t>2026-II</w:t>
            </w:r>
          </w:p>
        </w:tc>
      </w:tr>
      <w:tr>
        <w:tc>
          <w:tcPr>
            <w:tcW w:type="dxa" w:w="4680"/>
          </w:tcPr>
          <w:p>
            <w:r>
              <w:t>Preparación</w:t>
            </w:r>
          </w:p>
        </w:tc>
        <w:tc>
          <w:tcPr>
            <w:tcW w:type="dxa" w:w="4680"/>
          </w:tcPr>
          <w:p>
            <w:r>
              <w:t>22 de septiembre de 2026</w:t>
            </w:r>
          </w:p>
        </w:tc>
      </w:tr>
      <w:tr>
        <w:tc>
          <w:tcPr>
            <w:tcW w:type="dxa" w:w="4680"/>
          </w:tcPr>
          <w:p>
            <w:r>
              <w:t>Ámbito propuesto</w:t>
            </w:r>
          </w:p>
        </w:tc>
        <w:tc>
          <w:tcPr>
            <w:tcW w:type="dxa" w:w="4680"/>
          </w:tcPr>
          <w:p>
            <w:r>
              <w:t>Monterrey, Nuevo León</w:t>
            </w:r>
          </w:p>
        </w:tc>
      </w:tr>
    </w:tbl>
    <w:p>
      <w:r>
        <w:t>Instrumentos para revisión y pilotaje. No se presentan respuestas ni resultados de campo.</w:t>
      </w:r>
    </w:p>
    <w:p>
      <w:r>
        <w:br w:type="page"/>
      </w:r>
    </w:p>
    <w:bookmarkStart w:id="20" w:name="introducción"/>
    <w:p>
      <w:pPr>
        <w:pStyle w:val="Heading1"/>
      </w:pPr>
      <w:r>
        <w:t xml:space="preserve">Introducción</w:t>
      </w:r>
    </w:p>
    <w:p>
      <w:pPr>
        <w:pStyle w:val="FirstParagraph"/>
      </w:pPr>
      <w:r>
        <w:t xml:space="preserve">La decisión de introducir</w:t>
      </w:r>
      <w:r>
        <w:t xml:space="preserve"> </w:t>
      </w:r>
      <w:r>
        <w:rPr>
          <w:b/>
          <w:bCs/>
        </w:rPr>
        <w:t xml:space="preserve">AM Taller Autocentro</w:t>
      </w:r>
      <w:r>
        <w:t xml:space="preserve"> </w:t>
      </w:r>
      <w:r>
        <w:t xml:space="preserve">requiere distinguir las necesidades de quienes contratan mecánica, llantas y refacciones de lo que comunican los establecimientos competidores. El interés declarado de una persona no equivale a una compra, y un servicio anunciado no demuestra capacidad efectiva. El análisis de mercado vincula clientes, competidores y decisiones comerciales; su utilidad depende de recolectar datos adecuados al problema, no de acumular respuestas sin un propósito definido</w:t>
      </w:r>
      <w:r>
        <w:t xml:space="preserve"> </w:t>
      </w:r>
      <w:r>
        <w:t xml:space="preserve">(Gomez Albrecht et al., 2023;</w:t>
      </w:r>
      <w:r>
        <w:t xml:space="preserve"> </w:t>
      </w:r>
      <w:r>
        <w:rPr>
          <w:i/>
          <w:iCs/>
        </w:rPr>
        <w:t xml:space="preserve">Propuesta de glosario de conceptos</w:t>
      </w:r>
      <w:r>
        <w:t xml:space="preserve">, 2024)</w:t>
      </w:r>
      <w:r>
        <w:t xml:space="preserve">.</w:t>
      </w:r>
    </w:p>
    <w:p>
      <w:pPr>
        <w:pStyle w:val="BodyText"/>
      </w:pPr>
      <w:r>
        <w:rPr>
          <w:b/>
          <w:bCs/>
        </w:rPr>
        <w:t xml:space="preserve">Objetivo:</w:t>
      </w:r>
      <w:r>
        <w:t xml:space="preserve"> </w:t>
      </w:r>
      <w:r>
        <w:t xml:space="preserve">Diseñar una encuesta de demanda y una lista de cotejo de oferta que produzcan información comparable para orientar ventas, prestación del servicio, promoción, ubicación y precio. La delimitación propuesta comprende siete municipios del entorno metropolitano de Monterrey: Monterrey, Guadalupe, San Nicolás de los Garza, Apodaca, General Escobedo, Santa Catarina y García. Es un ámbito de estudio, no un domicilio comercial confirmado ni una afirmación de cobertura completa de la metrópoli. La relación entre territorio, mercado meta, competencia y promoción coincide con los ejes de investigación del material de Competencia 2</w:t>
      </w:r>
      <w:r>
        <w:t xml:space="preserve"> </w:t>
      </w:r>
      <w:r>
        <w:t xml:space="preserve">(</w:t>
      </w:r>
      <w:r>
        <w:rPr>
          <w:i/>
          <w:iCs/>
        </w:rPr>
        <w:t xml:space="preserve">Competencia 2</w:t>
      </w:r>
      <w:r>
        <w:t xml:space="preserve">, s/f)</w:t>
      </w:r>
      <w:r>
        <w:t xml:space="preserve">.</w:t>
      </w:r>
    </w:p>
    <w:bookmarkEnd w:id="20"/>
    <w:bookmarkStart w:id="26" w:name="Xa6fc93252de289c419ddeb8d5d01b50185f263b"/>
    <w:p>
      <w:pPr>
        <w:pStyle w:val="Heading1"/>
      </w:pPr>
      <w:r>
        <w:t xml:space="preserve">Instrumentos de demanda y oferta para AM Taller</w:t>
      </w:r>
    </w:p>
    <w:bookmarkStart w:id="21" w:name="criterios-de-aplicación"/>
    <w:p>
      <w:pPr>
        <w:pStyle w:val="Heading2"/>
      </w:pPr>
      <w:r>
        <w:t xml:space="preserve">Criterios de aplicación</w:t>
      </w:r>
    </w:p>
    <w:p>
      <w:pPr>
        <w:pStyle w:val="FirstParagraph"/>
      </w:pPr>
      <w:r>
        <w:t xml:space="preserve">Se emplean dos instrumentos: una encuesta a personas adultas que deciden o comparten decisiones sobre un vehículo ligero, y una lista de cotejo por establecimiento competidor. Las preguntas distinguen conducta pasada, preferencias e intención futura. Las opciones incluyen respuestas de desconocimiento o rechazo para evitar que la persona tenga que inventar un dato; la redacción y el orden se someterán a una prueba previa</w:t>
      </w:r>
      <w:r>
        <w:t xml:space="preserve"> </w:t>
      </w:r>
      <w:r>
        <w:t xml:space="preserve">(American Association for Public Opinion Research, 2022; Pew Research Center, s. f.)</w:t>
      </w:r>
      <w:r>
        <w:t xml:space="preserve">.</w:t>
      </w:r>
    </w:p>
    <w:p>
      <w:pPr>
        <w:pStyle w:val="BodyText"/>
      </w:pPr>
      <w:r>
        <w:t xml:space="preserve">Como diseño exploratorio se propone un pilotaje con cinco personas y dos establecimientos, seguido, si se corrigen los problemas detectados, por treinta personas elegibles y seis establecimientos en al menos tres de los municipios delimitados. Son metas de trabajo propuestas, no una muestra ejecutada ni representativa. La selección será por conveniencia con registro de municipio, canal y motivo de elegibilidad; no permite extrapolar porcentajes a toda la ciudad ni calcular un margen de error probabilístico</w:t>
      </w:r>
      <w:r>
        <w:t xml:space="preserve"> </w:t>
      </w:r>
      <w:r>
        <w:t xml:space="preserve">(Gomez Albrecht et al., 2023)</w:t>
      </w:r>
      <w:r>
        <w:t xml:space="preserve">. El piloto se conservará separado del levantamiento definitivo.</w:t>
      </w:r>
    </w:p>
    <w:bookmarkEnd w:id="21"/>
    <w:bookmarkStart w:id="22" w:name="listado-1.-encuesta-de-demanda"/>
    <w:p>
      <w:pPr>
        <w:pStyle w:val="Heading2"/>
      </w:pPr>
      <w:r>
        <w:t xml:space="preserve">Listado 1. Encuesta de demanda</w:t>
      </w:r>
    </w:p>
    <w:p>
      <w:pPr>
        <w:pStyle w:val="FirstParagraph"/>
      </w:pPr>
      <w:r>
        <w:rPr>
          <w:b/>
          <w:bCs/>
        </w:rPr>
        <w:t xml:space="preserve">Aviso al participante.</w:t>
      </w:r>
      <w:r>
        <w:t xml:space="preserve"> </w:t>
      </w:r>
      <w:r>
        <w:t xml:space="preserve">La colaboración es voluntaria y tiene fines académicos. Puede omitir preguntas o terminar sin consecuencia. No se solicitan nombre, teléfono, domicilio exacto, placas, identificación ni datos bancarios. No se realizará una venta ni se enviará publicidad a partir de la encuesta. Continúe únicamente si acepta participar.</w:t>
      </w:r>
    </w:p>
    <w:p>
      <w:pPr>
        <w:pStyle w:val="BodyText"/>
      </w:pPr>
      <w:r>
        <w:rPr>
          <w:b/>
          <w:bCs/>
        </w:rPr>
        <w:t xml:space="preserve">Registro de aplicación.</w:t>
      </w:r>
      <w:r>
        <w:t xml:space="preserve"> </w:t>
      </w:r>
      <w:r>
        <w:t xml:space="preserve">Asignar un folio consecutivo, fecha, municipio y modalidad (papel o formulario). Una respuesta por persona, referida al vehículo ligero que utiliza con mayor frecuencia. Si dos vehículos se usan por igual, elegir el utilizado más recientemente. No responder mientras conduce.</w:t>
      </w:r>
    </w:p>
    <w:p>
      <w:pPr>
        <w:pStyle w:val="BodyText"/>
      </w:pPr>
      <w:r>
        <w:rPr>
          <w:b/>
          <w:bCs/>
        </w:rPr>
        <w:t xml:space="preserve">Instrucciones.</w:t>
      </w:r>
      <w:r>
        <w:t xml:space="preserve"> </w:t>
      </w:r>
      <w:r>
        <w:t xml:space="preserve">Elegir una opción salvo indicación distinta. NS significa</w:t>
      </w:r>
      <w:r>
        <w:t xml:space="preserve"> </w:t>
      </w:r>
      <w:r>
        <w:t xml:space="preserve">“no sabe/no recuerda”</w:t>
      </w:r>
      <w:r>
        <w:t xml:space="preserve">; NR,</w:t>
      </w:r>
      <w:r>
        <w:t xml:space="preserve"> </w:t>
      </w:r>
      <w:r>
        <w:t xml:space="preserve">“prefiere no responder”</w:t>
      </w:r>
      <w:r>
        <w:t xml:space="preserve">; NA,</w:t>
      </w:r>
      <w:r>
        <w:t xml:space="preserve"> </w:t>
      </w:r>
      <w:r>
        <w:t xml:space="preserve">“no aplica por salto”</w:t>
      </w:r>
      <w:r>
        <w:t xml:space="preserve">. NS y NR están disponibles en todos los ítems. Los doce meses se cuentan hacia atrás desde la fecha de aplicación, y los tres meses futuros hacia adelante. Esos límites se escribirán en el encabezado del formulario al aplicarlo. No se mostrarán marca ni promociones de AM Taller antes de responder.</w:t>
      </w:r>
    </w:p>
    <w:p>
      <w:pPr>
        <w:spacing w:before="120"/>
        <w:ind w:left="0" w:firstLine="0"/>
      </w:pPr>
      <w:r>
        <w:rPr>
          <w:b/>
          <w:bCs/>
        </w:rPr>
        <w:t xml:space="preserve">D01.</w:t>
      </w:r>
      <w:r>
        <w:t xml:space="preserve"> </w:t>
      </w:r>
      <w:r>
        <w:rPr>
          <w:b/>
          <w:bCs/>
        </w:rPr>
        <w:t xml:space="preserve">¿Tiene 18 años o más?</w:t>
      </w:r>
      <w:r>
        <w:t xml:space="preserve"> </w:t>
      </w:r>
      <w:r>
        <w:t xml:space="preserve">Sí; no; NR. Si responde no o NR, terminar y registrar no elegible, sin continuar.</w:t>
      </w:r>
    </w:p>
    <w:p>
      <w:pPr>
        <w:spacing w:before="120"/>
        <w:ind w:left="0" w:firstLine="0"/>
      </w:pPr>
      <w:r>
        <w:rPr>
          <w:b/>
          <w:bCs/>
        </w:rPr>
        <w:t xml:space="preserve">D02.</w:t>
      </w:r>
      <w:r>
        <w:t xml:space="preserve"> </w:t>
      </w:r>
      <w:r>
        <w:rPr>
          <w:b/>
          <w:bCs/>
        </w:rPr>
        <w:t xml:space="preserve">¿Participa en la decisión de contratar servicios o comprar refacciones para un vehículo ligero?</w:t>
      </w:r>
      <w:r>
        <w:t xml:space="preserve"> </w:t>
      </w:r>
      <w:r>
        <w:t xml:space="preserve">Decide principalmente; comparte la decisión; no participa. Si no participa, NS o NR, terminar y registrar no elegible.</w:t>
      </w:r>
    </w:p>
    <w:p>
      <w:pPr>
        <w:spacing w:before="120"/>
        <w:ind w:left="0" w:firstLine="0"/>
      </w:pPr>
      <w:r>
        <w:rPr>
          <w:b/>
          <w:bCs/>
        </w:rPr>
        <w:t xml:space="preserve">D03.</w:t>
      </w:r>
      <w:r>
        <w:t xml:space="preserve"> </w:t>
      </w:r>
      <w:r>
        <w:rPr>
          <w:b/>
          <w:bCs/>
        </w:rPr>
        <w:t xml:space="preserve">¿En qué municipio utiliza principalmente ese vehículo?</w:t>
      </w:r>
      <w:r>
        <w:t xml:space="preserve"> </w:t>
      </w:r>
      <w:r>
        <w:t xml:space="preserve">Monterrey; Guadalupe; San Nicolás de los Garza; Apodaca; General Escobedo; Santa Catarina; García; otro municipio. Si indica otro, NS o NR, terminar por quedar fuera del ámbito definido.</w:t>
      </w:r>
    </w:p>
    <w:p>
      <w:pPr>
        <w:spacing w:before="120"/>
        <w:ind w:left="0" w:firstLine="0"/>
      </w:pPr>
      <w:r>
        <w:rPr>
          <w:b/>
          <w:bCs/>
        </w:rPr>
        <w:t xml:space="preserve">D04.</w:t>
      </w:r>
      <w:r>
        <w:t xml:space="preserve"> </w:t>
      </w:r>
      <w:r>
        <w:rPr>
          <w:b/>
          <w:bCs/>
        </w:rPr>
        <w:t xml:space="preserve">¿Qué tipo de vehículo eligió para responder?</w:t>
      </w:r>
      <w:r>
        <w:t xml:space="preserve"> </w:t>
      </w:r>
      <w:r>
        <w:t xml:space="preserve">Automóvil; SUV o camioneta de pasajeros; pickup ligera; otro tipo. Si indica otro, NS o NR, terminar por no corresponder al alcance del instrumento.</w:t>
      </w:r>
    </w:p>
    <w:p>
      <w:pPr>
        <w:spacing w:before="120"/>
        <w:ind w:left="0" w:firstLine="0"/>
      </w:pPr>
      <w:r>
        <w:rPr>
          <w:b/>
          <w:bCs/>
        </w:rPr>
        <w:t xml:space="preserve">D05.</w:t>
      </w:r>
      <w:r>
        <w:t xml:space="preserve"> </w:t>
      </w:r>
      <w:r>
        <w:rPr>
          <w:b/>
          <w:bCs/>
        </w:rPr>
        <w:t xml:space="preserve">¿Cuál es su antigüedad aproximada?</w:t>
      </w:r>
      <w:r>
        <w:t xml:space="preserve"> </w:t>
      </w:r>
      <w:r>
        <w:t xml:space="preserve">De 0 a 5 años; de 6 a 10; de 11 a 15; 16 años o más; NS; NR.</w:t>
      </w:r>
    </w:p>
    <w:p>
      <w:pPr>
        <w:spacing w:before="120"/>
        <w:ind w:left="0" w:firstLine="0"/>
      </w:pPr>
      <w:r>
        <w:rPr>
          <w:b/>
          <w:bCs/>
        </w:rPr>
        <w:t xml:space="preserve">D06.</w:t>
      </w:r>
      <w:r>
        <w:t xml:space="preserve"> </w:t>
      </w:r>
      <w:r>
        <w:rPr>
          <w:b/>
          <w:bCs/>
        </w:rPr>
        <w:t xml:space="preserve">En los últimos siete días, ¿cuántos días utilizó ese vehículo?</w:t>
      </w:r>
      <w:r>
        <w:t xml:space="preserve"> </w:t>
      </w:r>
      <w:r>
        <w:t xml:space="preserve">Anotar un entero de 0 a 7; NS; NR.</w:t>
      </w:r>
    </w:p>
    <w:p>
      <w:pPr>
        <w:spacing w:before="120"/>
        <w:ind w:left="0" w:firstLine="0"/>
      </w:pPr>
      <w:r>
        <w:rPr>
          <w:b/>
          <w:bCs/>
        </w:rPr>
        <w:t xml:space="preserve">D07.</w:t>
      </w:r>
      <w:r>
        <w:t xml:space="preserve"> </w:t>
      </w:r>
      <w:r>
        <w:rPr>
          <w:b/>
          <w:bCs/>
        </w:rPr>
        <w:t xml:space="preserve">En los últimos doce meses, ¿requirió las siguientes atenciones para ese vehículo?</w:t>
      </w:r>
      <w:r>
        <w:t xml:space="preserve"> </w:t>
      </w:r>
      <w:r>
        <w:t xml:space="preserve">Registrar sí/no/NS/NR por cada categoría: mantenimiento preventivo; diagnóstico o reparación mecánica; servicio o compra de llantas; compra independiente de refacciones. Si todas son no, D08=0 y D09–D11=NA; continuar en D12. Si no hay ningún sí y existe NS o NR, registrar D08=NS y D09–D11=NA; continuar en D12.</w:t>
      </w:r>
    </w:p>
    <w:p>
      <w:pPr>
        <w:spacing w:before="120"/>
        <w:ind w:left="0" w:firstLine="0"/>
      </w:pPr>
      <w:r>
        <w:rPr>
          <w:b/>
          <w:bCs/>
        </w:rPr>
        <w:t xml:space="preserve">D08.</w:t>
      </w:r>
      <w:r>
        <w:t xml:space="preserve"> </w:t>
      </w:r>
      <w:r>
        <w:rPr>
          <w:b/>
          <w:bCs/>
        </w:rPr>
        <w:t xml:space="preserve">¿Cuántas ocasiones contrató alguna de esas atenciones en los últimos doce meses?</w:t>
      </w:r>
      <w:r>
        <w:t xml:space="preserve"> </w:t>
      </w:r>
      <w:r>
        <w:t xml:space="preserve">Número entero igual o mayor que cero; NS; NR. Contar cada visita o compra independiente una sola vez, aunque incluyera varios trabajos. Si responde cero, NS o NR, pasar a D12 y registrar D09–D11=NA.</w:t>
      </w:r>
    </w:p>
    <w:p>
      <w:pPr>
        <w:spacing w:before="120"/>
        <w:ind w:left="0" w:firstLine="0"/>
      </w:pPr>
      <w:r>
        <w:rPr>
          <w:b/>
          <w:bCs/>
        </w:rPr>
        <w:t xml:space="preserve">D09.</w:t>
      </w:r>
      <w:r>
        <w:t xml:space="preserve"> </w:t>
      </w:r>
      <w:r>
        <w:rPr>
          <w:b/>
          <w:bCs/>
        </w:rPr>
        <w:t xml:space="preserve">¿Cuál fue la atención principal en la ocasión más reciente de ese periodo?</w:t>
      </w:r>
      <w:r>
        <w:t xml:space="preserve"> </w:t>
      </w:r>
      <w:r>
        <w:t xml:space="preserve">Mantenimiento preventivo; diagnóstico o reparación; llantas; compra independiente de refacciones. Si hubo varias, elegir la que motivó la visita o compra; NS; NR.</w:t>
      </w:r>
    </w:p>
    <w:p>
      <w:pPr>
        <w:spacing w:before="120"/>
        <w:ind w:left="0" w:firstLine="0"/>
      </w:pPr>
      <w:r>
        <w:rPr>
          <w:b/>
          <w:bCs/>
        </w:rPr>
        <w:t xml:space="preserve">D10.</w:t>
      </w:r>
      <w:r>
        <w:t xml:space="preserve"> </w:t>
      </w:r>
      <w:r>
        <w:rPr>
          <w:b/>
          <w:bCs/>
        </w:rPr>
        <w:t xml:space="preserve">¿Cuánto pagó en total en esa ocasión?</w:t>
      </w:r>
      <w:r>
        <w:t xml:space="preserve"> </w:t>
      </w:r>
      <w:r>
        <w:t xml:space="preserve">Importe aproximado en pesos mexicanos, incluidos impuestos; NS; NR. Registrar si el pago fue sólo servicio, sólo piezas o ambos como alcance del importe. No comparar totales de alcances distintos como si fueran la misma tarifa.</w:t>
      </w:r>
    </w:p>
    <w:p>
      <w:pPr>
        <w:spacing w:before="120"/>
        <w:ind w:left="0" w:firstLine="0"/>
      </w:pPr>
      <w:r>
        <w:rPr>
          <w:b/>
          <w:bCs/>
        </w:rPr>
        <w:t xml:space="preserve">D11.</w:t>
      </w:r>
      <w:r>
        <w:t xml:space="preserve"> </w:t>
      </w:r>
      <w:r>
        <w:rPr>
          <w:b/>
          <w:bCs/>
        </w:rPr>
        <w:t xml:space="preserve">¿Qué tan satisfecho quedó con esa atención?</w:t>
      </w:r>
      <w:r>
        <w:t xml:space="preserve"> </w:t>
      </w:r>
      <w:r>
        <w:t xml:space="preserve">Muy insatisfecho; insatisfecho; ni satisfecho ni insatisfecho; satisfecho; muy satisfecho; NS; NR.</w:t>
      </w:r>
    </w:p>
    <w:p>
      <w:pPr>
        <w:spacing w:before="120"/>
        <w:ind w:left="0" w:firstLine="0"/>
      </w:pPr>
      <w:r>
        <w:rPr>
          <w:b/>
          <w:bCs/>
        </w:rPr>
        <w:t xml:space="preserve">D12.</w:t>
      </w:r>
      <w:r>
        <w:t xml:space="preserve"> </w:t>
      </w:r>
      <w:r>
        <w:rPr>
          <w:b/>
          <w:bCs/>
        </w:rPr>
        <w:t xml:space="preserve">¿Qué factores pesan más al elegir un establecimiento?</w:t>
      </w:r>
      <w:r>
        <w:t xml:space="preserve"> </w:t>
      </w:r>
      <w:r>
        <w:t xml:space="preserve">Seleccionar hasta tres: claridad de cotización; precio total; confianza en el diagnóstico; cercanía; tiempo de atención; garantía; disponibilidad de refacciones; otro (especificar); NS; NR. NS o NR no se combinan con otras opciones.</w:t>
      </w:r>
    </w:p>
    <w:p>
      <w:pPr>
        <w:spacing w:before="120"/>
        <w:ind w:left="0" w:firstLine="0"/>
      </w:pPr>
      <w:r>
        <w:rPr>
          <w:b/>
          <w:bCs/>
        </w:rPr>
        <w:t xml:space="preserve">D13.</w:t>
      </w:r>
      <w:r>
        <w:t xml:space="preserve"> </w:t>
      </w:r>
      <w:r>
        <w:rPr>
          <w:b/>
          <w:bCs/>
        </w:rPr>
        <w:t xml:space="preserve">¿Cuál sería su primer medio para buscar un establecimiento automotriz?</w:t>
      </w:r>
      <w:r>
        <w:t xml:space="preserve"> </w:t>
      </w:r>
      <w:r>
        <w:t xml:space="preserve">Recomendación personal; buscador o mapas digitales; redes sociales; recorrer establecimientos; otro (especificar); NS; NR.</w:t>
      </w:r>
    </w:p>
    <w:p>
      <w:pPr>
        <w:spacing w:before="120"/>
        <w:ind w:left="0" w:firstLine="0"/>
      </w:pPr>
      <w:r>
        <w:rPr>
          <w:b/>
          <w:bCs/>
        </w:rPr>
        <w:t xml:space="preserve">D14.</w:t>
      </w:r>
      <w:r>
        <w:t xml:space="preserve"> </w:t>
      </w:r>
      <w:r>
        <w:rPr>
          <w:b/>
          <w:bCs/>
        </w:rPr>
        <w:t xml:space="preserve">¿Por qué canal preferiría solicitar una cita?</w:t>
      </w:r>
      <w:r>
        <w:t xml:space="preserve"> </w:t>
      </w:r>
      <w:r>
        <w:t xml:space="preserve">Llamada; WhatsApp; formulario o agenda web; presencial; no utiliza citas; otro (especificar); NS; NR.</w:t>
      </w:r>
    </w:p>
    <w:p>
      <w:pPr>
        <w:spacing w:before="120"/>
        <w:ind w:left="0" w:firstLine="0"/>
      </w:pPr>
      <w:r>
        <w:rPr>
          <w:b/>
          <w:bCs/>
        </w:rPr>
        <w:t xml:space="preserve">D15.</w:t>
      </w:r>
      <w:r>
        <w:t xml:space="preserve"> </w:t>
      </w:r>
      <w:r>
        <w:rPr>
          <w:b/>
          <w:bCs/>
        </w:rPr>
        <w:t xml:space="preserve">¿Qué franja preferiría para dejar el vehículo?</w:t>
      </w:r>
      <w:r>
        <w:t xml:space="preserve"> </w:t>
      </w:r>
      <w:r>
        <w:t xml:space="preserve">Lunes a viernes antes de las 12:00; lunes a viernes de 12:00 a 16:00; lunes a viernes después de las 16:00; sábado; domingo; sin preferencia; NS; NR. Son preferencias, no horarios ofrecidos por AM Taller.</w:t>
      </w:r>
    </w:p>
    <w:p>
      <w:pPr>
        <w:spacing w:before="120"/>
        <w:ind w:left="0" w:firstLine="0"/>
      </w:pPr>
      <w:r>
        <w:rPr>
          <w:b/>
          <w:bCs/>
        </w:rPr>
        <w:t xml:space="preserve">D16.</w:t>
      </w:r>
      <w:r>
        <w:t xml:space="preserve"> </w:t>
      </w:r>
      <w:r>
        <w:rPr>
          <w:b/>
          <w:bCs/>
        </w:rPr>
        <w:t xml:space="preserve">¿Cuántos minutos de traslado de ida consideraría aceptables para llegar al establecimiento?</w:t>
      </w:r>
      <w:r>
        <w:t xml:space="preserve"> </w:t>
      </w:r>
      <w:r>
        <w:t xml:space="preserve">Número entero igual o mayor que cero; NS; NR. Se refiere al traslado, no al tiempo de reparación.</w:t>
      </w:r>
    </w:p>
    <w:p>
      <w:pPr>
        <w:spacing w:before="120"/>
        <w:ind w:left="0" w:firstLine="0"/>
      </w:pPr>
      <w:r>
        <w:rPr>
          <w:b/>
          <w:bCs/>
        </w:rPr>
        <w:t xml:space="preserve">D17.</w:t>
      </w:r>
      <w:r>
        <w:t xml:space="preserve"> </w:t>
      </w:r>
      <w:r>
        <w:rPr>
          <w:b/>
          <w:bCs/>
        </w:rPr>
        <w:t xml:space="preserve">¿En cuál de los municipios del estudio preferiría encontrar el establecimiento?</w:t>
      </w:r>
      <w:r>
        <w:t xml:space="preserve"> </w:t>
      </w:r>
      <w:r>
        <w:t xml:space="preserve">Usar las siete opciones de D03; sin preferencia; ninguno de esos municipios; NS; NR.</w:t>
      </w:r>
    </w:p>
    <w:p>
      <w:pPr>
        <w:spacing w:before="120"/>
        <w:ind w:left="0" w:firstLine="0"/>
      </w:pPr>
      <w:r>
        <w:rPr>
          <w:b/>
          <w:bCs/>
        </w:rPr>
        <w:t xml:space="preserve">D18.</w:t>
      </w:r>
      <w:r>
        <w:t xml:space="preserve"> </w:t>
      </w:r>
      <w:r>
        <w:rPr>
          <w:b/>
          <w:bCs/>
        </w:rPr>
        <w:t xml:space="preserve">¿Qué monto máximo consideraría pagar por el diagnóstico inicial descrito a continuación?</w:t>
      </w:r>
      <w:r>
        <w:t xml:space="preserve"> </w:t>
      </w:r>
      <w:r>
        <w:t xml:space="preserve">Supuesto común: revisión visual, lectura de códigos electrónicos si el vehículo es compatible y explicación de hallazgos; sin reparación ni refacciones. Elegir: indicaría un monto; no contrataría ese diagnóstico; NS; NR. Sólo en la primera opción registrar importe en MXN, incluidos impuestos; cero es válido si únicamente lo aceptaría gratuito. Es una valoración hipotética, no una cotización ni una tarifa recomendada.</w:t>
      </w:r>
    </w:p>
    <w:p>
      <w:pPr>
        <w:spacing w:before="120"/>
        <w:ind w:left="0" w:firstLine="0"/>
      </w:pPr>
      <w:r>
        <w:rPr>
          <w:b/>
          <w:bCs/>
        </w:rPr>
        <w:t xml:space="preserve">D19.</w:t>
      </w:r>
      <w:r>
        <w:t xml:space="preserve"> </w:t>
      </w:r>
      <w:r>
        <w:rPr>
          <w:b/>
          <w:bCs/>
        </w:rPr>
        <w:t xml:space="preserve">En los próximos tres meses, ¿prevé contratar alguna atención de las categorías de D07?</w:t>
      </w:r>
      <w:r>
        <w:t xml:space="preserve"> </w:t>
      </w:r>
      <w:r>
        <w:t xml:space="preserve">Sí; no; todavía no lo sabe; NR. No supone que contratará con AM Taller.</w:t>
      </w:r>
    </w:p>
    <w:p>
      <w:pPr>
        <w:spacing w:before="120"/>
        <w:ind w:left="0" w:firstLine="0"/>
      </w:pPr>
      <w:r>
        <w:rPr>
          <w:b/>
          <w:bCs/>
        </w:rPr>
        <w:t xml:space="preserve">D20.</w:t>
      </w:r>
      <w:r>
        <w:t xml:space="preserve"> </w:t>
      </w:r>
      <w:r>
        <w:rPr>
          <w:b/>
          <w:bCs/>
        </w:rPr>
        <w:t xml:space="preserve">¿Qué tan probable sería que considerara un establecimiento que aún no ha utilizado?</w:t>
      </w:r>
      <w:r>
        <w:t xml:space="preserve"> </w:t>
      </w:r>
      <w:r>
        <w:t xml:space="preserve">Nada probable; poco probable; ni probable ni improbable; probable; muy probable; NS; NR. No presentar una marca específica.</w:t>
      </w:r>
    </w:p>
    <w:p>
      <w:pPr>
        <w:spacing w:before="120"/>
        <w:ind w:left="0" w:firstLine="0"/>
      </w:pPr>
      <w:r>
        <w:rPr>
          <w:b/>
          <w:bCs/>
        </w:rPr>
        <w:t xml:space="preserve">D21.</w:t>
      </w:r>
      <w:r>
        <w:t xml:space="preserve"> </w:t>
      </w:r>
      <w:r>
        <w:rPr>
          <w:b/>
          <w:bCs/>
        </w:rPr>
        <w:t xml:space="preserve">¿Qué contenido le sería más útil al conocer un establecimiento nuevo?</w:t>
      </w:r>
      <w:r>
        <w:t xml:space="preserve"> </w:t>
      </w:r>
      <w:r>
        <w:t xml:space="preserve">Elegir hasta dos: precios y alcance de servicios; explicación del diagnóstico; condiciones de garantía; ubicación y horarios; promociones con condiciones claras; ninguno; otro (especificar); NS; NR. Ninguno, NS y NR son opciones exclusivas.</w:t>
      </w:r>
    </w:p>
    <w:p>
      <w:pPr>
        <w:spacing w:before="120"/>
        <w:ind w:left="0" w:firstLine="0"/>
      </w:pPr>
      <w:r>
        <w:rPr>
          <w:b/>
          <w:bCs/>
        </w:rPr>
        <w:t xml:space="preserve">D22.</w:t>
      </w:r>
      <w:r>
        <w:t xml:space="preserve"> </w:t>
      </w:r>
      <w:r>
        <w:rPr>
          <w:b/>
          <w:bCs/>
        </w:rPr>
        <w:t xml:space="preserve">¿Qué mejoraría de la atención automotriz que encuentra actualmente?</w:t>
      </w:r>
      <w:r>
        <w:t xml:space="preserve"> </w:t>
      </w:r>
      <w:r>
        <w:t xml:space="preserve">Respuesta abierta y opcional, sin nombres de personas ni datos que permitan identificarlas. Registrar literalmente o NR.</w:t>
      </w:r>
    </w:p>
    <w:bookmarkEnd w:id="22"/>
    <w:bookmarkStart w:id="23" w:name="listado-2.-lista-de-cotejo-de-oferta"/>
    <w:p>
      <w:pPr>
        <w:pStyle w:val="Heading2"/>
      </w:pPr>
      <w:r>
        <w:t xml:space="preserve">Listado 2. Lista de cotejo de oferta</w:t>
      </w:r>
    </w:p>
    <w:p>
      <w:pPr>
        <w:pStyle w:val="FirstParagraph"/>
      </w:pPr>
      <w:r>
        <w:rPr>
          <w:b/>
          <w:bCs/>
        </w:rPr>
        <w:t xml:space="preserve">Unidad de observación.</w:t>
      </w:r>
      <w:r>
        <w:t xml:space="preserve"> </w:t>
      </w:r>
      <w:r>
        <w:t xml:space="preserve">Un taller, llantera o refaccionaria con presencia pública en los municipios delimitados. Cada sucursal se registra por separado; se evita contar dos veces el mismo establecimiento. Utilizar sitio oficial, ficha pública, anuncios vigentes o visita autorizada. No ingresar a zonas restringidas ni inventar una solicitud de compra para obtener información.</w:t>
      </w:r>
    </w:p>
    <w:p>
      <w:pPr>
        <w:pStyle w:val="BodyText"/>
      </w:pPr>
      <w:r>
        <w:rPr>
          <w:b/>
          <w:bCs/>
        </w:rPr>
        <w:t xml:space="preserve">Registro.</w:t>
      </w:r>
      <w:r>
        <w:t xml:space="preserve"> </w:t>
      </w:r>
      <w:r>
        <w:t xml:space="preserve">Anotar folio del establecimiento, municipio, fecha/hora y fuente por cada ítem (URL o referencia a nota de observación). Para atributos usar S=presencia comprobada, N=ausencia explícitamente comprobada, NO=no observable y NA=no aplicable, siempre con una evidencia breve. La falta de publicación es NO, no N. Para datos numéricos registrar unidad y alcance; no convertir NO o NA en cero. No registrar identidades ni contactos personales del personal.</w:t>
      </w:r>
    </w:p>
    <w:p>
      <w:pPr>
        <w:spacing w:before="120"/>
        <w:ind w:left="0" w:firstLine="0"/>
      </w:pPr>
      <w:r>
        <w:rPr>
          <w:b/>
          <w:bCs/>
        </w:rPr>
        <w:t xml:space="preserve">O01.</w:t>
      </w:r>
      <w:r>
        <w:t xml:space="preserve"> </w:t>
      </w:r>
      <w:r>
        <w:rPr>
          <w:b/>
          <w:bCs/>
        </w:rPr>
        <w:t xml:space="preserve">¿Qué categorías anuncia?</w:t>
      </w:r>
      <w:r>
        <w:t xml:space="preserve"> </w:t>
      </w:r>
      <w:r>
        <w:t xml:space="preserve">Registrar S/N/NO para mecánica, llantas y refacciones, y describir otra categoría sólo si existe evidencia pública.</w:t>
      </w:r>
    </w:p>
    <w:p>
      <w:pPr>
        <w:spacing w:before="120"/>
        <w:ind w:left="0" w:firstLine="0"/>
      </w:pPr>
      <w:r>
        <w:rPr>
          <w:b/>
          <w:bCs/>
        </w:rPr>
        <w:t xml:space="preserve">O02.</w:t>
      </w:r>
      <w:r>
        <w:t xml:space="preserve"> </w:t>
      </w:r>
      <w:r>
        <w:rPr>
          <w:b/>
          <w:bCs/>
        </w:rPr>
        <w:t xml:space="preserve">¿Qué municipio y zona de servicio comunica?</w:t>
      </w:r>
      <w:r>
        <w:t xml:space="preserve"> </w:t>
      </w:r>
      <w:r>
        <w:t xml:space="preserve">Anotar municipio y zona o colonia comercial publicada; no domicilio residencial. Si la cobertura no se publica, registrar NO.</w:t>
      </w:r>
    </w:p>
    <w:p>
      <w:pPr>
        <w:spacing w:before="120"/>
        <w:ind w:left="0" w:firstLine="0"/>
      </w:pPr>
      <w:r>
        <w:rPr>
          <w:b/>
          <w:bCs/>
        </w:rPr>
        <w:t xml:space="preserve">O03.</w:t>
      </w:r>
      <w:r>
        <w:t xml:space="preserve"> </w:t>
      </w:r>
      <w:r>
        <w:rPr>
          <w:b/>
          <w:bCs/>
        </w:rPr>
        <w:t xml:space="preserve">¿Qué horarios publica?</w:t>
      </w:r>
      <w:r>
        <w:t xml:space="preserve"> </w:t>
      </w:r>
      <w:r>
        <w:t xml:space="preserve">Registrar días y horas tal como aparecen, con fecha de consulta; NO si no hay información.</w:t>
      </w:r>
    </w:p>
    <w:p>
      <w:pPr>
        <w:spacing w:before="120"/>
        <w:ind w:left="0" w:firstLine="0"/>
      </w:pPr>
      <w:r>
        <w:rPr>
          <w:b/>
          <w:bCs/>
        </w:rPr>
        <w:t xml:space="preserve">O04.</w:t>
      </w:r>
      <w:r>
        <w:t xml:space="preserve"> </w:t>
      </w:r>
      <w:r>
        <w:rPr>
          <w:b/>
          <w:bCs/>
        </w:rPr>
        <w:t xml:space="preserve">¿Qué modalidad de recepción comunica?</w:t>
      </w:r>
      <w:r>
        <w:t xml:space="preserve"> </w:t>
      </w:r>
      <w:r>
        <w:t xml:space="preserve">Cita; atención sin cita; ambas; NO. Adjuntar evidencia, sin suponer disponibilidad inmediata.</w:t>
      </w:r>
    </w:p>
    <w:p>
      <w:pPr>
        <w:spacing w:before="120"/>
        <w:ind w:left="0" w:firstLine="0"/>
      </w:pPr>
      <w:r>
        <w:rPr>
          <w:b/>
          <w:bCs/>
        </w:rPr>
        <w:t xml:space="preserve">O05.</w:t>
      </w:r>
      <w:r>
        <w:t xml:space="preserve"> </w:t>
      </w:r>
      <w:r>
        <w:rPr>
          <w:b/>
          <w:bCs/>
        </w:rPr>
        <w:t xml:space="preserve">¿Qué canales públicos ofrece para cotizar?</w:t>
      </w:r>
      <w:r>
        <w:t xml:space="preserve"> </w:t>
      </w:r>
      <w:r>
        <w:t xml:space="preserve">Registrar S/N/NO por llamada, mensajería, formulario web y atención presencial. Guardar la URL de evidencia, no números personales.</w:t>
      </w:r>
    </w:p>
    <w:p>
      <w:pPr>
        <w:spacing w:before="120"/>
        <w:ind w:left="0" w:firstLine="0"/>
      </w:pPr>
      <w:r>
        <w:rPr>
          <w:b/>
          <w:bCs/>
        </w:rPr>
        <w:t xml:space="preserve">O06.</w:t>
      </w:r>
      <w:r>
        <w:t xml:space="preserve"> </w:t>
      </w:r>
      <w:r>
        <w:rPr>
          <w:b/>
          <w:bCs/>
        </w:rPr>
        <w:t xml:space="preserve">¿Anuncia un diagnóstico equivalente al supuesto de D18?</w:t>
      </w:r>
      <w:r>
        <w:t xml:space="preserve"> </w:t>
      </w:r>
      <w:r>
        <w:t xml:space="preserve">S/N/NO y descripción del alcance. Si no es equivalente o no se puede comprobar, O07=NA para comparación de precios.</w:t>
      </w:r>
    </w:p>
    <w:p>
      <w:pPr>
        <w:spacing w:before="120"/>
        <w:ind w:left="0" w:firstLine="0"/>
      </w:pPr>
      <w:r>
        <w:rPr>
          <w:b/>
          <w:bCs/>
        </w:rPr>
        <w:t xml:space="preserve">O07.</w:t>
      </w:r>
      <w:r>
        <w:t xml:space="preserve"> </w:t>
      </w:r>
      <w:r>
        <w:rPr>
          <w:b/>
          <w:bCs/>
        </w:rPr>
        <w:t xml:space="preserve">¿Qué precio público corresponde a ese diagnóstico?</w:t>
      </w:r>
      <w:r>
        <w:t xml:space="preserve"> </w:t>
      </w:r>
      <w:r>
        <w:t xml:space="preserve">Si O06=S, registrar importe en MXN, si incluye impuestos, tipo de vehículo y vigencia. Si falta precio, NO; si no es comparable, NA. No equiparar una revisión gratuita condicionada a reparación con una tarifa independiente.</w:t>
      </w:r>
    </w:p>
    <w:p>
      <w:pPr>
        <w:spacing w:before="120"/>
        <w:ind w:left="0" w:firstLine="0"/>
      </w:pPr>
      <w:r>
        <w:rPr>
          <w:b/>
          <w:bCs/>
        </w:rPr>
        <w:t xml:space="preserve">O08.</w:t>
      </w:r>
      <w:r>
        <w:t xml:space="preserve"> </w:t>
      </w:r>
      <w:r>
        <w:rPr>
          <w:b/>
          <w:bCs/>
        </w:rPr>
        <w:t xml:space="preserve">¿Qué plazo anuncia para entregar el diagnóstico de O06?</w:t>
      </w:r>
      <w:r>
        <w:t xml:space="preserve"> </w:t>
      </w:r>
      <w:r>
        <w:t xml:space="preserve">Tiempo y unidad, condiciones y fuente; NO si no se informa o NA si no ofrece ese diagnóstico. Es un plazo anunciado, no medido.</w:t>
      </w:r>
    </w:p>
    <w:p>
      <w:pPr>
        <w:spacing w:before="120"/>
        <w:ind w:left="0" w:firstLine="0"/>
      </w:pPr>
      <w:r>
        <w:rPr>
          <w:b/>
          <w:bCs/>
        </w:rPr>
        <w:t xml:space="preserve">O09.</w:t>
      </w:r>
      <w:r>
        <w:t xml:space="preserve"> </w:t>
      </w:r>
      <w:r>
        <w:rPr>
          <w:b/>
          <w:bCs/>
        </w:rPr>
        <w:t xml:space="preserve">¿Cuántos puestos de trabajo o bahías pueden observarse legítimamente?</w:t>
      </w:r>
      <w:r>
        <w:t xml:space="preserve"> </w:t>
      </w:r>
      <w:r>
        <w:t xml:space="preserve">Número visible o NO; anotar cómo se observó. No deducir personal disponible, ocupación ni vehículos atendidos por día a partir de ese número.</w:t>
      </w:r>
    </w:p>
    <w:p>
      <w:pPr>
        <w:spacing w:before="120"/>
        <w:ind w:left="0" w:firstLine="0"/>
      </w:pPr>
      <w:r>
        <w:rPr>
          <w:b/>
          <w:bCs/>
        </w:rPr>
        <w:t xml:space="preserve">O10.</w:t>
      </w:r>
      <w:r>
        <w:t xml:space="preserve"> </w:t>
      </w:r>
      <w:r>
        <w:rPr>
          <w:b/>
          <w:bCs/>
        </w:rPr>
        <w:t xml:space="preserve">¿Comunica que solicita autorización antes de reparar?</w:t>
      </w:r>
      <w:r>
        <w:t xml:space="preserve"> </w:t>
      </w:r>
      <w:r>
        <w:t xml:space="preserve">S/N/NO y evidencia de la política publicada.</w:t>
      </w:r>
    </w:p>
    <w:p>
      <w:pPr>
        <w:spacing w:before="120"/>
        <w:ind w:left="0" w:firstLine="0"/>
      </w:pPr>
      <w:r>
        <w:rPr>
          <w:b/>
          <w:bCs/>
        </w:rPr>
        <w:t xml:space="preserve">O11.</w:t>
      </w:r>
      <w:r>
        <w:t xml:space="preserve"> </w:t>
      </w:r>
      <w:r>
        <w:rPr>
          <w:b/>
          <w:bCs/>
        </w:rPr>
        <w:t xml:space="preserve">¿Publica condiciones de garantía?</w:t>
      </w:r>
      <w:r>
        <w:t xml:space="preserve"> </w:t>
      </w:r>
      <w:r>
        <w:t xml:space="preserve">S/N/NO. En S, transcribir alcance, duración y exclusiones relevantes; no afirmar que su cumplimiento se verificó.</w:t>
      </w:r>
    </w:p>
    <w:p>
      <w:pPr>
        <w:spacing w:before="120"/>
        <w:ind w:left="0" w:firstLine="0"/>
      </w:pPr>
      <w:r>
        <w:rPr>
          <w:b/>
          <w:bCs/>
        </w:rPr>
        <w:t xml:space="preserve">O12.</w:t>
      </w:r>
      <w:r>
        <w:t xml:space="preserve"> </w:t>
      </w:r>
      <w:r>
        <w:rPr>
          <w:b/>
          <w:bCs/>
        </w:rPr>
        <w:t xml:space="preserve">¿En qué medios tiene comunicación comercial verificable?</w:t>
      </w:r>
      <w:r>
        <w:t xml:space="preserve"> </w:t>
      </w:r>
      <w:r>
        <w:t xml:space="preserve">Registrar sitio web, mapas, redes sociales, señalización u otro medio y una evidencia por medio. No interpretar seguidores o anuncios como ventas.</w:t>
      </w:r>
    </w:p>
    <w:p>
      <w:pPr>
        <w:spacing w:before="120"/>
        <w:ind w:left="0" w:firstLine="0"/>
      </w:pPr>
      <w:r>
        <w:rPr>
          <w:b/>
          <w:bCs/>
        </w:rPr>
        <w:t xml:space="preserve">O13.</w:t>
      </w:r>
      <w:r>
        <w:t xml:space="preserve"> </w:t>
      </w:r>
      <w:r>
        <w:rPr>
          <w:b/>
          <w:bCs/>
        </w:rPr>
        <w:t xml:space="preserve">¿Comunica una promoción vigente en la fecha de consulta?</w:t>
      </w:r>
      <w:r>
        <w:t xml:space="preserve"> </w:t>
      </w:r>
      <w:r>
        <w:t xml:space="preserve">S/N/NO. En S, registrar beneficio, vigencia y condiciones visibles; si no se puede comprobar la vigencia, NO.</w:t>
      </w:r>
    </w:p>
    <w:p>
      <w:pPr>
        <w:spacing w:before="120"/>
        <w:ind w:left="0" w:firstLine="0"/>
      </w:pPr>
      <w:r>
        <w:rPr>
          <w:b/>
          <w:bCs/>
        </w:rPr>
        <w:t xml:space="preserve">O14.</w:t>
      </w:r>
      <w:r>
        <w:t xml:space="preserve"> </w:t>
      </w:r>
      <w:r>
        <w:rPr>
          <w:b/>
          <w:bCs/>
        </w:rPr>
        <w:t xml:space="preserve">¿Qué diferenciador declara?</w:t>
      </w:r>
      <w:r>
        <w:t xml:space="preserve"> </w:t>
      </w:r>
      <w:r>
        <w:t xml:space="preserve">Descripción textual breve de especialidad, atención o servicio adicional y su fuente. No certificar calidad, experiencia ni acreditaciones sólo porque se anuncien.</w:t>
      </w:r>
    </w:p>
    <w:p>
      <w:pPr>
        <w:spacing w:before="120"/>
        <w:ind w:left="0" w:firstLine="0"/>
      </w:pPr>
      <w:r>
        <w:rPr>
          <w:b/>
          <w:bCs/>
        </w:rPr>
        <w:t xml:space="preserve">O15.</w:t>
      </w:r>
      <w:r>
        <w:t xml:space="preserve"> </w:t>
      </w:r>
      <w:r>
        <w:rPr>
          <w:b/>
          <w:bCs/>
        </w:rPr>
        <w:t xml:space="preserve">¿Qué condiciones de acceso se observan?</w:t>
      </w:r>
      <w:r>
        <w:t xml:space="preserve"> </w:t>
      </w:r>
      <w:r>
        <w:t xml:space="preserve">S/N/NO por identificación visible, área de recepción de vehículos y estacionamiento comunicado o visible desde lugar autorizado. Diferenciar información publicada de observación directa.</w:t>
      </w:r>
    </w:p>
    <w:p>
      <w:pPr>
        <w:spacing w:before="120"/>
        <w:ind w:left="0" w:firstLine="0"/>
      </w:pPr>
      <w:r>
        <w:rPr>
          <w:b/>
          <w:bCs/>
        </w:rPr>
        <w:t xml:space="preserve">O16.</w:t>
      </w:r>
      <w:r>
        <w:t xml:space="preserve"> </w:t>
      </w:r>
      <w:r>
        <w:rPr>
          <w:b/>
          <w:bCs/>
        </w:rPr>
        <w:t xml:space="preserve">¿Qué modalidad de suministro de refacciones comunica?</w:t>
      </w:r>
      <w:r>
        <w:t xml:space="preserve"> </w:t>
      </w:r>
      <w:r>
        <w:t xml:space="preserve">Entrega inmediata; por pedido; ambas; no anuncia venta de refacciones; NO. Registrar las condiciones expresas; no inferir inventario real ni acuerdos con proveedores.</w:t>
      </w:r>
    </w:p>
    <w:bookmarkEnd w:id="23"/>
    <w:bookmarkStart w:id="24" w:name="relación-de-los-datos-con-las-decisiones"/>
    <w:p>
      <w:pPr>
        <w:pStyle w:val="Heading2"/>
      </w:pPr>
      <w:r>
        <w:t xml:space="preserve">Relación de los datos con las decisiones</w:t>
      </w:r>
    </w:p>
    <w:p>
      <w:pPr>
        <w:pStyle w:val="FirstParagraph"/>
      </w:pPr>
      <w:r>
        <w:t xml:space="preserve">La comparación debe conservar la distinción entre información primaria de la encuesta y evidencia documental de los competidores. La investigación adquiere utilidad cuando sus variables se conectan con decisiones específicas y sus límites se declaran</w:t>
      </w:r>
      <w:r>
        <w:t xml:space="preserve"> </w:t>
      </w:r>
      <w:r>
        <w:t xml:space="preserve">(Gomez Albrecht et al., 2023)</w:t>
      </w:r>
      <w:r>
        <w:t xml:space="preserve">. El glosario del curso relaciona el análisis de mercado con clientes, competencia y estrategias; no justifica convertir una muestra exploratoria en estimación poblacional</w:t>
      </w:r>
      <w:r>
        <w:t xml:space="preserve"> </w:t>
      </w:r>
      <w:r>
        <w:t xml:space="preserve">(</w:t>
      </w:r>
      <w:r>
        <w:rPr>
          <w:i/>
          <w:iCs/>
        </w:rPr>
        <w:t xml:space="preserve">Propuesta de glosario de conceptos</w:t>
      </w:r>
      <w:r>
        <w:t xml:space="preserve">, 2024)</w:t>
      </w:r>
      <w:r>
        <w:t xml:space="preserve">.</w:t>
      </w:r>
    </w:p>
    <w:tbl>
      <w:tblPr>
        <w:tblStyle w:val="Table"/>
        <w:tblW w:type="pct" w:w="4450"/>
        <w:tblLayout w:type="fixed"/>
        <w:tblLook w:firstRow="1" w:lastRow="0" w:firstColumn="0" w:lastColumn="0" w:noHBand="0" w:noVBand="0" w:val="0020"/>
      </w:tblPr>
      <w:tblGrid>
        <w:gridCol w:w="1267"/>
        <w:gridCol w:w="1900"/>
        <w:gridCol w:w="3880"/>
      </w:tblGrid>
      <w:tr>
        <w:trPr>
          <w:tblHeader w:val="on"/>
        </w:trPr>
        <w:tc>
          <w:tcPr/>
          <w:p>
            <w:pPr>
              <w:pStyle w:val="Compact"/>
              <w:jc w:val="left"/>
            </w:pPr>
            <w:r>
              <w:rPr>
                <w:b/>
                <w:bCs/>
              </w:rPr>
              <w:t xml:space="preserve">Decisión</w:t>
            </w:r>
          </w:p>
        </w:tc>
        <w:tc>
          <w:tcPr/>
          <w:p>
            <w:pPr>
              <w:pStyle w:val="Compact"/>
              <w:jc w:val="left"/>
            </w:pPr>
            <w:r>
              <w:rPr>
                <w:b/>
                <w:bCs/>
              </w:rPr>
              <w:t xml:space="preserve">Ítems</w:t>
            </w:r>
          </w:p>
        </w:tc>
        <w:tc>
          <w:tcPr/>
          <w:p>
            <w:pPr>
              <w:pStyle w:val="Compact"/>
              <w:jc w:val="left"/>
            </w:pPr>
            <w:r>
              <w:rPr>
                <w:b/>
                <w:bCs/>
              </w:rPr>
              <w:t xml:space="preserve">Uso y límite</w:t>
            </w:r>
          </w:p>
        </w:tc>
      </w:tr>
      <w:tr>
        <w:tc>
          <w:tcPr/>
          <w:p>
            <w:pPr>
              <w:pStyle w:val="Compact"/>
              <w:jc w:val="left"/>
            </w:pPr>
            <w:r>
              <w:rPr>
                <w:b/>
                <w:bCs/>
              </w:rPr>
              <w:t xml:space="preserve">Decisión</w:t>
            </w:r>
          </w:p>
        </w:tc>
        <w:tc>
          <w:tcPr/>
          <w:p>
            <w:pPr>
              <w:pStyle w:val="Compact"/>
              <w:jc w:val="left"/>
            </w:pPr>
            <w:r>
              <w:rPr>
                <w:b/>
                <w:bCs/>
              </w:rPr>
              <w:t xml:space="preserve">Ítems</w:t>
            </w:r>
          </w:p>
        </w:tc>
        <w:tc>
          <w:tcPr/>
          <w:p>
            <w:pPr>
              <w:pStyle w:val="Compact"/>
              <w:jc w:val="left"/>
            </w:pPr>
            <w:r>
              <w:rPr>
                <w:b/>
                <w:bCs/>
              </w:rPr>
              <w:t xml:space="preserve">Uso y límite</w:t>
            </w:r>
          </w:p>
        </w:tc>
      </w:tr>
      <w:tr>
        <w:tc>
          <w:tcPr/>
          <w:p>
            <w:pPr>
              <w:pStyle w:val="Compact"/>
              <w:jc w:val="left"/>
            </w:pPr>
            <w:r>
              <w:t xml:space="preserve">Ventas</w:t>
            </w:r>
          </w:p>
        </w:tc>
        <w:tc>
          <w:tcPr/>
          <w:p>
            <w:pPr>
              <w:pStyle w:val="Compact"/>
              <w:jc w:val="left"/>
            </w:pPr>
            <w:r>
              <w:t xml:space="preserve">D07–D10, D19–D20; O01, O14</w:t>
            </w:r>
          </w:p>
        </w:tc>
        <w:tc>
          <w:tcPr/>
          <w:p>
            <w:pPr>
              <w:pStyle w:val="Compact"/>
              <w:jc w:val="left"/>
            </w:pPr>
            <w:r>
              <w:t xml:space="preserve">Describir ocasiones de compra por categoría e intención futura. No sumar intenciones como ventas ni extrapolar los treinta casos a Monterrey.</w:t>
            </w:r>
          </w:p>
        </w:tc>
      </w:tr>
      <w:tr>
        <w:tc>
          <w:tcPr/>
          <w:p>
            <w:pPr>
              <w:pStyle w:val="Compact"/>
              <w:jc w:val="left"/>
            </w:pPr>
            <w:r>
              <w:t xml:space="preserve">Prestación del servicio</w:t>
            </w:r>
          </w:p>
        </w:tc>
        <w:tc>
          <w:tcPr/>
          <w:p>
            <w:pPr>
              <w:pStyle w:val="Compact"/>
              <w:jc w:val="left"/>
            </w:pPr>
            <w:r>
              <w:t xml:space="preserve">D04–D08, D14–D15; O03–O04, O08–O10, O16</w:t>
            </w:r>
          </w:p>
        </w:tc>
        <w:tc>
          <w:tcPr/>
          <w:p>
            <w:pPr>
              <w:pStyle w:val="Compact"/>
              <w:jc w:val="left"/>
            </w:pPr>
            <w:r>
              <w:t xml:space="preserve">Priorizar categorías y ventanas de recepción. La capacidad propia requiere medir tiempos, personal, equipos y suministro; las bahías de terceros no bastan.</w:t>
            </w:r>
          </w:p>
        </w:tc>
      </w:tr>
      <w:tr>
        <w:tc>
          <w:tcPr/>
          <w:p>
            <w:pPr>
              <w:pStyle w:val="Compact"/>
              <w:jc w:val="left"/>
            </w:pPr>
            <w:r>
              <w:t xml:space="preserve">Promoción</w:t>
            </w:r>
          </w:p>
        </w:tc>
        <w:tc>
          <w:tcPr/>
          <w:p>
            <w:pPr>
              <w:pStyle w:val="Compact"/>
              <w:jc w:val="left"/>
            </w:pPr>
            <w:r>
              <w:t xml:space="preserve">D12–D14, D20–D22; O12–O14</w:t>
            </w:r>
          </w:p>
        </w:tc>
        <w:tc>
          <w:tcPr/>
          <w:p>
            <w:pPr>
              <w:pStyle w:val="Compact"/>
              <w:jc w:val="left"/>
            </w:pPr>
            <w:r>
              <w:t xml:space="preserve">Elegir mensajes y canales según preferencias y evidencia competitiva. Probar la respuesta real; no inventar descuentos ni conversiones.</w:t>
            </w:r>
          </w:p>
        </w:tc>
      </w:tr>
      <w:tr>
        <w:tc>
          <w:tcPr/>
          <w:p>
            <w:pPr>
              <w:pStyle w:val="Compact"/>
              <w:jc w:val="left"/>
            </w:pPr>
            <w:r>
              <w:t xml:space="preserve">Ubicación</w:t>
            </w:r>
          </w:p>
        </w:tc>
        <w:tc>
          <w:tcPr/>
          <w:p>
            <w:pPr>
              <w:pStyle w:val="Compact"/>
              <w:jc w:val="left"/>
            </w:pPr>
            <w:r>
              <w:t xml:space="preserve">D03, D16–D17; O02, O15</w:t>
            </w:r>
          </w:p>
        </w:tc>
        <w:tc>
          <w:tcPr/>
          <w:p>
            <w:pPr>
              <w:pStyle w:val="Compact"/>
              <w:jc w:val="left"/>
            </w:pPr>
            <w:r>
              <w:t xml:space="preserve">Comparar municipios preferidos y tolerancia de traslado. Incorporar accesibilidad, permisos y costos antes de elegir un local.</w:t>
            </w:r>
          </w:p>
        </w:tc>
      </w:tr>
      <w:tr>
        <w:tc>
          <w:tcPr/>
          <w:p>
            <w:pPr>
              <w:pStyle w:val="Compact"/>
              <w:jc w:val="left"/>
            </w:pPr>
            <w:r>
              <w:t xml:space="preserve">Precio</w:t>
            </w:r>
          </w:p>
        </w:tc>
        <w:tc>
          <w:tcPr/>
          <w:p>
            <w:pPr>
              <w:pStyle w:val="Compact"/>
              <w:jc w:val="left"/>
            </w:pPr>
            <w:r>
              <w:t xml:space="preserve">D09–D12, D18; O06–O08, O11, O13</w:t>
            </w:r>
          </w:p>
        </w:tc>
        <w:tc>
          <w:tcPr/>
          <w:p>
            <w:pPr>
              <w:pStyle w:val="Compact"/>
              <w:jc w:val="left"/>
            </w:pPr>
            <w:r>
              <w:t xml:space="preserve">Separar gasto histórico de disposición hipotética. Comparar sólo diagnósticos de alcance equivalente y contrastar con costos y margen.</w:t>
            </w:r>
          </w:p>
        </w:tc>
      </w:tr>
    </w:tbl>
    <w:bookmarkEnd w:id="24"/>
    <w:bookmarkStart w:id="25" w:name="codificación-pilotaje-y-análisis"/>
    <w:p>
      <w:pPr>
        <w:pStyle w:val="Heading2"/>
      </w:pPr>
      <w:r>
        <w:t xml:space="preserve">Codificación, pilotaje y análisis</w:t>
      </w:r>
    </w:p>
    <w:p>
      <w:pPr>
        <w:pStyle w:val="FirstParagraph"/>
      </w:pPr>
      <w:r>
        <w:t xml:space="preserve">Cada registro conservará versión del instrumento, folio y fecha. Las categorías cerradas se codificarán en el orden mostrado; en selección múltiple se usará una columna por opción. D07 y O01 conservarán columnas separadas por categoría. En D18 se separarán estatus e importe, para no confundir</w:t>
      </w:r>
      <w:r>
        <w:t xml:space="preserve"> </w:t>
      </w:r>
      <w:r>
        <w:t xml:space="preserve">“no contrataría”</w:t>
      </w:r>
      <w:r>
        <w:t xml:space="preserve"> </w:t>
      </w:r>
      <w:r>
        <w:t xml:space="preserve">con disposición a pagar cero. Las cantidades desconocidas serán NS, las omisiones NR y los saltos NA. Los códigos de ausencia se excluirán de cálculos numéricos y se reportarán por separado.</w:t>
      </w:r>
    </w:p>
    <w:p>
      <w:pPr>
        <w:pStyle w:val="BodyText"/>
      </w:pPr>
      <w:r>
        <w:t xml:space="preserve">En el piloto se revisarán comprensión, saltos, tiempo de respuesta y opciones faltantes; no se mezclarán sus respuestas con una versión posterior. Se documentarán fecha, versión y motivo de cada cambio. Los filtros deben impedir continuar con personas no elegibles y los saltos deben evitar preguntas sobre servicios inexistentes. Para la oferta, dos revisiones de las mismas fichas permitirán detectar criterios de observación ambiguos. El pilotaje y los controles de transparencia son parte del diseño, no evidencia de aplicación ya realizada</w:t>
      </w:r>
      <w:r>
        <w:t xml:space="preserve"> </w:t>
      </w:r>
      <w:r>
        <w:t xml:space="preserve">(American Association for Public Opinion Research, 2022; Pew Research Center, s. f.)</w:t>
      </w:r>
      <w:r>
        <w:t xml:space="preserve">.</w:t>
      </w:r>
    </w:p>
    <w:p>
      <w:pPr>
        <w:pStyle w:val="BodyText"/>
      </w:pPr>
      <w:r>
        <w:t xml:space="preserve">El análisis exploratorio utilizará frecuencias con denominador explícito, medianas de importes comparables y cruces por municipio, tipo de vehículo y categoría de servicio cuando existan casos suficientes. Las respuestas abiertas se agruparán por temas sin alterar su sentido. No se calculará un precio promedio mezclando reparaciones, llantas y diagnósticos. La proyección de ventas requerirá además un universo sustentado, captación observada y capacidad propia; hasta disponer de ellos sólo podrán formularse escenarios identificados como supuestos.</w:t>
      </w:r>
    </w:p>
    <w:bookmarkEnd w:id="25"/>
    <w:bookmarkEnd w:id="26"/>
    <w:bookmarkStart w:id="28" w:name="conclusiones"/>
    <w:p>
      <w:pPr>
        <w:pStyle w:val="Heading1"/>
      </w:pPr>
      <w:r>
        <w:t xml:space="preserve">Conclusiones</w:t>
      </w:r>
    </w:p>
    <w:p>
      <w:pPr>
        <w:pStyle w:val="FirstParagraph"/>
      </w:pPr>
      <w:r>
        <w:t xml:space="preserve">AM Taller necesita comparar decisiones de compra con condiciones verificables de la oferta, no confirmar de antemano que su idea será exitosa. La encuesta distingue necesidades, experiencia, preferencias e intención; la lista de cotejo exige evidencia para cada atributo competitivo. Los códigos y filtros permiten reconocer lo que se sabe, lo que no se pudo observar y lo que no corresponde preguntar.</w:t>
      </w:r>
    </w:p>
    <w:p>
      <w:pPr>
        <w:pStyle w:val="BodyText"/>
      </w:pPr>
      <w:r>
        <w:t xml:space="preserve">Conviene priorizar esa trazabilidad sobre un volumen elevado de respuestas sin control. La razón es operativa: mezclar gasto de reparaciones con precio de diagnóstico, o publicidad con capacidad efectiva, produciría decisiones de precio y servicio sin sustento. La consecuencia para el proyecto es una ruta prudente: pilotar los instrumentos, corregir ambigüedades, recolectar datos autorizados y contrastarlos con costos, capacidad y condiciones territoriales antes de comprometer recursos.</w:t>
      </w:r>
    </w:p>
    <w:p>
      <w:pPr>
        <w:pStyle w:val="BodyText"/>
      </w:pPr>
      <w:r>
        <w:t xml:space="preserve">Los dos instrumentos quedan definidos para revisión y pilotaje, sin respuestas ni resultados simulados. La selección exploratoria propuesta no prueba demanda potencial ni viabilidad comercial; los hallazgos sólo podrán formularse después de aplicar y analizar información real.</w:t>
      </w:r>
      <w:r>
        <w:rPr>
          <w:rStyle w:val="FootnoteReference"/>
        </w:rPr>
        <w:footnoteReference w:id="27"/>
      </w:r>
    </w:p>
    <w:bookmarkEnd w:id="28"/>
    <w:bookmarkStart w:id="40" w:name="bibliography"/>
    <w:p>
      <w:pPr>
        <w:pStyle w:val="Heading1"/>
      </w:pPr>
      <w:r>
        <w:t xml:space="preserve">Referencias</w:t>
      </w:r>
    </w:p>
    <w:bookmarkStart w:id="39" w:name="refs"/>
    <w:bookmarkStart w:id="30" w:name="ref-aaporBuenasPracticas2022"/>
    <w:p>
      <w:pPr>
        <w:pStyle w:val="Bibliography"/>
      </w:pPr>
      <w:r>
        <w:t xml:space="preserve">American Association for Public Opinion Research. (2022).</w:t>
      </w:r>
      <w:r>
        <w:t xml:space="preserve"> </w:t>
      </w:r>
      <w:r>
        <w:rPr>
          <w:i/>
          <w:iCs/>
        </w:rPr>
        <w:t xml:space="preserve">Best Practices for Survey Research</w:t>
      </w:r>
      <w:r>
        <w:t xml:space="preserve">.</w:t>
      </w:r>
      <w:r>
        <w:t xml:space="preserve"> </w:t>
      </w:r>
      <w:hyperlink r:id="rId29">
        <w:r>
          <w:rPr>
            <w:rStyle w:val="Hyperlink"/>
          </w:rPr>
          <w:t xml:space="preserve">https://aapor.org/wp-content/uploads/2023/06/Survey-Best-Practices.pdf</w:t>
        </w:r>
      </w:hyperlink>
    </w:p>
    <w:bookmarkEnd w:id="30"/>
    <w:bookmarkStart w:id="32" w:name="ref-itescaCompetencia2"/>
    <w:p>
      <w:pPr>
        <w:pStyle w:val="Bibliography"/>
      </w:pPr>
      <w:r>
        <w:rPr>
          <w:i/>
          <w:iCs/>
        </w:rPr>
        <w:t xml:space="preserve">Competencia 2</w:t>
      </w:r>
      <w:r>
        <w:t xml:space="preserve">. (s/f). Presentacion PowerPoint alojada en ITESCA Virtual, Plan de Negocios. Recuperado</w:t>
      </w:r>
      <w:r>
        <w:t xml:space="preserve"> </w:t>
      </w:r>
      <w:hyperlink r:id="rId31">
        <w:r>
          <w:rPr>
            <w:rStyle w:val="Hyperlink"/>
          </w:rPr>
          <w:t xml:space="preserve">https://cursos3.e-itesca.edu.mx/mod/resource/view.php?id=6542</w:t>
        </w:r>
      </w:hyperlink>
    </w:p>
    <w:bookmarkEnd w:id="32"/>
    <w:bookmarkStart w:id="34" w:name="ref-albrechtMarketing2023"/>
    <w:p>
      <w:pPr>
        <w:pStyle w:val="Bibliography"/>
      </w:pPr>
      <w:r>
        <w:t xml:space="preserve">Gomez Albrecht, M., Green, M., &amp; Hoffman, L. (2023).</w:t>
      </w:r>
      <w:r>
        <w:t xml:space="preserve"> </w:t>
      </w:r>
      <w:r>
        <w:rPr>
          <w:i/>
          <w:iCs/>
        </w:rPr>
        <w:t xml:space="preserve">Principles of Marketing</w:t>
      </w:r>
      <w:r>
        <w:t xml:space="preserve">. OpenStax, Rice University.</w:t>
      </w:r>
      <w:r>
        <w:t xml:space="preserve"> </w:t>
      </w:r>
      <w:hyperlink r:id="rId33">
        <w:r>
          <w:rPr>
            <w:rStyle w:val="Hyperlink"/>
          </w:rPr>
          <w:t xml:space="preserve">https://openstax.org/books/principles-marketing/pages/6-3-steps-in-a-successful-marketing-research-plan</w:t>
        </w:r>
      </w:hyperlink>
    </w:p>
    <w:bookmarkEnd w:id="34"/>
    <w:bookmarkStart w:id="36" w:name="ref-pewDisenoPreguntas"/>
    <w:p>
      <w:pPr>
        <w:pStyle w:val="Bibliography"/>
      </w:pPr>
      <w:r>
        <w:t xml:space="preserve">Pew Research Center. (s. f.).</w:t>
      </w:r>
      <w:r>
        <w:t xml:space="preserve"> </w:t>
      </w:r>
      <w:r>
        <w:rPr>
          <w:i/>
          <w:iCs/>
        </w:rPr>
        <w:t xml:space="preserve">Writing Survey Questions</w:t>
      </w:r>
      <w:r>
        <w:t xml:space="preserve">.</w:t>
      </w:r>
      <w:r>
        <w:t xml:space="preserve"> </w:t>
      </w:r>
      <w:hyperlink r:id="rId35">
        <w:r>
          <w:rPr>
            <w:rStyle w:val="Hyperlink"/>
          </w:rPr>
          <w:t xml:space="preserve">https://www.pewresearch.org/writing-survey-questions/</w:t>
        </w:r>
      </w:hyperlink>
    </w:p>
    <w:bookmarkEnd w:id="36"/>
    <w:bookmarkStart w:id="38" w:name="ref-planNegociosGlosario2024"/>
    <w:p>
      <w:pPr>
        <w:pStyle w:val="Bibliography"/>
      </w:pPr>
      <w:r>
        <w:rPr>
          <w:i/>
          <w:iCs/>
        </w:rPr>
        <w:t xml:space="preserve">Propuesta de glosario de conceptos</w:t>
      </w:r>
      <w:r>
        <w:t xml:space="preserve">. (2024). Material alojado en ITESCA Virtual, modulo 6527.</w:t>
      </w:r>
      <w:r>
        <w:t xml:space="preserve"> </w:t>
      </w:r>
      <w:hyperlink r:id="rId37">
        <w:r>
          <w:rPr>
            <w:rStyle w:val="Hyperlink"/>
          </w:rPr>
          <w:t xml:space="preserve">https://cursos3.e-itesca.edu.mx/mod/resource/view.php?id=6527</w:t>
        </w:r>
      </w:hyperlink>
    </w:p>
    <w:bookmarkEnd w:id="38"/>
    <w:bookmarkEnd w:id="39"/>
    <w:bookmarkEnd w:id="40"/>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Se utilizó GitHub Copilot como apoyo para organizar preguntas, contrastar criterios metodológicos y revisar redacción. No se recolectaron respuestas de campo ni se sustituye la revisión y el análisis que corresponden al responsable del proyecto.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hyperlink" Target="https://aapor.org/wp-content/uploads/2023/06/Survey-Best-Practices.pdf" TargetMode="External"/><Relationship Id="rId37" Type="http://schemas.openxmlformats.org/officeDocument/2006/relationships/hyperlink" Target="https://cursos3.e-itesca.edu.mx/mod/resource/view.php?id=6527" TargetMode="External"/><Relationship Id="rId31" Type="http://schemas.openxmlformats.org/officeDocument/2006/relationships/hyperlink" Target="https://cursos3.e-itesca.edu.mx/mod/resource/view.php?id=6542" TargetMode="External"/><Relationship Id="rId33" Type="http://schemas.openxmlformats.org/officeDocument/2006/relationships/hyperlink" Target="https://openstax.org/books/principles-marketing/pages/6-3-steps-in-a-successful-marketing-research-plan" TargetMode="External"/><Relationship Id="rId35" Type="http://schemas.openxmlformats.org/officeDocument/2006/relationships/hyperlink" Target="https://www.pewresearch.org/writing-survey-questions/"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29" Type="http://schemas.openxmlformats.org/officeDocument/2006/relationships/hyperlink" Target="https://aapor.org/wp-content/uploads/2023/06/Survey-Best-Practices.pdf" TargetMode="External"/><Relationship Id="rId37" Type="http://schemas.openxmlformats.org/officeDocument/2006/relationships/hyperlink" Target="https://cursos3.e-itesca.edu.mx/mod/resource/view.php?id=6527" TargetMode="External"/><Relationship Id="rId31" Type="http://schemas.openxmlformats.org/officeDocument/2006/relationships/hyperlink" Target="https://cursos3.e-itesca.edu.mx/mod/resource/view.php?id=6542" TargetMode="External"/><Relationship Id="rId33" Type="http://schemas.openxmlformats.org/officeDocument/2006/relationships/hyperlink" Target="https://openstax.org/books/principles-marketing/pages/6-3-steps-in-a-successful-marketing-research-plan" TargetMode="External"/><Relationship Id="rId35" Type="http://schemas.openxmlformats.org/officeDocument/2006/relationships/hyperlink" Target="https://www.pewresearch.org/writing-survey-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para el análisis de demanda y oferta</dc:title>
  <dc:creator>Martín Jonathan de la Cruz Muñoz</dc:creator>
  <dc:language>es-MX</dc:language>
  <cp:keywords/>
  <dcterms:created xsi:type="dcterms:W3CDTF">2026-09-23T01:03:31Z</dcterms:created>
  <dcterms:modified xsi:type="dcterms:W3CDTF">2026-09-23T01:03:31Z</dcterms:modified>
  <dc:subject>Actividad 5 -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ITESCA/maestria-en-gestion-administrativa/plan-de-negocios-mga/plan-de-negocios.bib</vt:lpwstr>
  </property>
  <property fmtid="{D5CDD505-2E9C-101B-9397-08002B2CF9AE}" pid="3" name="csl">
    <vt:lpwstr>ITESCA/maestria-en-gestion-administrativa/plan-de-negocios-mga/referencias-plan-de-negocios/metodologia-actividad-5/apa.csl</vt:lpwstr>
  </property>
  <property fmtid="{D5CDD505-2E9C-101B-9397-08002B2CF9AE}" pid="4" name="reference-section-title">
    <vt:lpwstr>Referencias</vt:lpwstr>
  </property>
</Properties>
</file>