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011680" cy="640267"/>
            <wp:docPr id="24" name="Picture 24"/>
            <wp:cNvGraphicFramePr>
              <a:graphicFrameLocks noChangeAspect="1"/>
            </wp:cNvGraphicFramePr>
            <a:graphic>
              <a:graphicData uri="http://schemas.openxmlformats.org/drawingml/2006/picture">
                <pic:pic>
                  <pic:nvPicPr>
                    <pic:cNvPr id="0" name="logo-itesca-contorno.png"/>
                    <pic:cNvPicPr/>
                  </pic:nvPicPr>
                  <pic:blipFill>
                    <a:blip r:embed="rId11"/>
                    <a:stretch>
                      <a:fillRect/>
                    </a:stretch>
                  </pic:blipFill>
                  <pic:spPr>
                    <a:xfrm>
                      <a:off x="0" y="0"/>
                      <a:ext cx="2011680" cy="640267"/>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Posgrado e Investigación</w:t>
      </w:r>
    </w:p>
    <w:p>
      <w:pPr>
        <w:jc w:val="center"/>
      </w:pPr>
      <w:r/>
    </w:p>
    <w:p>
      <w:pPr>
        <w:jc w:val="center"/>
      </w:pPr>
      <w:r>
        <w:rPr>
          <w:b/>
          <w:color w:val="9D1420"/>
          <w:sz w:val="38"/>
        </w:rPr>
        <w:t>Imagen de la empresa</w:t>
      </w:r>
    </w:p>
    <w:p>
      <w:pPr>
        <w:jc w:val="center"/>
      </w:pPr>
      <w:r>
        <w:t>Actividad 6 - Plan de Negocios</w:t>
      </w:r>
    </w:p>
    <w:p>
      <w:pPr>
        <w:jc w:val="center"/>
      </w:pPr>
      <w:r/>
    </w:p>
    <w:tbl>
      <w:tblPr>
        <w:tblW w:type="auto" w:w="0"/>
        <w:tblLook w:firstColumn="1" w:firstRow="1" w:lastColumn="0" w:lastRow="0" w:noHBand="0" w:noVBand="1" w:val="04A0"/>
      </w:tblPr>
      <w:tblGrid>
        <w:gridCol w:w="4680"/>
        <w:gridCol w:w="4680"/>
      </w:tblGrid>
      <w:tr>
        <w:tc>
          <w:tcPr>
            <w:tcW w:type="dxa" w:w="4680"/>
          </w:tcPr>
          <w:p>
            <w:r>
              <w:t>Estudiante</w:t>
            </w:r>
          </w:p>
        </w:tc>
        <w:tc>
          <w:tcPr>
            <w:tcW w:type="dxa" w:w="4680"/>
          </w:tcPr>
          <w:p>
            <w:r>
              <w:t>Martín Jonathan de la Cruz Muñoz</w:t>
            </w:r>
          </w:p>
        </w:tc>
      </w:tr>
      <w:tr>
        <w:tc>
          <w:tcPr>
            <w:tcW w:type="dxa" w:w="4680"/>
          </w:tcPr>
          <w:p>
            <w:r>
              <w:t>Matrícula</w:t>
            </w:r>
          </w:p>
        </w:tc>
        <w:tc>
          <w:tcPr>
            <w:tcW w:type="dxa" w:w="4680"/>
          </w:tcPr>
          <w:p>
            <w:r>
              <w:t>26130503</w:t>
            </w:r>
          </w:p>
        </w:tc>
      </w:tr>
      <w:tr>
        <w:tc>
          <w:tcPr>
            <w:tcW w:type="dxa" w:w="4680"/>
          </w:tcPr>
          <w:p>
            <w:r>
              <w:t>Correo institucional</w:t>
            </w:r>
          </w:p>
        </w:tc>
        <w:tc>
          <w:tcPr>
            <w:tcW w:type="dxa" w:w="4680"/>
          </w:tcPr>
          <w:p>
            <w:r>
              <w:t>26130503@cajeme.tecnm.mx</w:t>
            </w:r>
          </w:p>
        </w:tc>
      </w:tr>
      <w:tr>
        <w:tc>
          <w:tcPr>
            <w:tcW w:type="dxa" w:w="4680"/>
          </w:tcPr>
          <w:p>
            <w:r>
              <w:t>Docente</w:t>
            </w:r>
          </w:p>
        </w:tc>
        <w:tc>
          <w:tcPr>
            <w:tcW w:type="dxa" w:w="4680"/>
          </w:tcPr>
          <w:p>
            <w:r>
              <w:t>Celia Velázquez Reyna</w:t>
            </w:r>
          </w:p>
        </w:tc>
      </w:tr>
      <w:tr>
        <w:tc>
          <w:tcPr>
            <w:tcW w:type="dxa" w:w="4680"/>
          </w:tcPr>
          <w:p>
            <w:r>
              <w:t>Periodo</w:t>
            </w:r>
          </w:p>
        </w:tc>
        <w:tc>
          <w:tcPr>
            <w:tcW w:type="dxa" w:w="4680"/>
          </w:tcPr>
          <w:p>
            <w:r>
              <w:t>2026-II</w:t>
            </w:r>
          </w:p>
        </w:tc>
      </w:tr>
      <w:tr>
        <w:tc>
          <w:tcPr>
            <w:tcW w:type="dxa" w:w="4680"/>
          </w:tcPr>
          <w:p>
            <w:r>
              <w:t>Fecha de realización</w:t>
            </w:r>
          </w:p>
        </w:tc>
        <w:tc>
          <w:tcPr>
            <w:tcW w:type="dxa" w:w="4680"/>
          </w:tcPr>
          <w:p>
            <w:r>
              <w:t>23 de septiembre de 2026</w:t>
            </w:r>
          </w:p>
        </w:tc>
      </w:tr>
      <w:tr>
        <w:tc>
          <w:tcPr>
            <w:tcW w:type="dxa" w:w="4680"/>
          </w:tcPr>
          <w:p>
            <w:r>
              <w:t>Lugar</w:t>
            </w:r>
          </w:p>
        </w:tc>
        <w:tc>
          <w:tcPr>
            <w:tcW w:type="dxa" w:w="4680"/>
          </w:tcPr>
          <w:p>
            <w:r>
              <w:t>Monterrey, Nuevo León</w:t>
            </w:r>
          </w:p>
        </w:tc>
      </w:tr>
    </w:tbl>
    <w:p>
      <w:r>
        <w:br w:type="page"/>
      </w:r>
    </w:p>
    <w:bookmarkStart w:id="20" w:name="introducción"/>
    <w:p>
      <w:pPr>
        <w:pStyle w:val="Heading1"/>
      </w:pPr>
      <w:r>
        <w:t xml:space="preserve">Introducción</w:t>
      </w:r>
    </w:p>
    <w:p>
      <w:pPr>
        <w:pStyle w:val="FirstParagraph"/>
      </w:pPr>
      <w:r>
        <w:t xml:space="preserve">La identidad visual de</w:t>
      </w:r>
      <w:r>
        <w:t xml:space="preserve"> </w:t>
      </w:r>
      <w:r>
        <w:rPr>
          <w:b/>
          <w:bCs/>
        </w:rPr>
        <w:t xml:space="preserve">AM Taller Autocentro</w:t>
      </w:r>
      <w:r>
        <w:t xml:space="preserve"> </w:t>
      </w:r>
      <w:r>
        <w:t xml:space="preserve">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pPr>
        <w:pStyle w:val="BodyText"/>
      </w:pPr>
      <w:r>
        <w:t xml:space="preserve">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bookmarkEnd w:id="20"/>
    <w:bookmarkStart w:id="28" w:name="identidad-visual-de-am-taller-autocentro"/>
    <w:p>
      <w:pPr>
        <w:pStyle w:val="Heading1"/>
      </w:pPr>
      <w:r>
        <w:t xml:space="preserve">Identidad visual de AM Taller Autocentro</w:t>
      </w:r>
    </w:p>
    <w:p>
      <w:pPr>
        <w:pStyle w:val="FirstParagraph"/>
      </w:pPr>
      <w:r>
        <w:drawing>
          <wp:inline>
            <wp:extent cx="3840480" cy="3840479"/>
            <wp:effectExtent b="0" l="0" r="0" t="0"/>
            <wp:docPr descr="image" title="" id="22" name="Picture"/>
            <a:graphic>
              <a:graphicData uri="http://schemas.openxmlformats.org/drawingml/2006/picture">
                <pic:pic>
                  <pic:nvPicPr>
                    <pic:cNvPr descr="ITESCA/maestria-en-gestion-administrativa/plan-de-negocios-mga/assets-plan-de-negocios/am-taller-logo-1024.png" id="23" name="Picture"/>
                    <pic:cNvPicPr>
                      <a:picLocks noChangeArrowheads="1" noChangeAspect="1"/>
                    </pic:cNvPicPr>
                  </pic:nvPicPr>
                  <pic:blipFill>
                    <a:blip r:embed="rId21"/>
                    <a:stretch>
                      <a:fillRect/>
                    </a:stretch>
                  </pic:blipFill>
                  <pic:spPr bwMode="auto">
                    <a:xfrm>
                      <a:off x="0" y="0"/>
                      <a:ext cx="3840480" cy="3840479"/>
                    </a:xfrm>
                    <a:prstGeom prst="rect">
                      <a:avLst/>
                    </a:prstGeom>
                    <a:noFill/>
                    <a:ln w="9525">
                      <a:noFill/>
                      <a:headEnd/>
                      <a:tailEnd/>
                    </a:ln>
                  </pic:spPr>
                </pic:pic>
              </a:graphicData>
            </a:graphic>
          </wp:inline>
        </w:drawing>
      </w:r>
    </w:p>
    <w:bookmarkStart w:id="24" w:name="nombre-del-proyecto"/>
    <w:p>
      <w:pPr>
        <w:pStyle w:val="Heading2"/>
      </w:pPr>
      <w:r>
        <w:t xml:space="preserve">Nombre del proyecto</w:t>
      </w:r>
    </w:p>
    <w:p>
      <w:pPr>
        <w:pStyle w:val="FirstParagraph"/>
      </w:pPr>
      <w:r>
        <w:t xml:space="preserve">El nombre del proyecto es</w:t>
      </w:r>
      <w:r>
        <w:t xml:space="preserve"> </w:t>
      </w:r>
      <w:r>
        <w:rPr>
          <w:b/>
          <w:bCs/>
        </w:rPr>
        <w:t xml:space="preserve">AM Taller Autocentro</w:t>
      </w:r>
      <w:r>
        <w:t xml:space="preserve">. La expresión</w:t>
      </w:r>
      <w:r>
        <w:t xml:space="preserve"> </w:t>
      </w:r>
      <w:r>
        <w:rPr>
          <w:i/>
          <w:iCs/>
        </w:rPr>
        <w:t xml:space="preserve">AM</w:t>
      </w:r>
      <w:r>
        <w:t xml:space="preserve"> </w:t>
      </w:r>
      <w:r>
        <w:t xml:space="preserve">se relaciona con la prontitud asociada a la etiqueta de hora</w:t>
      </w:r>
      <w:r>
        <w:t xml:space="preserve"> </w:t>
      </w:r>
      <w:r>
        <w:rPr>
          <w:i/>
          <w:iCs/>
        </w:rPr>
        <w:t xml:space="preserve">a. m.</w:t>
      </w:r>
      <w:r>
        <w:t xml:space="preserve">: comunica la intención de atender al cliente desde temprano, con disponibilidad y organización del servicio. La palabra</w:t>
      </w:r>
      <w:r>
        <w:t xml:space="preserve"> </w:t>
      </w:r>
      <w:r>
        <w:rPr>
          <w:i/>
          <w:iCs/>
        </w:rPr>
        <w:t xml:space="preserve">Taller</w:t>
      </w:r>
      <w:r>
        <w:t xml:space="preserve"> </w:t>
      </w:r>
      <w:r>
        <w:t xml:space="preserve">declara de manera directa el giro del negocio y</w:t>
      </w:r>
      <w:r>
        <w:t xml:space="preserve"> </w:t>
      </w:r>
      <w:r>
        <w:rPr>
          <w:i/>
          <w:iCs/>
        </w:rPr>
        <w:t xml:space="preserve">Autocentro</w:t>
      </w:r>
      <w:r>
        <w:t xml:space="preserve"> </w:t>
      </w:r>
      <w:r>
        <w:t xml:space="preserve">amplía esa identificación al reunir mecánica, llantas y refacciones en un mismo punto de atención. La combinación es corta, se pronuncia con facilidad y permite asociar el nombre con una atención oportuna para el vehículo.</w:t>
      </w:r>
    </w:p>
    <w:p>
      <w:pPr>
        <w:pStyle w:val="BodyText"/>
      </w:pPr>
      <w:r>
        <w:t xml:space="preserve">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bookmarkEnd w:id="24"/>
    <w:bookmarkStart w:id="25" w:name="logotipo-existente"/>
    <w:p>
      <w:pPr>
        <w:pStyle w:val="Heading2"/>
      </w:pPr>
      <w:r>
        <w:t xml:space="preserve">Logotipo existente</w:t>
      </w:r>
    </w:p>
    <w:p>
      <w:pPr>
        <w:pStyle w:val="FirstParagraph"/>
      </w:pPr>
      <w:r>
        <w:rPr>
          <w:b/>
          <w:bCs/>
        </w:rPr>
        <w:t xml:space="preserve">Autoría y procedencia.</w:t>
      </w:r>
      <w:r>
        <w:t xml:space="preserve"> </w:t>
      </w:r>
      <w:r>
        <w:t xml:space="preserve">El logotipo fue creado por</w:t>
      </w:r>
      <w:r>
        <w:t xml:space="preserve"> </w:t>
      </w:r>
      <w:r>
        <w:rPr>
          <w:b/>
          <w:bCs/>
        </w:rPr>
        <w:t xml:space="preserve">Martín Jonathan de la Cruz Muñoz</w:t>
      </w:r>
      <w:r>
        <w:t xml:space="preserve"> </w:t>
      </w:r>
      <w:r>
        <w:t xml:space="preserve">para AM Taller Autocentro. Su autoría fue confirmada por el propio creador el 23 de septiembre de 2026. El recurso procede del proyecto local AM Taller y se conserva sin alterarlo en los assets de la materia. Esta declaración identifica al autor; no implica que exista un registro de marca ni acredita disponibilidad de los signos para cualquier uso comercial.</w:t>
      </w:r>
    </w:p>
    <w:p>
      <w:pPr>
        <w:pStyle w:val="BodyText"/>
      </w:pPr>
      <w:r>
        <w:t xml:space="preserve">El logotipo utilizado es el que ya forma parte de AM Taller Autocentro. En su aplicación digital se integra con una composición tipográfica de alto contraste y un emblema circular dorado. La marca presenta los servicios de</w:t>
      </w:r>
      <w:r>
        <w:t xml:space="preserve"> </w:t>
      </w:r>
      <w:r>
        <w:rPr>
          <w:i/>
          <w:iCs/>
        </w:rPr>
        <w:t xml:space="preserve">mecánica, llantas y refacciones</w:t>
      </w:r>
      <w:r>
        <w:t xml:space="preserve">, por lo que comunica de manera directa el alcance del negocio. El emblema aporta reconocimiento visual y la denominación</w:t>
      </w:r>
      <w:r>
        <w:t xml:space="preserve"> </w:t>
      </w:r>
      <w:r>
        <w:rPr>
          <w:i/>
          <w:iCs/>
        </w:rPr>
        <w:t xml:space="preserve">Autocentro</w:t>
      </w:r>
      <w:r>
        <w:t xml:space="preserve"> </w:t>
      </w:r>
      <w:r>
        <w:t xml:space="preserve">diferencia la propuesta de un taller limitado a una sola especialidad.</w:t>
      </w:r>
    </w:p>
    <w:p>
      <w:pPr>
        <w:pStyle w:val="BodyText"/>
      </w:pPr>
      <w:r>
        <w:t xml:space="preserve">La paleta dorada, identificada en los recursos del proyecto con el color</w:t>
      </w:r>
      <w:r>
        <w:t xml:space="preserve"> </w:t>
      </w:r>
      <w:r>
        <w:rPr>
          <w:rStyle w:val="VerbatimChar"/>
        </w:rPr>
        <w:t xml:space="preserve">#C4973B</w:t>
      </w:r>
      <w:r>
        <w:t xml:space="preserve">, se emplea como color principal de la marca. Se complementa con tonos oscuros cercanos a</w:t>
      </w:r>
      <w:r>
        <w:t xml:space="preserve"> </w:t>
      </w:r>
      <w:r>
        <w:rPr>
          <w:rStyle w:val="VerbatimChar"/>
        </w:rPr>
        <w:t xml:space="preserve">#2B2B2B</w:t>
      </w:r>
      <w:r>
        <w:t xml:space="preserve">,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bookmarkEnd w:id="25"/>
    <w:bookmarkStart w:id="26" w:name="lema-y-función-estratégica"/>
    <w:p>
      <w:pPr>
        <w:pStyle w:val="Heading2"/>
      </w:pPr>
      <w:r>
        <w:t xml:space="preserve">Lema y función estratégica</w:t>
      </w:r>
    </w:p>
    <w:p>
      <w:pPr>
        <w:pStyle w:val="FirstParagraph"/>
      </w:pPr>
      <w:r>
        <w:t xml:space="preserve">El lema de la marca es</w:t>
      </w:r>
      <w:r>
        <w:t xml:space="preserve"> </w:t>
      </w:r>
      <w:r>
        <w:rPr>
          <w:b/>
          <w:bCs/>
        </w:rPr>
        <w:t xml:space="preserve">“Pasión por los autos. Compromiso contigo.”</w:t>
      </w:r>
      <w:r>
        <w:t xml:space="preserve">.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pPr>
        <w:pStyle w:val="BodyText"/>
      </w:pPr>
      <w:r>
        <w:t xml:space="preserve">Estratégicamente, el lema complementa el nombre y el logotipo en la agenda digital, señalética, cotizaciones, recordatorios de servicio y comunicación comercial. También diferencia al proyecto de servicios comunicados únicamente como reparación de emergencia, al expresar una vocación de atención integral. Su comprensión y diferenciación deberán contrastarse con clientes antes de cualquier ajuste definitivo.</w:t>
      </w:r>
    </w:p>
    <w:bookmarkEnd w:id="26"/>
    <w:bookmarkStart w:id="27" w:name="verificaciones-para-el-uso-comercial"/>
    <w:p>
      <w:pPr>
        <w:pStyle w:val="Heading2"/>
      </w:pPr>
      <w:r>
        <w:t xml:space="preserve">Verificaciones para el uso comercial</w:t>
      </w:r>
    </w:p>
    <w:p>
      <w:pPr>
        <w:pStyle w:val="FirstParagraph"/>
      </w:pPr>
      <w:r>
        <w:t xml:space="preserve">La identidad existente sirve como base de análisis académico con autoría identificada. Antes de su uso comercial se recomienda verificar la disponibilidad del nombre y los signos, conservar los archivos originales del diseño, comprobar la legibilidad de la marca en escala de grises y contrastar nombre, lema y colores con clientes potenciales. Estas verificaciones no se confunden con la identificación del creador, ya confirmada. El formato solicitado por el módulo es Word; por ello, el PDF funciona como copia de revisión y no sustituye el formato de entrega requerido.</w:t>
      </w:r>
    </w:p>
    <w:bookmarkEnd w:id="27"/>
    <w:bookmarkEnd w:id="28"/>
    <w:bookmarkStart w:id="30" w:name="conclusiones"/>
    <w:p>
      <w:pPr>
        <w:pStyle w:val="Heading1"/>
      </w:pPr>
      <w:r>
        <w:t xml:space="preserve">Conclusiones</w:t>
      </w:r>
    </w:p>
    <w:p>
      <w:pPr>
        <w:pStyle w:val="FirstParagraph"/>
      </w:pPr>
      <w:r>
        <w:t xml:space="preserve">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pPr>
        <w:pStyle w:val="BodyText"/>
      </w:pPr>
      <w:r>
        <w:t xml:space="preserve">Sin embargo, la utilidad visual no equivale a validación comercial. La siguiente etapa debe comprobar disponibilidad marcaria, aceptación del público y desempeño de la identidad en distintos soportes antes de consolidarla como recurso operativo del negocio.</w:t>
      </w:r>
      <w:r>
        <w:t xml:space="preserve"> </w:t>
      </w:r>
      <w:r>
        <w:rPr>
          <w:rStyle w:val="FootnoteReference"/>
        </w:rPr>
        <w:footnoteReference w:id="29"/>
      </w:r>
    </w:p>
    <w:bookmarkEnd w:id="30"/>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Se utilizó asistencia de inteligencia artificial para revisar la redacción y la trazabilidad del recurso. No se atribuye a esta revisión la creación del logotipo existente.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ITESCA | Maestría en Gestión Administrativa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creator>Martín Jonathan de la Cruz Muñoz</dc:creator>
  <cp:keywords/>
  <dcterms:created xsi:type="dcterms:W3CDTF">2026-09-24T05:21:26Z</dcterms:created>
  <dcterms:modified xsi:type="dcterms:W3CDTF">2026-09-24T05:21:26Z</dcterms:modified>
  <dc:subject>Actividad 6 -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