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drawing>
          <wp:inline>
            <wp:extent cx="2011680" cy="640267"/>
            <wp:docPr id="27" name="Picture 27"/>
            <wp:cNvGraphicFramePr>
              <a:graphicFrameLocks noChangeAspect="1"/>
            </wp:cNvGraphicFramePr>
            <a:graphic>
              <a:graphicData uri="http://schemas.openxmlformats.org/drawingml/2006/picture">
                <pic:pic>
                  <pic:nvPicPr>
                    <pic:cNvPr id="0" name="logo-itesca-contorno.png"/>
                    <pic:cNvPicPr/>
                  </pic:nvPicPr>
                  <pic:blipFill>
                    <a:blip r:embed="rId11"/>
                    <a:stretch>
                      <a:fillRect/>
                    </a:stretch>
                  </pic:blipFill>
                  <pic:spPr>
                    <a:xfrm>
                      <a:off x="0" y="0"/>
                      <a:ext cx="2011680" cy="640267"/>
                    </a:xfrm>
                    <a:prstGeom prst="rect"/>
                  </pic:spPr>
                </pic:pic>
              </a:graphicData>
            </a:graphic>
          </wp:inline>
        </w:drawing>
      </w:r>
    </w:p>
    <w:p>
      <w:pPr>
        <w:jc w:val="center"/>
      </w:pPr>
      <w:r>
        <w:t>Instituto Tecnológico Superior de Cajeme</w:t>
      </w:r>
    </w:p>
    <w:p>
      <w:pPr>
        <w:jc w:val="center"/>
      </w:pPr>
      <w:r>
        <w:t>Maestría en Gestión Administrativa</w:t>
      </w:r>
    </w:p>
    <w:p>
      <w:pPr>
        <w:jc w:val="center"/>
      </w:pPr>
      <w:r>
        <w:t>Posgrado e Investigación</w:t>
      </w:r>
    </w:p>
    <w:p>
      <w:pPr>
        <w:jc w:val="center"/>
      </w:pPr>
      <w:r/>
    </w:p>
    <w:p>
      <w:pPr>
        <w:jc w:val="center"/>
      </w:pPr>
      <w:r>
        <w:rPr>
          <w:b/>
          <w:color w:val="9D1420"/>
          <w:sz w:val="38"/>
        </w:rPr>
        <w:t>Mercadotecnia y publicidad</w:t>
      </w:r>
    </w:p>
    <w:p>
      <w:pPr>
        <w:jc w:val="center"/>
      </w:pPr>
      <w:r>
        <w:t>Actividad 8 - Plan de Negocios</w:t>
      </w:r>
    </w:p>
    <w:p>
      <w:pPr>
        <w:jc w:val="center"/>
      </w:pPr>
      <w:r/>
    </w:p>
    <w:tbl>
      <w:tblPr>
        <w:tblW w:type="auto" w:w="0"/>
        <w:tblLook w:firstColumn="1" w:firstRow="1" w:lastColumn="0" w:lastRow="0" w:noHBand="0" w:noVBand="1" w:val="04A0"/>
      </w:tblPr>
      <w:tblGrid>
        <w:gridCol w:w="4680"/>
        <w:gridCol w:w="4680"/>
      </w:tblGrid>
      <w:tr>
        <w:tc>
          <w:tcPr>
            <w:tcW w:type="dxa" w:w="4680"/>
          </w:tcPr>
          <w:p>
            <w:r>
              <w:t>Estudiante</w:t>
            </w:r>
          </w:p>
        </w:tc>
        <w:tc>
          <w:tcPr>
            <w:tcW w:type="dxa" w:w="4680"/>
          </w:tcPr>
          <w:p>
            <w:r>
              <w:t>Martín Jonathan de la Cruz Muñoz</w:t>
            </w:r>
          </w:p>
        </w:tc>
      </w:tr>
      <w:tr>
        <w:tc>
          <w:tcPr>
            <w:tcW w:type="dxa" w:w="4680"/>
          </w:tcPr>
          <w:p>
            <w:r>
              <w:t>Matrícula</w:t>
            </w:r>
          </w:p>
        </w:tc>
        <w:tc>
          <w:tcPr>
            <w:tcW w:type="dxa" w:w="4680"/>
          </w:tcPr>
          <w:p>
            <w:r>
              <w:t>26130503</w:t>
            </w:r>
          </w:p>
        </w:tc>
      </w:tr>
      <w:tr>
        <w:tc>
          <w:tcPr>
            <w:tcW w:type="dxa" w:w="4680"/>
          </w:tcPr>
          <w:p>
            <w:r>
              <w:t>Correo institucional</w:t>
            </w:r>
          </w:p>
        </w:tc>
        <w:tc>
          <w:tcPr>
            <w:tcW w:type="dxa" w:w="4680"/>
          </w:tcPr>
          <w:p>
            <w:r>
              <w:t>26130503@cajeme.tecnm.mx</w:t>
            </w:r>
          </w:p>
        </w:tc>
      </w:tr>
      <w:tr>
        <w:tc>
          <w:tcPr>
            <w:tcW w:type="dxa" w:w="4680"/>
          </w:tcPr>
          <w:p>
            <w:r>
              <w:t>Docente</w:t>
            </w:r>
          </w:p>
        </w:tc>
        <w:tc>
          <w:tcPr>
            <w:tcW w:type="dxa" w:w="4680"/>
          </w:tcPr>
          <w:p>
            <w:r>
              <w:t>Celia Velázquez Reyna</w:t>
            </w:r>
          </w:p>
        </w:tc>
      </w:tr>
      <w:tr>
        <w:tc>
          <w:tcPr>
            <w:tcW w:type="dxa" w:w="4680"/>
          </w:tcPr>
          <w:p>
            <w:r>
              <w:t>Periodo</w:t>
            </w:r>
          </w:p>
        </w:tc>
        <w:tc>
          <w:tcPr>
            <w:tcW w:type="dxa" w:w="4680"/>
          </w:tcPr>
          <w:p>
            <w:r>
              <w:t>2026-II</w:t>
            </w:r>
          </w:p>
        </w:tc>
      </w:tr>
      <w:tr>
        <w:tc>
          <w:tcPr>
            <w:tcW w:type="dxa" w:w="4680"/>
          </w:tcPr>
          <w:p>
            <w:r>
              <w:t>Fecha de realización</w:t>
            </w:r>
          </w:p>
        </w:tc>
        <w:tc>
          <w:tcPr>
            <w:tcW w:type="dxa" w:w="4680"/>
          </w:tcPr>
          <w:p>
            <w:r>
              <w:t>23 de septiembre de 2026</w:t>
            </w:r>
          </w:p>
        </w:tc>
      </w:tr>
      <w:tr>
        <w:tc>
          <w:tcPr>
            <w:tcW w:type="dxa" w:w="4680"/>
          </w:tcPr>
          <w:p>
            <w:r>
              <w:t>Lugar</w:t>
            </w:r>
          </w:p>
        </w:tc>
        <w:tc>
          <w:tcPr>
            <w:tcW w:type="dxa" w:w="4680"/>
          </w:tcPr>
          <w:p>
            <w:r>
              <w:t>Monterrey, Nuevo León</w:t>
            </w:r>
          </w:p>
        </w:tc>
      </w:tr>
    </w:tbl>
    <w:p>
      <w:r>
        <w:br w:type="page"/>
      </w:r>
    </w:p>
    <w:bookmarkStart w:id="20" w:name="introducción"/>
    <w:p>
      <w:pPr>
        <w:pStyle w:val="Heading1"/>
      </w:pPr>
      <w:r>
        <w:t xml:space="preserve">Introducción</w:t>
      </w:r>
    </w:p>
    <w:p>
      <w:pPr>
        <w:pStyle w:val="FirstParagraph"/>
      </w:pPr>
      <w:r>
        <w:t xml:space="preserve">La estrategia de mercadotecnia para</w:t>
      </w:r>
      <w:r>
        <w:t xml:space="preserve"> </w:t>
      </w:r>
      <w:r>
        <w:rPr>
          <w:b/>
          <w:bCs/>
        </w:rPr>
        <w:t xml:space="preserve">AM Taller Autocentro</w:t>
      </w:r>
      <w:r>
        <w:t xml:space="preserve"> </w:t>
      </w:r>
      <w:r>
        <w:t xml:space="preserve">debe construir un primer contacto claro con el mercado sin prometer capacidades que todavía no han sido verificadas. El problema central consiste en comunicar mecánica, llantas y refacciones como una propuesta organizada de atención automotriz, manteniendo visibles las restricciones reales del proyecto. Por ello, la comunicación se diseña como hipótesis operativa: busca orientar al cliente potencial y, al mismo tiempo, proteger al proyecto frente a afirmaciones no sustentadas.</w:t>
      </w:r>
    </w:p>
    <w:p>
      <w:pPr>
        <w:pStyle w:val="BodyText"/>
      </w:pPr>
      <w:r>
        <w:t xml:space="preserve">La identidad disponible comprende un emblema circular dorado, tipografía oscura y el lema</w:t>
      </w:r>
      <w:r>
        <w:t xml:space="preserve"> </w:t>
      </w:r>
      <w:r>
        <w:t xml:space="preserve">“Pasión por los autos. Compromiso contigo.”</w:t>
      </w:r>
      <w:r>
        <w:t xml:space="preserve">. Estos elementos se conservan sin modificar ni atribuir titularidad. El análisis parte de un mercado objetivo preliminar conformado por personas que requieren mantenimiento mecánico, revisión de llantas o consulta de refacciones, pero ese supuesto deberá confirmarse con evidencia de territorio, necesidades, hábitos digitales y capacidad de atención.</w:t>
      </w:r>
    </w:p>
    <w:bookmarkEnd w:id="20"/>
    <w:bookmarkStart w:id="32" w:name="estrategia-de-mercadotecnia-y-publicidad"/>
    <w:p>
      <w:pPr>
        <w:pStyle w:val="Heading1"/>
      </w:pPr>
      <w:r>
        <w:t xml:space="preserve">Estrategia de mercadotecnia y publicidad</w:t>
      </w:r>
    </w:p>
    <w:bookmarkStart w:id="21" w:name="criterios-de-preparación-y-verificación"/>
    <w:p>
      <w:pPr>
        <w:pStyle w:val="Heading2"/>
      </w:pPr>
      <w:r>
        <w:t xml:space="preserve">Criterios de preparación y verificación</w:t>
      </w:r>
    </w:p>
    <w:p>
      <w:pPr>
        <w:pStyle w:val="FirstParagraph"/>
      </w:pPr>
      <w:r>
        <w:t xml:space="preserve">La propuesta relaciona público, mensaje, canal y capacidad de respuesta. El material de la segunda competencia vincula imagen, investigación de mercado y publicidad</w:t>
      </w:r>
      <w:r>
        <w:t xml:space="preserve"> </w:t>
      </w:r>
      <w:r>
        <w:t xml:space="preserve">(</w:t>
      </w:r>
      <w:r>
        <w:rPr>
          <w:i/>
          <w:iCs/>
        </w:rPr>
        <w:t xml:space="preserve">Competencia 2</w:t>
      </w:r>
      <w:r>
        <w:t xml:space="preserve">, s. f.)</w:t>
      </w:r>
      <w:r>
        <w:t xml:space="preserve">; el glosario diferencia estos componentes</w:t>
      </w:r>
      <w:r>
        <w:t xml:space="preserve"> </w:t>
      </w:r>
      <w:r>
        <w:t xml:space="preserve">(</w:t>
      </w:r>
      <w:r>
        <w:rPr>
          <w:i/>
          <w:iCs/>
        </w:rPr>
        <w:t xml:space="preserve">Propuesta de Glosario de Conceptos</w:t>
      </w:r>
      <w:r>
        <w:t xml:space="preserve">, 2024)</w:t>
      </w:r>
      <w:r>
        <w:t xml:space="preserve">. La pieza visual conserva la identidad existente, mientras que la cobertura, los canales de contacto, los horarios y el presupuesto deben confirmarse antes de una publicación comercial.</w:t>
      </w:r>
    </w:p>
    <w:p>
      <w:pPr>
        <w:pStyle w:val="BodyText"/>
      </w:pPr>
      <w:r>
        <w:t xml:space="preserve">Se consideran errores bloqueantes la publicación de teléfonos, domicilios, precios o descuentos no confirmados; presentar referencias de catálogo como existencias; prometer resultados mecánicos sin diagnóstico; y afirmar que AM Taller Autocentro ya opera comercialmente. También debe evitarse habilitar canales sin una persona responsable ni un proceso definido de respuesta.</w:t>
      </w:r>
    </w:p>
    <w:bookmarkEnd w:id="21"/>
    <w:bookmarkStart w:id="22" w:name="objetivo-de-comunicación"/>
    <w:p>
      <w:pPr>
        <w:pStyle w:val="Heading2"/>
      </w:pPr>
      <w:r>
        <w:t xml:space="preserve">Objetivo de comunicación</w:t>
      </w:r>
    </w:p>
    <w:p>
      <w:pPr>
        <w:pStyle w:val="FirstParagraph"/>
      </w:pPr>
      <w:r>
        <w:t xml:space="preserve">El objetivo es presentar a AM Taller Autocentro como una propuesta de atención automotriz que integra mecánica, llantas y consulta de refacciones mediante un proceso organizado de revisión, cotización y programación de citas. La comunicación facilita el primer contacto sin prometer disponibilidad, compatibilidad, tiempos de entrega o resultados que todavía no hayan sido comprobados.</w:t>
      </w:r>
    </w:p>
    <w:bookmarkEnd w:id="22"/>
    <w:bookmarkStart w:id="23" w:name="flyer-textual-propuesto"/>
    <w:p>
      <w:pPr>
        <w:pStyle w:val="Heading2"/>
      </w:pPr>
      <w:r>
        <w:t xml:space="preserve">Flyer textual propuesto</w:t>
      </w:r>
    </w:p>
    <w:p>
      <w:pPr>
        <w:pStyle w:val="FirstParagraph"/>
      </w:pPr>
      <w:r>
        <w:rPr>
          <w:b/>
          <w:bCs/>
        </w:rPr>
        <w:t xml:space="preserve">AM Taller Autocentro</w:t>
      </w:r>
    </w:p>
    <w:p>
      <w:pPr>
        <w:pStyle w:val="BodyText"/>
      </w:pPr>
      <w:r>
        <w:rPr>
          <w:b/>
          <w:bCs/>
        </w:rPr>
        <w:t xml:space="preserve">Mecánica, llantas y refacciones bajo revisión y cotización</w:t>
      </w:r>
    </w:p>
    <w:p>
      <w:pPr>
        <w:pStyle w:val="BodyText"/>
      </w:pPr>
      <w:r>
        <w:t xml:space="preserve">¿Tu automóvil necesita atención? Solicita información para programar una revisión de sus necesidades de mantenimiento, condición de las llantas o requerimientos de refacciones.</w:t>
      </w:r>
    </w:p>
    <w:p>
      <w:pPr>
        <w:numPr>
          <w:ilvl w:val="0"/>
          <w:numId w:val="1001"/>
        </w:numPr>
      </w:pPr>
      <w:r>
        <w:t xml:space="preserve">Orientación inicial sobre servicios de mecánica sujetos a diagnóstico.</w:t>
      </w:r>
    </w:p>
    <w:p>
      <w:pPr>
        <w:numPr>
          <w:ilvl w:val="0"/>
          <w:numId w:val="1001"/>
        </w:numPr>
      </w:pPr>
      <w:r>
        <w:t xml:space="preserve">Consulta de opciones de llantas conforme a la medida previamente confirmada.</w:t>
      </w:r>
    </w:p>
    <w:p>
      <w:pPr>
        <w:numPr>
          <w:ilvl w:val="0"/>
          <w:numId w:val="1001"/>
        </w:numPr>
      </w:pPr>
      <w:r>
        <w:t xml:space="preserve">Búsqueda de referencias de refacciones sujeta a compatibilidad y cotización.</w:t>
      </w:r>
    </w:p>
    <w:p>
      <w:pPr>
        <w:numPr>
          <w:ilvl w:val="0"/>
          <w:numId w:val="1001"/>
        </w:numPr>
      </w:pPr>
      <w:r>
        <w:t xml:space="preserve">Programación propuesta de citas para organizar la atención.</w:t>
      </w:r>
    </w:p>
    <w:p>
      <w:pPr>
        <w:pStyle w:val="FirstParagraph"/>
      </w:pPr>
      <w:r>
        <w:rPr>
          <w:b/>
          <w:bCs/>
        </w:rPr>
        <w:t xml:space="preserve">Pasión por los autos. Compromiso contigo.</w:t>
      </w:r>
    </w:p>
    <w:p>
      <w:pPr>
        <w:pStyle w:val="BodyText"/>
      </w:pPr>
      <w:r>
        <w:t xml:space="preserve">El canal propuesto para solicitar información es</w:t>
      </w:r>
      <w:r>
        <w:t xml:space="preserve"> </w:t>
      </w:r>
      <w:r>
        <w:rPr>
          <w:b/>
          <w:bCs/>
        </w:rPr>
        <w:t xml:space="preserve">WhatsApp Business</w:t>
      </w:r>
      <w:r>
        <w:t xml:space="preserve">; su número sólo se añadirá cuando exista una cuenta autorizada. La ventana propuesta de recepción es de 09:00 a 18:00, con una hora no operativa y calendario sujeto a la capacidad definida. No se presenta como un horario de una sucursal ya abierta. La disponibilidad, compatibilidad y alcance deberán confirmarse mediante cotización antes de cada operación.</w:t>
      </w:r>
    </w:p>
    <w:p>
      <w:pPr>
        <w:pStyle w:val="BodyText"/>
      </w:pPr>
      <w:r>
        <w:t xml:space="preserve">Para la composición visual se propone colocar el emblema circular dorado en la parte superior y, debajo, el nombre del proyecto con tipografía oscura y legible. El mensaje principal ocuparía la zona central, acompañado de una imagen autorizada relacionada con el cuidado automotriz. En la parte inferior se ubicarían el lema, el llamado a solicitar información y los datos de contacto confirmados. La pieza no deberá incorporar marcas de terceros, fotografías sin permiso, precios, existencias, descuentos ni un domicilio no autorizado.</w:t>
      </w:r>
    </w:p>
    <w:bookmarkEnd w:id="23"/>
    <w:bookmarkStart w:id="27" w:name="diseño-publicitario"/>
    <w:p>
      <w:pPr>
        <w:pStyle w:val="Heading2"/>
      </w:pPr>
      <w:r>
        <w:t xml:space="preserve">Diseño publicitario</w:t>
      </w:r>
    </w:p>
    <w:p>
      <w:pPr>
        <w:pStyle w:val="FirstParagraph"/>
      </w:pPr>
      <w:r>
        <w:t xml:space="preserve">La propuesta visual utiliza el logotipo local, la paleta oscura y dorada y el lema existente. El llamado a cotizar no promete diagnóstico gratuito, inventario ni resultados. Se omiten contacto y horario hasta confirmarlos; la pieza es un diseño académico, no un anuncio publicado.</w:t>
      </w:r>
    </w:p>
    <w:p>
      <w:pPr>
        <w:pStyle w:val="BodyText"/>
      </w:pPr>
      <w:r>
        <w:drawing>
          <wp:inline>
            <wp:extent cx="4846320" cy="6230983"/>
            <wp:effectExtent b="0" l="0" r="0" t="0"/>
            <wp:docPr descr="image" title="" id="25" name="Picture"/>
            <a:graphic>
              <a:graphicData uri="http://schemas.openxmlformats.org/drawingml/2006/picture">
                <pic:pic>
                  <pic:nvPicPr>
                    <pic:cNvPr descr="ITESCA/maestria-en-gestion-administrativa/plan-de-negocios-mga/assets-plan-de-negocios/flyer-am-taller-propuesta.png" id="26" name="Picture"/>
                    <pic:cNvPicPr>
                      <a:picLocks noChangeArrowheads="1" noChangeAspect="1"/>
                    </pic:cNvPicPr>
                  </pic:nvPicPr>
                  <pic:blipFill>
                    <a:blip r:embed="rId24"/>
                    <a:stretch>
                      <a:fillRect/>
                    </a:stretch>
                  </pic:blipFill>
                  <pic:spPr bwMode="auto">
                    <a:xfrm>
                      <a:off x="0" y="0"/>
                      <a:ext cx="4846320" cy="6230983"/>
                    </a:xfrm>
                    <a:prstGeom prst="rect">
                      <a:avLst/>
                    </a:prstGeom>
                    <a:noFill/>
                    <a:ln w="9525">
                      <a:noFill/>
                      <a:headEnd/>
                      <a:tailEnd/>
                    </a:ln>
                  </pic:spPr>
                </pic:pic>
              </a:graphicData>
            </a:graphic>
          </wp:inline>
        </w:drawing>
      </w:r>
    </w:p>
    <w:bookmarkEnd w:id="27"/>
    <w:bookmarkStart w:id="28" w:name="X28ab97af167419c8f99d0994e77f2d4da081528"/>
    <w:p>
      <w:pPr>
        <w:pStyle w:val="Heading2"/>
      </w:pPr>
      <w:r>
        <w:t xml:space="preserve">Introducción al mercado, canales y promociones</w:t>
      </w:r>
    </w:p>
    <w:p>
      <w:pPr>
        <w:pStyle w:val="FirstParagraph"/>
      </w:pPr>
      <w:r>
        <w:t xml:space="preserve">La introducción se plantea en tres momentos. En la</w:t>
      </w:r>
      <w:r>
        <w:t xml:space="preserve"> </w:t>
      </w:r>
      <w:r>
        <w:rPr>
          <w:b/>
          <w:bCs/>
        </w:rPr>
        <w:t xml:space="preserve">preparación</w:t>
      </w:r>
      <w:r>
        <w:t xml:space="preserve"> </w:t>
      </w:r>
      <w:r>
        <w:t xml:space="preserve">se confirmarían los servicios que pueden comunicarse, la capacidad de atención, el procedimiento de citas, los responsables de los canales y los criterios de cotización. En la</w:t>
      </w:r>
      <w:r>
        <w:t xml:space="preserve"> </w:t>
      </w:r>
      <w:r>
        <w:rPr>
          <w:b/>
          <w:bCs/>
        </w:rPr>
        <w:t xml:space="preserve">difusión inicial</w:t>
      </w:r>
      <w:r>
        <w:t xml:space="preserve"> </w:t>
      </w:r>
      <w:r>
        <w:t xml:space="preserve">se publicaría el flyer junto con contenidos que expliquen el proceso para solicitar información, concentrando la comunicación en las categorías generales de mecánica, llantas y refacciones. En el</w:t>
      </w:r>
      <w:r>
        <w:t xml:space="preserve"> </w:t>
      </w:r>
      <w:r>
        <w:rPr>
          <w:b/>
          <w:bCs/>
        </w:rPr>
        <w:t xml:space="preserve">seguimiento</w:t>
      </w:r>
      <w:r>
        <w:t xml:space="preserve"> </w:t>
      </w:r>
      <w:r>
        <w:t xml:space="preserve">se registrarían consultas, categorías solicitadas, citas propuestas, cotizaciones elaboradas y motivos de no atención para ajustar los mensajes sin confundir consultas con ventas.</w:t>
      </w:r>
    </w:p>
    <w:p>
      <w:pPr>
        <w:pStyle w:val="BodyText"/>
      </w:pPr>
      <w:r>
        <w:t xml:space="preserve">Los canales digitales propuestos son Facebook, Instagram, WhatsApp Business y, de manera condicionada, un perfil empresarial en mapas si existe una ubicación pública y autorizada. Todos deberán mantener el mismo nombre, emblema, lema y tono informativo. Las respuestas deben indicar cuándo una solicitud requiere revisión técnica y evitar diagnósticos personalizados basados únicamente en mensajes o fotografías.</w:t>
      </w:r>
    </w:p>
    <w:p>
      <w:pPr>
        <w:pStyle w:val="BodyText"/>
      </w:pPr>
      <w:r>
        <w:t xml:space="preserve">La promoción inicial propuesta consiste en cita programada, recordatorio voluntario y presupuesto desglosado sin recargo administrativo. No incluye diagnóstico mecánico gratuito, refacciones de obsequio ni descuentos sobre costos desconocidos. Se limita a veinte solicitudes durante el piloto y a un máximo de nueve minutos de adaptación o atención administrativa por solicitud: tres horas en total, presupuestadas en 300 pesos como costo interno estimado. Si se rebasa ese límite debe ajustarse el alcance antes de ofrecerlo. Las colaboraciones pagadas y los paquetes con descuento se excluyen de esta primera etapa.</w:t>
      </w:r>
    </w:p>
    <w:p>
      <w:pPr>
        <w:pStyle w:val="BodyText"/>
      </w:pPr>
      <w:r>
        <w:t xml:space="preserve">Para evaluar la introducción se registrarán consultas por canal, cotizaciones solicitadas, citas confirmadas y servicios efectivamente realizados, conservando denominadores comparables. Las consultas no se contarán como ventas. La elección de canales y mensajes deberá ajustarse con evidencia del estudio de mercado, cuyo diseño debe responder a objetivos concretos de información</w:t>
      </w:r>
      <w:r>
        <w:t xml:space="preserve"> </w:t>
      </w:r>
      <w:r>
        <w:t xml:space="preserve">(Gomez Albrecht et al., 2023)</w:t>
      </w:r>
      <w:r>
        <w:t xml:space="preserve">.</w:t>
      </w:r>
    </w:p>
    <w:bookmarkEnd w:id="28"/>
    <w:bookmarkStart w:id="29" w:name="Xeba98af85735e344852f87d28b7a1db5802200f"/>
    <w:p>
      <w:pPr>
        <w:pStyle w:val="Heading2"/>
      </w:pPr>
      <w:r>
        <w:t xml:space="preserve">Referencia comercial local y comparación de proveedores</w:t>
      </w:r>
    </w:p>
    <w:p>
      <w:pPr>
        <w:pStyle w:val="FirstParagraph"/>
      </w:pPr>
      <w:r>
        <w:t xml:space="preserve">La consulta del 23 de septiembre de 2026 identificó una oferta pública de</w:t>
      </w:r>
      <w:r>
        <w:t xml:space="preserve"> </w:t>
      </w:r>
      <w:r>
        <w:rPr>
          <w:b/>
          <w:bCs/>
        </w:rPr>
        <w:t xml:space="preserve">Volanteo en Monterrey</w:t>
      </w:r>
      <w:r>
        <w:t xml:space="preserve">: cuatro mil volantes de media carta, una cara a color, papel couché de 135 g, por</w:t>
      </w:r>
      <w:r>
        <w:t xml:space="preserve"> </w:t>
      </w:r>
      <w:r>
        <w:rPr>
          <w:b/>
          <w:bCs/>
        </w:rPr>
        <w:t xml:space="preserve">1,500 pesos MXN</w:t>
      </w:r>
      <w:r>
        <w:t xml:space="preserve">, mostrados como</w:t>
      </w:r>
      <w:r>
        <w:t xml:space="preserve"> </w:t>
      </w:r>
      <w:r>
        <w:t xml:space="preserve">“precio final”</w:t>
      </w:r>
      <w:r>
        <w:t xml:space="preserve">, con plazo anunciado de tres a cinco días</w:t>
      </w:r>
      <w:r>
        <w:t xml:space="preserve"> </w:t>
      </w:r>
      <w:r>
        <w:t xml:space="preserve">(Volanteo en Monterrey, s. f.b)</w:t>
      </w:r>
      <w:r>
        <w:t xml:space="preserve">. Es una referencia publicada, no una cotización formal emitida para AM Taller ni una confirmación de disponibilidad o vigencia.</w:t>
      </w:r>
    </w:p>
    <w:p>
      <w:pPr>
        <w:pStyle w:val="BodyText"/>
      </w:pPr>
      <w:r>
        <w:t xml:space="preserve">Las condiciones de envío advierten que el gasto varía según la zona, aunque la tabla del sitio muestre cero. Por esa contradicción no se da por gratuito el envío. Tampoco se agrega automáticamente IVA a un precio denominado final: se debe pedir su desglose y el importe total por escrito</w:t>
      </w:r>
      <w:r>
        <w:t xml:space="preserve"> </w:t>
      </w:r>
      <w:r>
        <w:t xml:space="preserve">(Volanteo en Monterrey, s. f.a)</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Proveedor</w:t>
            </w:r>
          </w:p>
        </w:tc>
        <w:tc>
          <w:tcPr/>
          <w:p>
            <w:pPr>
              <w:pStyle w:val="Compact"/>
              <w:jc w:val="left"/>
            </w:pPr>
            <w:r>
              <w:rPr>
                <w:b/>
                <w:bCs/>
              </w:rPr>
              <w:t xml:space="preserve">Servicio y presencia local publicados</w:t>
            </w:r>
          </w:p>
        </w:tc>
        <w:tc>
          <w:tcPr/>
          <w:p>
            <w:pPr>
              <w:pStyle w:val="Compact"/>
              <w:jc w:val="left"/>
            </w:pPr>
            <w:r>
              <w:rPr>
                <w:b/>
                <w:bCs/>
              </w:rPr>
              <w:t xml:space="preserve">Precio comparable</w:t>
            </w:r>
          </w:p>
        </w:tc>
      </w:tr>
      <w:tr>
        <w:tc>
          <w:tcPr/>
          <w:p>
            <w:pPr>
              <w:pStyle w:val="Compact"/>
              <w:jc w:val="left"/>
            </w:pPr>
            <w:r>
              <w:t xml:space="preserve">Volanteo en Monterrey</w:t>
            </w:r>
          </w:p>
        </w:tc>
        <w:tc>
          <w:tcPr/>
          <w:p>
            <w:pPr>
              <w:pStyle w:val="Compact"/>
              <w:jc w:val="left"/>
            </w:pPr>
            <w:r>
              <w:t xml:space="preserve">4,000 volantes, media carta, una cara a color, couché 135 g; servicio anunciado para Monterrey.</w:t>
            </w:r>
          </w:p>
        </w:tc>
        <w:tc>
          <w:tcPr/>
          <w:p>
            <w:pPr>
              <w:pStyle w:val="Compact"/>
              <w:jc w:val="left"/>
            </w:pPr>
            <w:r>
              <w:t xml:space="preserve">1,500 MXN publicados; confirmar vigencia y envío.</w:t>
            </w:r>
          </w:p>
        </w:tc>
      </w:tr>
      <w:tr>
        <w:tc>
          <w:tcPr/>
          <w:p>
            <w:pPr>
              <w:pStyle w:val="Compact"/>
              <w:jc w:val="left"/>
            </w:pPr>
            <w:r>
              <w:t xml:space="preserve">Más Imprenta</w:t>
            </w:r>
          </w:p>
        </w:tc>
        <w:tc>
          <w:tcPr/>
          <w:p>
            <w:pPr>
              <w:pStyle w:val="Compact"/>
              <w:jc w:val="left"/>
            </w:pPr>
            <w:r>
              <w:t xml:space="preserve">Volantes en distintas medidas. Eugenio Garza Sada 4300-A, Las Brisas, Monterrey.</w:t>
            </w:r>
          </w:p>
        </w:tc>
        <w:tc>
          <w:tcPr/>
          <w:p>
            <w:pPr>
              <w:pStyle w:val="Compact"/>
              <w:jc w:val="left"/>
            </w:pPr>
            <w:r>
              <w:t xml:space="preserve">No publicado para esas especificaciones; solicitar.</w:t>
            </w:r>
          </w:p>
        </w:tc>
      </w:tr>
      <w:tr>
        <w:tc>
          <w:tcPr/>
          <w:p>
            <w:pPr>
              <w:pStyle w:val="Compact"/>
              <w:jc w:val="left"/>
            </w:pPr>
            <w:r>
              <w:t xml:space="preserve">Creatividad Promocional</w:t>
            </w:r>
          </w:p>
        </w:tc>
        <w:tc>
          <w:tcPr/>
          <w:p>
            <w:pPr>
              <w:pStyle w:val="Compact"/>
              <w:jc w:val="left"/>
            </w:pPr>
            <w:r>
              <w:t xml:space="preserve">Volantes media carta y cotización según papel y cantidad. Sucursal publicada en Juan Zuazua 331, Centro, Monterrey.</w:t>
            </w:r>
          </w:p>
        </w:tc>
        <w:tc>
          <w:tcPr/>
          <w:p>
            <w:pPr>
              <w:pStyle w:val="Compact"/>
              <w:jc w:val="left"/>
            </w:pPr>
            <w:r>
              <w:t xml:space="preserve">No publicado; solicitar cotización equivalente.</w:t>
            </w:r>
          </w:p>
        </w:tc>
      </w:tr>
    </w:tbl>
    <w:p>
      <w:pPr>
        <w:pStyle w:val="BodyText"/>
      </w:pPr>
      <w:r>
        <w:t xml:space="preserve">Las dos alternativas acreditan oferta local de impresión, pero no se les asigna un precio inexistente</w:t>
      </w:r>
      <w:r>
        <w:t xml:space="preserve"> </w:t>
      </w:r>
      <w:r>
        <w:t xml:space="preserve">(Creatividad Promocional de Monterrey, s. f.; Más Imprenta, s. f.)</w:t>
      </w:r>
      <w:r>
        <w:t xml:space="preserve">. No puede afirmarse que la primera sea la más barata del mercado con una sola referencia cuantificada. Antes de contratar se pedirán las mismas características a los tres proveedores: cantidad, tamaño final, gramaje, caras, color, revisión de archivo, diseño, sangrado, fecha, IVA, entrega y vigencia. El arte actual necesita revisión de preprensa y ajuste a media carta antes de imprimirse.</w:t>
      </w:r>
    </w:p>
    <w:bookmarkEnd w:id="29"/>
    <w:bookmarkStart w:id="30" w:name="Xf7f7d4aba6a97645de352180c37323b66c0caf4"/>
    <w:p>
      <w:pPr>
        <w:pStyle w:val="Heading2"/>
      </w:pPr>
      <w:r>
        <w:t xml:space="preserve">Presupuesto propuesto para un piloto de treinta días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Concepto</w:t>
            </w:r>
          </w:p>
        </w:tc>
        <w:tc>
          <w:tcPr/>
          <w:p>
            <w:pPr>
              <w:pStyle w:val="Compact"/>
              <w:jc w:val="left"/>
            </w:pPr>
            <w:r>
              <w:rPr>
                <w:b/>
                <w:bCs/>
              </w:rPr>
              <w:t xml:space="preserve">Base del importe</w:t>
            </w:r>
          </w:p>
        </w:tc>
        <w:tc>
          <w:tcPr/>
          <w:p>
            <w:pPr>
              <w:pStyle w:val="Compact"/>
              <w:jc w:val="left"/>
            </w:pPr>
            <w:r>
              <w:rPr>
                <w:b/>
                <w:bCs/>
              </w:rPr>
              <w:t xml:space="preserve">MXN</w:t>
            </w:r>
          </w:p>
        </w:tc>
      </w:tr>
      <w:tr>
        <w:tc>
          <w:tcPr/>
          <w:p>
            <w:pPr>
              <w:pStyle w:val="Compact"/>
              <w:jc w:val="left"/>
            </w:pPr>
            <w:r>
              <w:t xml:space="preserve">Impresión de 4,000 volantes</w:t>
            </w:r>
          </w:p>
        </w:tc>
        <w:tc>
          <w:tcPr/>
          <w:p>
            <w:pPr>
              <w:pStyle w:val="Compact"/>
              <w:jc w:val="left"/>
            </w:pPr>
            <w:r>
              <w:t xml:space="preserve">Referencia pública, no confirmación formal</w:t>
            </w:r>
          </w:p>
        </w:tc>
        <w:tc>
          <w:tcPr/>
          <w:p>
            <w:pPr>
              <w:pStyle w:val="Compact"/>
              <w:jc w:val="left"/>
            </w:pPr>
            <w:r>
              <w:t xml:space="preserve">1,500</w:t>
            </w:r>
          </w:p>
        </w:tc>
      </w:tr>
      <w:tr>
        <w:tc>
          <w:tcPr/>
          <w:p>
            <w:pPr>
              <w:pStyle w:val="Compact"/>
              <w:jc w:val="left"/>
            </w:pPr>
            <w:r>
              <w:t xml:space="preserve">Pauta digital</w:t>
            </w:r>
          </w:p>
        </w:tc>
        <w:tc>
          <w:tcPr/>
          <w:p>
            <w:pPr>
              <w:pStyle w:val="Compact"/>
              <w:jc w:val="left"/>
            </w:pPr>
            <w:r>
              <w:t xml:space="preserve">Tope interno: 20 pesos por día durante 30 días</w:t>
            </w:r>
          </w:p>
        </w:tc>
        <w:tc>
          <w:tcPr/>
          <w:p>
            <w:pPr>
              <w:pStyle w:val="Compact"/>
              <w:jc w:val="left"/>
            </w:pPr>
            <w:r>
              <w:t xml:space="preserve">600</w:t>
            </w:r>
          </w:p>
        </w:tc>
      </w:tr>
      <w:tr>
        <w:tc>
          <w:tcPr/>
          <w:p>
            <w:pPr>
              <w:pStyle w:val="Compact"/>
              <w:jc w:val="left"/>
            </w:pPr>
            <w:r>
              <w:t xml:space="preserve">Distribución</w:t>
            </w:r>
          </w:p>
        </w:tc>
        <w:tc>
          <w:tcPr/>
          <w:p>
            <w:pPr>
              <w:pStyle w:val="Compact"/>
              <w:jc w:val="left"/>
            </w:pPr>
            <w:r>
              <w:t xml:space="preserve">Estimación interna: 8 horas a 100 pesos por hora</w:t>
            </w:r>
          </w:p>
        </w:tc>
        <w:tc>
          <w:tcPr/>
          <w:p>
            <w:pPr>
              <w:pStyle w:val="Compact"/>
              <w:jc w:val="left"/>
            </w:pPr>
            <w:r>
              <w:t xml:space="preserve">800</w:t>
            </w:r>
          </w:p>
        </w:tc>
      </w:tr>
      <w:tr>
        <w:tc>
          <w:tcPr/>
          <w:p>
            <w:pPr>
              <w:pStyle w:val="Compact"/>
              <w:jc w:val="left"/>
            </w:pPr>
            <w:r>
              <w:t xml:space="preserve">Adaptación y atención inicial</w:t>
            </w:r>
          </w:p>
        </w:tc>
        <w:tc>
          <w:tcPr/>
          <w:p>
            <w:pPr>
              <w:pStyle w:val="Compact"/>
              <w:jc w:val="left"/>
            </w:pPr>
            <w:r>
              <w:t xml:space="preserve">Estimación interna: 3 horas a 100 pesos por hora</w:t>
            </w:r>
          </w:p>
        </w:tc>
        <w:tc>
          <w:tcPr/>
          <w:p>
            <w:pPr>
              <w:pStyle w:val="Compact"/>
              <w:jc w:val="left"/>
            </w:pPr>
            <w:r>
              <w:t xml:space="preserve">300</w:t>
            </w:r>
          </w:p>
        </w:tc>
      </w:tr>
      <w:tr>
        <w:tc>
          <w:tcPr/>
          <w:p>
            <w:pPr>
              <w:pStyle w:val="Compact"/>
              <w:jc w:val="left"/>
            </w:pPr>
            <w:r>
              <w:t xml:space="preserve">Subtotal</w:t>
            </w:r>
          </w:p>
        </w:tc>
        <w:tc>
          <w:tcPr/>
          <w:p>
            <w:pPr>
              <w:pStyle w:val="Compact"/>
              <w:jc w:val="left"/>
            </w:pPr>
            <w:r>
              <w:t xml:space="preserve">Suma de partidas</w:t>
            </w:r>
          </w:p>
        </w:tc>
        <w:tc>
          <w:tcPr/>
          <w:p>
            <w:pPr>
              <w:pStyle w:val="Compact"/>
              <w:jc w:val="left"/>
            </w:pPr>
            <w:r>
              <w:t xml:space="preserve">3,200</w:t>
            </w:r>
          </w:p>
        </w:tc>
      </w:tr>
      <w:tr>
        <w:tc>
          <w:tcPr/>
          <w:p>
            <w:pPr>
              <w:pStyle w:val="Compact"/>
              <w:jc w:val="left"/>
            </w:pPr>
            <w:r>
              <w:t xml:space="preserve">Reserva</w:t>
            </w:r>
          </w:p>
        </w:tc>
        <w:tc>
          <w:tcPr/>
          <w:p>
            <w:pPr>
              <w:pStyle w:val="Compact"/>
              <w:jc w:val="left"/>
            </w:pPr>
            <w:r>
              <w:t xml:space="preserve">10 % del subtotal</w:t>
            </w:r>
          </w:p>
        </w:tc>
        <w:tc>
          <w:tcPr/>
          <w:p>
            <w:pPr>
              <w:pStyle w:val="Compact"/>
              <w:jc w:val="left"/>
            </w:pPr>
            <w:r>
              <w:t xml:space="preserve">320</w:t>
            </w:r>
          </w:p>
        </w:tc>
      </w:tr>
      <w:tr>
        <w:tc>
          <w:tcPr/>
          <w:p>
            <w:pPr>
              <w:pStyle w:val="Compact"/>
              <w:jc w:val="left"/>
            </w:pPr>
            <w:r>
              <w:rPr>
                <w:b/>
                <w:bCs/>
              </w:rPr>
              <w:t xml:space="preserve">Presupuesto inicial</w:t>
            </w:r>
          </w:p>
        </w:tc>
        <w:tc>
          <w:tcPr/>
          <w:p>
            <w:pPr>
              <w:pStyle w:val="Compact"/>
              <w:jc w:val="left"/>
            </w:pPr>
            <w:r>
              <w:rPr>
                <w:b/>
                <w:bCs/>
              </w:rPr>
              <w:t xml:space="preserve">Sujeto a aprobación</w:t>
            </w:r>
          </w:p>
        </w:tc>
        <w:tc>
          <w:tcPr/>
          <w:p>
            <w:pPr>
              <w:pStyle w:val="Compact"/>
              <w:jc w:val="left"/>
            </w:pPr>
            <w:r>
              <w:rPr>
                <w:b/>
                <w:bCs/>
              </w:rPr>
              <w:t xml:space="preserve">3,520</w:t>
            </w:r>
          </w:p>
        </w:tc>
      </w:tr>
    </w:tbl>
    <w:p>
      <w:pPr>
        <w:pStyle w:val="BodyText"/>
      </w:pPr>
      <w:r>
        <w:t xml:space="preserve">El precio unitario de referencia es</w:t>
      </w:r>
      <w:r>
        <w:t xml:space="preserve"> </w:t>
      </w:r>
      <m:oMath>
        <m:r>
          <m:t>1</m:t>
        </m:r>
        <m:r>
          <m:rPr>
            <m:sty m:val="p"/>
          </m:rPr>
          <m:t>,</m:t>
        </m:r>
        <m:r>
          <m:t>500</m:t>
        </m:r>
        <m:r>
          <m:rPr>
            <m:sty m:val="p"/>
          </m:rPr>
          <m:t>/</m:t>
        </m:r>
        <m:r>
          <m:t>4</m:t>
        </m:r>
        <m:r>
          <m:rPr>
            <m:sty m:val="p"/>
          </m:rPr>
          <m:t>,</m:t>
        </m:r>
        <m:r>
          <m:t>000</m:t>
        </m:r>
        <m:r>
          <m:rPr>
            <m:sty m:val="p"/>
          </m:rPr>
          <m:t>=</m:t>
        </m:r>
        <m:r>
          <m:t>0.375</m:t>
        </m:r>
      </m:oMath>
      <w:r>
        <w:t xml:space="preserve"> </w:t>
      </w:r>
      <w:r>
        <w:t xml:space="preserve">pesos por volante. La impresión no incluye reparto acreditado. Pauta, tiempo y reserva son decisiones de planeación, no precios cotizados por proveedores ni salarios comprobados. El monto final debe incorporar los ajustes de envío y tratamiento fiscal confirmados; si excede el techo, se requiere una nueva autorización o reducir el alcance, no consumir la reserva sin registro.</w:t>
      </w:r>
    </w:p>
    <w:p>
      <w:pPr>
        <w:pStyle w:val="BodyText"/>
      </w:pPr>
      <w:r>
        <w:t xml:space="preserve">Se propone distribuir primero 1,000 volantes en puntos con permiso y conservar los restantes como inventario, sin contabilizarlos como alcance efectivo. El presupuesto carga el costo del lote completo: no supone que el proveedor acepte cobrar proporcionalmente sólo mil unidades. La pauta se pausa si no existe personal para responder o si las solicitudes superan la capacidad disponible.</w:t>
      </w:r>
    </w:p>
    <w:bookmarkEnd w:id="30"/>
    <w:bookmarkStart w:id="31" w:name="responsables-calendario-y-control"/>
    <w:p>
      <w:pPr>
        <w:pStyle w:val="Heading2"/>
      </w:pPr>
      <w:r>
        <w:t xml:space="preserve">Responsables, calendario y control</w:t>
      </w:r>
    </w:p>
    <w:p>
      <w:pPr>
        <w:pStyle w:val="FirstParagraph"/>
      </w:pPr>
      <w:r>
        <w:t xml:space="preserve">La</w:t>
      </w:r>
      <w:r>
        <w:t xml:space="preserve"> </w:t>
      </w:r>
      <w:r>
        <w:rPr>
          <w:b/>
          <w:bCs/>
        </w:rPr>
        <w:t xml:space="preserve">coordinación general</w:t>
      </w:r>
      <w:r>
        <w:t xml:space="preserve"> </w:t>
      </w:r>
      <w:r>
        <w:t xml:space="preserve">autoriza el costo total, los derechos del logotipo y el alcance; no se realiza impresión antes de esos controles.</w:t>
      </w:r>
      <w:r>
        <w:t xml:space="preserve"> </w:t>
      </w:r>
      <w:r>
        <w:rPr>
          <w:b/>
          <w:bCs/>
        </w:rPr>
        <w:t xml:space="preserve">Recepción y ventas</w:t>
      </w:r>
      <w:r>
        <w:t xml:space="preserve"> </w:t>
      </w:r>
      <w:r>
        <w:t xml:space="preserve">configura el canal autorizado, responde en un máximo propuesto de un día hábil y registra consultas sin incluir datos innecesarios. El</w:t>
      </w:r>
      <w:r>
        <w:t xml:space="preserve"> </w:t>
      </w:r>
      <w:r>
        <w:rPr>
          <w:b/>
          <w:bCs/>
        </w:rPr>
        <w:t xml:space="preserve">responsable de compras</w:t>
      </w:r>
      <w:r>
        <w:t xml:space="preserve"> </w:t>
      </w:r>
      <w:r>
        <w:t xml:space="preserve">solicita y compara cotizaciones; quien haga la distribución registra cantidades y sitios autorizados. El</w:t>
      </w:r>
      <w:r>
        <w:t xml:space="preserve"> </w:t>
      </w:r>
      <w:r>
        <w:rPr>
          <w:b/>
          <w:bCs/>
        </w:rPr>
        <w:t xml:space="preserve">responsable técnico</w:t>
      </w:r>
      <w:r>
        <w:t xml:space="preserve"> </w:t>
      </w:r>
      <w:r>
        <w:t xml:space="preserve">valida que lo anunciado sea compatible con herramientas, personal y tiempos. Son asignaciones funcionales, no nombramientos o contrataciones ya realizados.</w:t>
      </w:r>
    </w:p>
    <w:p>
      <w:pPr>
        <w:pStyle w:val="BodyText"/>
      </w:pPr>
      <w:r>
        <w:t xml:space="preserve">La semana previa al piloto se valida la cotización, el arte, el canal y la capacidad. En la primera semana se inicia difusión limitada; en la segunda se revisan consultas y cargas; en la tercera se ajustan mensajes sin ampliar gasto; en la cuarta se evalúan resultados y se decide continuidad. Los recordatorios requieren consentimiento y se suspenden si la persona lo solicita. No se reutilizan respuestas del sondeo para publicidad sin autorización.</w:t>
      </w:r>
    </w:p>
    <w:p>
      <w:pPr>
        <w:pStyle w:val="BodyText"/>
      </w:pPr>
      <w:r>
        <w:t xml:space="preserve">Como prueba de sensibilidad, recuperar 3,520 pesos exigiría 24, 15 u 11 servicios adicionales si el margen de contribución por servicio fuera, respectivamente, de 150, 250 o 350 pesos. Esos márgenes son supuestos, no precios o utilidades comprobados. El cálculo usa el entero superior de presupuesto entre margen y no es el punto de equilibrio de todo el taller. La continuidad depende de observar margen y servicios adicionales reales, no de impresiones o seguidores.</w:t>
      </w:r>
    </w:p>
    <w:bookmarkEnd w:id="31"/>
    <w:bookmarkEnd w:id="32"/>
    <w:bookmarkStart w:id="49" w:name="conclusiones"/>
    <w:p>
      <w:pPr>
        <w:pStyle w:val="Heading1"/>
      </w:pPr>
      <w:r>
        <w:t xml:space="preserve">Conclusiones</w:t>
      </w:r>
    </w:p>
    <w:p>
      <w:pPr>
        <w:pStyle w:val="FirstParagraph"/>
      </w:pPr>
      <w:r>
        <w:t xml:space="preserve">La propuesta de mercadotecnia permite comunicar a AM Taller Autocentro con claridad sin exceder la evidencia disponible. El flyer, los canales sugeridos y la secuencia de introducción al mercado mantienen la identidad del proyecto y delimitan con cuidado lo que puede ofrecerse, lo que debe cotizarse y lo que todavía permanece en validación.</w:t>
      </w:r>
    </w:p>
    <w:p>
      <w:pPr>
        <w:pStyle w:val="BodyText"/>
      </w:pPr>
      <w:r>
        <w:t xml:space="preserve">La propuesta queda delimitada a Monterrey, con una pieza visual, canales, promoción acotada, presupuesto referencial y responsables por función. Su autorización comercial sigue condicionada a la cotización formal, los derechos del logotipo, el domicilio y los canales reales, y la capacidad para atender. No se contrató impresión, se pautaron anuncios ni se distribuyó publicidad durante esta elaboración.</w:t>
      </w:r>
      <w:r>
        <w:t xml:space="preserve"> </w:t>
      </w:r>
      <w:r>
        <w:rPr>
          <w:rStyle w:val="FootnoteReference"/>
        </w:rPr>
        <w:footnoteReference w:id="33"/>
      </w:r>
    </w:p>
    <w:bookmarkStart w:id="48" w:name="refs"/>
    <w:bookmarkStart w:id="35" w:name="ref-itescaCompetencia2"/>
    <w:p>
      <w:pPr>
        <w:pStyle w:val="Bibliography"/>
      </w:pPr>
      <w:r>
        <w:rPr>
          <w:i/>
          <w:iCs/>
        </w:rPr>
        <w:t xml:space="preserve">Competencia 2</w:t>
      </w:r>
      <w:r>
        <w:t xml:space="preserve">. (s. f.). Presentacion PowerPoint alojada en ITESCA Virtual, Plan de Negocios.</w:t>
      </w:r>
      <w:r>
        <w:t xml:space="preserve"> </w:t>
      </w:r>
      <w:hyperlink r:id="rId34">
        <w:r>
          <w:rPr>
            <w:rStyle w:val="Hyperlink"/>
          </w:rPr>
          <w:t xml:space="preserve">https://cursos3.e-itesca.edu.mx/mod/resource/view.php?id=6542</w:t>
        </w:r>
      </w:hyperlink>
    </w:p>
    <w:bookmarkEnd w:id="35"/>
    <w:bookmarkStart w:id="37" w:name="ref-creatividadPromocionalVolantes"/>
    <w:p>
      <w:pPr>
        <w:pStyle w:val="Bibliography"/>
      </w:pPr>
      <w:r>
        <w:t xml:space="preserve">Creatividad Promocional de Monterrey. (s. f.).</w:t>
      </w:r>
      <w:r>
        <w:t xml:space="preserve"> </w:t>
      </w:r>
      <w:r>
        <w:rPr>
          <w:i/>
          <w:iCs/>
        </w:rPr>
        <w:t xml:space="preserve">Impresión de volantes en monterrey</w:t>
      </w:r>
      <w:r>
        <w:t xml:space="preserve">.</w:t>
      </w:r>
      <w:r>
        <w:t xml:space="preserve"> </w:t>
      </w:r>
      <w:hyperlink r:id="rId36">
        <w:r>
          <w:rPr>
            <w:rStyle w:val="Hyperlink"/>
          </w:rPr>
          <w:t xml:space="preserve">https://www.promocional.com.mx/productos/impresion-publicitaria/volantes/</w:t>
        </w:r>
      </w:hyperlink>
    </w:p>
    <w:bookmarkEnd w:id="37"/>
    <w:bookmarkStart w:id="39" w:name="ref-albrechtMarketing2023"/>
    <w:p>
      <w:pPr>
        <w:pStyle w:val="Bibliography"/>
      </w:pPr>
      <w:r>
        <w:t xml:space="preserve">Gomez Albrecht, M., Green, M., &amp; Hoffman, L. (2023).</w:t>
      </w:r>
      <w:r>
        <w:t xml:space="preserve"> </w:t>
      </w:r>
      <w:r>
        <w:rPr>
          <w:i/>
          <w:iCs/>
        </w:rPr>
        <w:t xml:space="preserve">Principles of marketing</w:t>
      </w:r>
      <w:r>
        <w:t xml:space="preserve">. OpenStax, Rice University.</w:t>
      </w:r>
      <w:r>
        <w:t xml:space="preserve"> </w:t>
      </w:r>
      <w:hyperlink r:id="rId38">
        <w:r>
          <w:rPr>
            <w:rStyle w:val="Hyperlink"/>
          </w:rPr>
          <w:t xml:space="preserve">https://openstax.org/books/principles-marketing/pages/6-3-steps-in-a-successful-marketing-research-plan</w:t>
        </w:r>
      </w:hyperlink>
    </w:p>
    <w:bookmarkEnd w:id="39"/>
    <w:bookmarkStart w:id="41" w:name="ref-masImprentaMonterrey"/>
    <w:p>
      <w:pPr>
        <w:pStyle w:val="Bibliography"/>
      </w:pPr>
      <w:r>
        <w:t xml:space="preserve">Más Imprenta. (s. f.).</w:t>
      </w:r>
      <w:r>
        <w:t xml:space="preserve"> </w:t>
      </w:r>
      <w:r>
        <w:rPr>
          <w:i/>
          <w:iCs/>
        </w:rPr>
        <w:t xml:space="preserve">Impresiones offset y digital en monterrey</w:t>
      </w:r>
      <w:r>
        <w:t xml:space="preserve">.</w:t>
      </w:r>
      <w:r>
        <w:t xml:space="preserve"> </w:t>
      </w:r>
      <w:hyperlink r:id="rId40">
        <w:r>
          <w:rPr>
            <w:rStyle w:val="Hyperlink"/>
          </w:rPr>
          <w:t xml:space="preserve">https://www.masimprenta.com.mx/</w:t>
        </w:r>
      </w:hyperlink>
    </w:p>
    <w:bookmarkEnd w:id="41"/>
    <w:bookmarkStart w:id="43" w:name="ref-planNegociosGlosario2024"/>
    <w:p>
      <w:pPr>
        <w:pStyle w:val="Bibliography"/>
      </w:pPr>
      <w:r>
        <w:rPr>
          <w:i/>
          <w:iCs/>
        </w:rPr>
        <w:t xml:space="preserve">Propuesta de glosario de conceptos</w:t>
      </w:r>
      <w:r>
        <w:t xml:space="preserve">. (2024). Material alojado en ITESCA Virtual, modulo 6527.</w:t>
      </w:r>
      <w:r>
        <w:t xml:space="preserve"> </w:t>
      </w:r>
      <w:hyperlink r:id="rId42">
        <w:r>
          <w:rPr>
            <w:rStyle w:val="Hyperlink"/>
          </w:rPr>
          <w:t xml:space="preserve">https://cursos3.e-itesca.edu.mx/mod/resource/view.php?id=6527</w:t>
        </w:r>
      </w:hyperlink>
    </w:p>
    <w:bookmarkEnd w:id="43"/>
    <w:bookmarkStart w:id="45" w:name="ref-volanteoMonterreyEnvio"/>
    <w:p>
      <w:pPr>
        <w:pStyle w:val="Bibliography"/>
      </w:pPr>
      <w:r>
        <w:t xml:space="preserve">Volanteo en Monterrey. (s. f.a).</w:t>
      </w:r>
      <w:r>
        <w:t xml:space="preserve"> </w:t>
      </w:r>
      <w:r>
        <w:rPr>
          <w:i/>
          <w:iCs/>
        </w:rPr>
        <w:t xml:space="preserve">Condiciones de pago y envío</w:t>
      </w:r>
      <w:r>
        <w:t xml:space="preserve">.</w:t>
      </w:r>
      <w:r>
        <w:t xml:space="preserve"> </w:t>
      </w:r>
      <w:hyperlink r:id="rId44">
        <w:r>
          <w:rPr>
            <w:rStyle w:val="Hyperlink"/>
          </w:rPr>
          <w:t xml:space="preserve">https://www.volanteoenmonterrey.com.mx/j/shop/deliveryinfo</w:t>
        </w:r>
      </w:hyperlink>
    </w:p>
    <w:bookmarkEnd w:id="45"/>
    <w:bookmarkStart w:id="47" w:name="ref-volanteoMonterreyPromociones"/>
    <w:p>
      <w:pPr>
        <w:pStyle w:val="Bibliography"/>
      </w:pPr>
      <w:r>
        <w:t xml:space="preserve">Volanteo en Monterrey. (s. f.b).</w:t>
      </w:r>
      <w:r>
        <w:t xml:space="preserve"> </w:t>
      </w:r>
      <w:r>
        <w:rPr>
          <w:i/>
          <w:iCs/>
        </w:rPr>
        <w:t xml:space="preserve">Promociones: Impresión de cuatro mil volantes</w:t>
      </w:r>
      <w:r>
        <w:t xml:space="preserve">.</w:t>
      </w:r>
      <w:r>
        <w:t xml:space="preserve"> </w:t>
      </w:r>
      <w:hyperlink r:id="rId46">
        <w:r>
          <w:rPr>
            <w:rStyle w:val="Hyperlink"/>
          </w:rPr>
          <w:t xml:space="preserve">https://www.volanteoenmonterrey.com.mx/promociones/</w:t>
        </w:r>
      </w:hyperlink>
    </w:p>
    <w:bookmarkEnd w:id="47"/>
    <w:bookmarkEnd w:id="48"/>
    <w:bookmarkEnd w:id="49"/>
    <w:sectPr>
      <w:headerReference w:type="default" r:id="rId9"/>
      <w:footerReference w:type="default" r:id="rId10"/>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Plan de Negocios | Martín Jonathan de la Cruz Muñoz</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3">
    <w:p>
      <w:pPr>
        <w:pStyle w:val="FootnoteText"/>
      </w:pPr>
      <w:r>
        <w:rPr>
          <w:rStyle w:val="FootnoteReference"/>
        </w:rPr>
        <w:footnoteRef/>
      </w:r>
      <w:r>
        <w:t xml:space="preserve"> </w:t>
      </w:r>
      <w:r>
        <w:t xml:space="preserve">Se utilizó asistencia de inteligencia artificial para componer la pieza académica y revisar la estrategia. Se reutilizó el logotipo existente sin atribuir nueva autoría; no se publicó la campaña ni se generaron resultados comerciales.</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ITESCA | Maestría en Gestión Administrativa</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Arial" w:hAnsi="Arial"/>
      <w:color w:val="9D1420"/>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Arial" w:hAnsi="Arial"/>
      <w:color w:val="9D142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Arial" w:hAnsi="Arial"/>
      <w:color w:val="9D142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4" Type="http://schemas.openxmlformats.org/officeDocument/2006/relationships/image" Target="media/rId24.png"/><Relationship Id="rId42" Type="http://schemas.openxmlformats.org/officeDocument/2006/relationships/hyperlink" Target="https://cursos3.e-itesca.edu.mx/mod/resource/view.php?id=6527" TargetMode="External"/><Relationship Id="rId34" Type="http://schemas.openxmlformats.org/officeDocument/2006/relationships/hyperlink" Target="https://cursos3.e-itesca.edu.mx/mod/resource/view.php?id=6542" TargetMode="External"/><Relationship Id="rId38" Type="http://schemas.openxmlformats.org/officeDocument/2006/relationships/hyperlink" Target="https://openstax.org/books/principles-marketing/pages/6-3-steps-in-a-successful-marketing-research-plan" TargetMode="External"/><Relationship Id="rId40" Type="http://schemas.openxmlformats.org/officeDocument/2006/relationships/hyperlink" Target="https://www.masimprenta.com.mx/" TargetMode="External"/><Relationship Id="rId36" Type="http://schemas.openxmlformats.org/officeDocument/2006/relationships/hyperlink" Target="https://www.promocional.com.mx/productos/impresion-publicitaria/volantes/" TargetMode="External"/><Relationship Id="rId44" Type="http://schemas.openxmlformats.org/officeDocument/2006/relationships/hyperlink" Target="https://www.volanteoenmonterrey.com.mx/j/shop/deliveryinfo" TargetMode="External"/><Relationship Id="rId46" Type="http://schemas.openxmlformats.org/officeDocument/2006/relationships/hyperlink" Target="https://www.volanteoenmonterrey.com.mx/promociones/"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footnotes.xml.rels><?xml version='1.0' encoding='UTF-8' standalone='yes'?>
<Relationships xmlns="http://schemas.openxmlformats.org/package/2006/relationships"><Relationship Id="rId42" Type="http://schemas.openxmlformats.org/officeDocument/2006/relationships/hyperlink" Target="https://cursos3.e-itesca.edu.mx/mod/resource/view.php?id=6527" TargetMode="External"/><Relationship Id="rId34" Type="http://schemas.openxmlformats.org/officeDocument/2006/relationships/hyperlink" Target="https://cursos3.e-itesca.edu.mx/mod/resource/view.php?id=6542" TargetMode="External"/><Relationship Id="rId38" Type="http://schemas.openxmlformats.org/officeDocument/2006/relationships/hyperlink" Target="https://openstax.org/books/principles-marketing/pages/6-3-steps-in-a-successful-marketing-research-plan" TargetMode="External"/><Relationship Id="rId40" Type="http://schemas.openxmlformats.org/officeDocument/2006/relationships/hyperlink" Target="https://www.masimprenta.com.mx/" TargetMode="External"/><Relationship Id="rId36" Type="http://schemas.openxmlformats.org/officeDocument/2006/relationships/hyperlink" Target="https://www.promocional.com.mx/productos/impresion-publicitaria/volantes/" TargetMode="External"/><Relationship Id="rId44" Type="http://schemas.openxmlformats.org/officeDocument/2006/relationships/hyperlink" Target="https://www.volanteoenmonterrey.com.mx/j/shop/deliveryinfo" TargetMode="External"/><Relationship Id="rId46" Type="http://schemas.openxmlformats.org/officeDocument/2006/relationships/hyperlink" Target="https://www.volanteoenmonterrey.com.mx/promocio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Mercadotecnia y publicidad</dc:title>
  <dc:creator>Martín Jonathan de la Cruz Muñoz</dc:creator>
  <cp:keywords/>
  <dcterms:created xsi:type="dcterms:W3CDTF">2026-09-24T01:31:34Z</dcterms:created>
  <dcterms:modified xsi:type="dcterms:W3CDTF">2026-09-24T01:31:34Z</dcterms:modified>
  <dc:subject>Actividad 8 - Plan de Negocios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C:\Users\Sysx\Documents\AulaTeX-Academico\ITESCA\maestria-en-gestion-administrativa\plan-de-negocios-mga\plan-de-negocios.bib</vt:lpwstr>
  </property>
  <property fmtid="{D5CDD505-2E9C-101B-9397-08002B2CF9AE}" pid="3" name="csl">
    <vt:lpwstr>C:\Users\Sysx\Documents\AulaTeX-Academico\ITESCA\maestria-en-gestion-administrativa\plan-de-negocios-mga\referencias-plan-de-negocios\metodologia-actividad-5\apa.csl</vt:lpwstr>
  </property>
</Properties>
</file>