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drawing>
          <wp:inline>
            <wp:extent cx="1920240" cy="611164"/>
            <wp:docPr id="1" name="Picture 1"/>
            <wp:cNvGraphicFramePr>
              <a:graphicFrameLocks noChangeAspect="1"/>
            </wp:cNvGraphicFramePr>
            <a:graphic>
              <a:graphicData uri="http://schemas.openxmlformats.org/drawingml/2006/picture">
                <pic:pic>
                  <pic:nvPicPr>
                    <pic:cNvPr id="0" name="logo-itesca-contorno.png"/>
                    <pic:cNvPicPr/>
                  </pic:nvPicPr>
                  <pic:blipFill>
                    <a:blip r:embed="rId9"/>
                    <a:stretch>
                      <a:fillRect/>
                    </a:stretch>
                  </pic:blipFill>
                  <pic:spPr>
                    <a:xfrm>
                      <a:off x="0" y="0"/>
                      <a:ext cx="1920240" cy="611164"/>
                    </a:xfrm>
                    <a:prstGeom prst="rect"/>
                  </pic:spPr>
                </pic:pic>
              </a:graphicData>
            </a:graphic>
          </wp:inline>
        </w:drawing>
      </w:r>
    </w:p>
    <w:p>
      <w:pPr>
        <w:jc w:val="center"/>
      </w:pPr>
      <w:r>
        <w:t>Instituto Tecnológico Superior de Cajeme</w:t>
      </w:r>
    </w:p>
    <w:p>
      <w:pPr>
        <w:jc w:val="center"/>
      </w:pPr>
      <w:r>
        <w:t>Maestría en Gestión Administrativa</w:t>
      </w:r>
    </w:p>
    <w:p>
      <w:pPr>
        <w:jc w:val="center"/>
      </w:pPr>
      <w:r>
        <w:t>Plan de Negocios · GGPN01 · Periodo 2026-II</w:t>
      </w:r>
    </w:p>
    <w:p>
      <w:pPr>
        <w:pStyle w:val="Title"/>
        <w:jc w:val="center"/>
      </w:pPr>
      <w:r>
        <w:rPr>
          <w:b/>
          <w:color w:val="000000"/>
          <w:sz w:val="40"/>
        </w:rPr>
        <w:t>Administración de recursos humanos: puestos y funciones</w:t>
      </w:r>
    </w:p>
    <w:p>
      <w:pPr>
        <w:jc w:val="center"/>
      </w:pPr>
      <w:r>
        <w:t>AM Taller Autocentro</w:t>
        <w:br/>
        <w:t>Actividad 12 - Puestos y funciones</w:t>
        <w:br/>
        <w:t>Propuesta de organización del personal</w:t>
      </w:r>
    </w:p>
    <w:p>
      <w:pPr>
        <w:jc w:val="center"/>
      </w:pPr>
      <w:r>
        <w:t>Martín Jonathan de la Cruz Muñoz</w:t>
        <w:br/>
        <w:t>Matrícula 26130503</w:t>
        <w:br/>
        <w:t>Docente Celia Velázquez Reyna</w:t>
      </w:r>
    </w:p>
    <w:p>
      <w:pPr>
        <w:jc w:val="center"/>
      </w:pPr>
      <w:r>
        <w:t>Monterrey, Nuevo León</w:t>
        <w:br/>
        <w:t>5 de octubre de 2026</w:t>
      </w:r>
    </w:p>
    <w:p>
      <w:r>
        <w:br w:type="page"/>
      </w:r>
    </w:p>
    <w:p>
      <w:pPr>
        <w:pStyle w:val="Heading1"/>
        <w:keepNext/>
        <w:pageBreakBefore w:val="0"/>
      </w:pPr>
      <w:r>
        <w:rPr>
          <w:b/>
          <w:sz w:val="30"/>
        </w:rPr>
        <w:t>Introducción</w:t>
      </w:r>
    </w:p>
    <w:p>
      <w:pPr/>
      <w:r>
        <w:t>Un taller no se organiza únicamente al identificar quién repara un vehículo: también necesita responsables de atender solicitudes, verificar recursos, obtener autorizaciones, controlar insumos, cobrar y dar seguimiento. Para AM Taller Autocentro, el riesgo administrativo consiste en que esas tareas queden implícitas cuando varias funciones se concentran en una sola persona. La estructura propuesta distribuye responsabilidades sin afirmar que exista una plantilla contratada, maquinaria disponible o una capacidad de atención ya medida.</w:t>
      </w:r>
    </w:p>
    <w:p>
      <w:pPr/>
      <w:r>
        <w:t>La organización se vincula con el proceso de cambio de aceite y filtro en vehículo ligero: sus 16 pasos sirven como referencia para asignar ejecución, apoyos y registros. Se consideran además las funciones de llantas y refaccionaria del proyecto, sin incorporarlas automáticamente a ese mantenimiento. La consigna permite diseñar puestos aunque el microproyecto opere individualmente y sugiere una tabla por puesto (Instituto Tecnológico Superior de Cajeme, s. f.). El criterio es distinguir funciones necesarias de contrataciones efectivas y conservar un responsable identificable para cada tarea relevante.</w:t>
      </w:r>
    </w:p>
    <w:p>
      <w:pPr>
        <w:pStyle w:val="Heading1"/>
        <w:keepNext/>
        <w:pageBreakBefore w:val="0"/>
      </w:pPr>
      <w:r>
        <w:rPr>
          <w:b/>
          <w:sz w:val="30"/>
        </w:rPr>
        <w:t>Puestos, funciones y coordinación del servicio</w:t>
      </w:r>
    </w:p>
    <w:p>
      <w:pPr>
        <w:pStyle w:val="Heading2"/>
        <w:keepNext/>
        <w:pageBreakBefore w:val="0"/>
      </w:pPr>
      <w:r>
        <w:rPr>
          <w:b/>
          <w:sz w:val="24"/>
        </w:rPr>
        <w:t>Estructura funcional propuesta</w:t>
      </w:r>
    </w:p>
    <w:p>
      <w:pPr/>
      <w:r>
        <w:t>La función principal expresa el resultado permanente esperado del puesto; las actividades precisan las acciones recurrentes para obtenerlo. El glosario del curso distingue funciones, responsabilidades y representación organizativa en sus apartados 4.2 y 4.3 (Propuesta de glosario de conceptos, 2024). Aquí se añaden límites de decisión y registros para hacer verificable la coordinación, sin convertir la descripción en un contrato laboral o en una nómina presupuestada.</w:t>
      </w:r>
    </w:p>
    <w:p>
      <w:pPr/>
      <w:r>
        <w:t>Se propone una estructura funcional sencilla: coordinación general articula recepción y ventas, operación técnica, refacciones e inventario y limpieza. Contabilidad y asesoría jurídica se contemplan como servicios independientes por alcance definido. La formalización de funciones y las relaciones de supervisión permiten conectar tareas especializadas, mientras la complejidad de la estructura debe adecuarse al trabajo que realmente puede coordinarse (OpenStax, s. f.). Los ocho puestos representan funciones de diseño, no ocho contrataciones ni ocho plazas de tiempo completo.</w:t>
      </w:r>
    </w:p>
    <w:p>
      <w:pPr/>
      <w:r>
        <w:t>Coordinación general (P1) supervisa P2 a P6 y gestiona la relación con P7 y P8. P3 y P4 conservan el criterio técnico de su especialidad; P2 no diagnostica ni autoriza reparaciones en nombre del cliente. P5 confirma existencias y compatibilidad con apoyo técnico. El cliente decide la aceptación del alcance y del importe: ninguna aprobación interna reemplaza esa autorización.</w:t>
      </w:r>
    </w:p>
    <w:p>
      <w:pPr>
        <w:pStyle w:val="Heading2"/>
        <w:keepNext/>
        <w:pageBreakBefore/>
      </w:pPr>
      <w:r>
        <w:rPr>
          <w:b/>
          <w:sz w:val="24"/>
        </w:rPr>
        <w:t>Fichas de puestos</w:t>
      </w:r>
    </w:p>
    <w:p>
      <w:pPr/>
      <w:r>
        <w:t>Las funciones se proponen para la etapa de diseño. Su agrupación o separación dependerá de competencias, carga de trabajo y recursos comprobados; los servicios profesionales se contratarían por un encargo específico.</w:t>
      </w:r>
    </w:p>
    <w:p>
      <w:pPr>
        <w:pStyle w:val="Heading3"/>
        <w:keepNext/>
      </w:pPr>
      <w:r>
        <w:rPr>
          <w:b/>
        </w:rPr>
        <w:t>P1. Coordinación general y administración</w:t>
      </w:r>
    </w:p>
    <w:tbl>
      <w:tblPr>
        <w:tblW w:type="auto" w:w="0"/>
        <w:jc w:val="center"/>
        <w:tblLayout w:type="fixed"/>
        <w:tblLook w:firstColumn="1" w:firstRow="1" w:lastColumn="0" w:lastRow="0" w:noHBand="0" w:noVBand="1" w:val="04A0"/>
      </w:tblPr>
      <w:tblGrid>
        <w:gridCol w:w="1800"/>
        <w:gridCol w:w="7560"/>
      </w:tblGrid>
      <w:tr>
        <w:trPr>
          <w:cantSplit/>
          <w:tblHeader/>
        </w:trPr>
        <w:tc>
          <w:tcPr>
            <w:tcW w:type="dxa" w:w="1800"/>
            <w:vAlign w:val="center"/>
            <w:tcBorders>
              <w:top w:val="single" w:sz="4" w:color="D9D9D9"/>
              <w:bottom w:val="single" w:sz="4" w:color="D9D9D9"/>
              <w:left w:val="single" w:sz="4" w:color="D9D9D9"/>
              <w:right w:val="single" w:sz="4" w:color="D9D9D9"/>
            </w:tcBorders>
            <w:shd w:fill="E7EDF2"/>
          </w:tcPr>
          <w:p>
            <w:pPr>
              <w:keepNext/>
              <w:spacing w:line="252" w:lineRule="auto" w:before="40" w:after="40"/>
            </w:pPr>
            <w:r>
              <w:rPr>
                <w:rFonts w:ascii="Arial" w:hAnsi="Arial"/>
                <w:b/>
                <w:sz w:val="20"/>
              </w:rPr>
              <w:t>Puesto P1</w:t>
            </w:r>
          </w:p>
        </w:tc>
        <w:tc>
          <w:tcPr>
            <w:tcW w:type="dxa" w:w="7560"/>
            <w:vAlign w:val="center"/>
            <w:tcBorders>
              <w:top w:val="single" w:sz="4" w:color="D9D9D9"/>
              <w:bottom w:val="single" w:sz="4" w:color="D9D9D9"/>
              <w:left w:val="single" w:sz="4" w:color="D9D9D9"/>
              <w:right w:val="single" w:sz="4" w:color="D9D9D9"/>
            </w:tcBorders>
            <w:shd w:fill="E7EDF2"/>
          </w:tcPr>
          <w:p>
            <w:pPr>
              <w:keepNext/>
              <w:spacing w:line="252" w:lineRule="auto" w:before="40" w:after="40"/>
            </w:pPr>
            <w:r>
              <w:rPr>
                <w:rFonts w:ascii="Arial" w:hAnsi="Arial"/>
                <w:b/>
                <w:sz w:val="20"/>
              </w:rPr>
              <w:t>Coordinación general y administración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Área</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Dirección y administración interna; función coordinadora del proyecto.</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Función principal</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Organizar recursos, prioridades y controles para que cada servicio tenga responsables y respaldo documental.</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Actividades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1. Asignar responsables y suplencias por orden; revisar agenda y carga antes de comprometer una fecha.</w:t>
              <w:br/>
              <w:t>2. Autorizar compras, pagos y ajustes comerciales conforme al presupuesto y conservar su justificación.</w:t>
              <w:br/>
              <w:t>3. Coordinar selección, inducción y verificación de competencias; no asignar tareas técnicas a personal no competente.</w:t>
              <w:br/>
              <w:t>4. Revisar caja, inventario, reclamaciones y cierres; gestionar proveedores, mantenimiento y apoyos especializados cuando se requieran.</w:t>
              <w:br/>
              <w:t>5. Organizar el levantamiento real del sondeo y revisar su registro separado de los datos de operación.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Límite de decisión</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Decide prioridades administrativas y detiene servicios sin recursos o controles suficientes. No sustituye la autorización del cliente ni el juicio técnico especializado.</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Registros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Agenda, asignación por orden, autorizaciones de compra, conciliación de caja, revisión de incidencias e inducción.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Perfil funcional</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Organización, control documental, nociones de costos, comunicación y capacidad para coordinar especialistas.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Coordinación</w:t>
            </w:r>
          </w:p>
        </w:tc>
        <w:tc>
          <w:tcPr>
            <w:tcW w:type="dxa" w:w="756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Responsable de la dirección del proyecto; supervisa P2–P6 y coordina P7–P8.</w:t>
            </w:r>
          </w:p>
        </w:tc>
      </w:tr>
    </w:tbl>
    <w:p/>
    <w:p>
      <w:pPr>
        <w:pStyle w:val="Heading3"/>
        <w:keepNext/>
      </w:pPr>
      <w:r>
        <w:rPr>
          <w:b/>
        </w:rPr>
        <w:t>P2. Recepción, ventas y caja</w:t>
      </w:r>
    </w:p>
    <w:tbl>
      <w:tblPr>
        <w:tblW w:type="auto" w:w="0"/>
        <w:jc w:val="center"/>
        <w:tblLayout w:type="fixed"/>
        <w:tblLook w:firstColumn="1" w:firstRow="1" w:lastColumn="0" w:lastRow="0" w:noHBand="0" w:noVBand="1" w:val="04A0"/>
      </w:tblPr>
      <w:tblGrid>
        <w:gridCol w:w="1800"/>
        <w:gridCol w:w="7560"/>
      </w:tblGrid>
      <w:tr>
        <w:trPr>
          <w:cantSplit/>
          <w:tblHeader/>
        </w:trPr>
        <w:tc>
          <w:tcPr>
            <w:tcW w:type="dxa" w:w="1800"/>
            <w:vAlign w:val="center"/>
            <w:tcBorders>
              <w:top w:val="single" w:sz="4" w:color="D9D9D9"/>
              <w:bottom w:val="single" w:sz="4" w:color="D9D9D9"/>
              <w:left w:val="single" w:sz="4" w:color="D9D9D9"/>
              <w:right w:val="single" w:sz="4" w:color="D9D9D9"/>
            </w:tcBorders>
            <w:shd w:fill="E7EDF2"/>
          </w:tcPr>
          <w:p>
            <w:pPr>
              <w:keepNext/>
              <w:spacing w:line="252" w:lineRule="auto" w:before="40" w:after="40"/>
            </w:pPr>
            <w:r>
              <w:rPr>
                <w:rFonts w:ascii="Arial" w:hAnsi="Arial"/>
                <w:b/>
                <w:sz w:val="20"/>
              </w:rPr>
              <w:t>Puesto P2</w:t>
            </w:r>
          </w:p>
        </w:tc>
        <w:tc>
          <w:tcPr>
            <w:tcW w:type="dxa" w:w="7560"/>
            <w:vAlign w:val="center"/>
            <w:tcBorders>
              <w:top w:val="single" w:sz="4" w:color="D9D9D9"/>
              <w:bottom w:val="single" w:sz="4" w:color="D9D9D9"/>
              <w:left w:val="single" w:sz="4" w:color="D9D9D9"/>
              <w:right w:val="single" w:sz="4" w:color="D9D9D9"/>
            </w:tcBorders>
            <w:shd w:fill="E7EDF2"/>
          </w:tcPr>
          <w:p>
            <w:pPr>
              <w:keepNext/>
              <w:spacing w:line="252" w:lineRule="auto" w:before="40" w:after="40"/>
            </w:pPr>
            <w:r>
              <w:rPr>
                <w:rFonts w:ascii="Arial" w:hAnsi="Arial"/>
                <w:b/>
                <w:sz w:val="20"/>
              </w:rPr>
              <w:t>Recepción, ventas y caja</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Área</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Administración comercial y atención; reporta a P1.</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Función principal</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Conducir la atención del cliente desde la solicitud hasta el cierre, manteniendo autorizaciones e importes trazables.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Actividades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1. Registrar solicitud, datos indispensables del vehículo y contacto, y condiciones de recepción; abrir un folio.</w:t>
              <w:br/>
              <w:t>2. Preparar y explicar la cotización con información técnica y de insumos verificada; obtener aceptación antes del trabajo cobrable.</w:t>
              <w:br/>
              <w:t>3. Administrar citas y comunicar cambios de alcance, costo o plazo, conservando la reautorización correspondiente.</w:t>
              <w:br/>
              <w:t>4. Conciliar el importe autorizado con el servicio realizado, registrar cobro y comprobante y cerrar como terminado, no ejecutado o reprogramado.</w:t>
              <w:br/>
              <w:t>5. Aplicar el sondeo real por conveniencia según el instrumento previsto y registrar servicio, frecuencia, gasto y satisfacción sin inventar respuestas.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Límite de decisión</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Programa y comunica dentro de lo aprobado. No diagnostica, concede cambios no autorizados ni registra ausencia de respuesta como satisfacción.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Registros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Solicitud, cotización, aceptación, registro de caja, constancia de entrega y seguimiento consentido; base del sondeo separada.</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Perfil funcional</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Atención respetuosa, cálculo básico, manejo de agenda, registro exacto y resguardo de información.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Coordinación</w:t>
            </w:r>
          </w:p>
        </w:tc>
        <w:tc>
          <w:tcPr>
            <w:tcW w:type="dxa" w:w="756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P1; coordinación diaria con P3, P4 y P5.</w:t>
            </w:r>
          </w:p>
        </w:tc>
      </w:tr>
    </w:tbl>
    <w:p/>
    <w:p>
      <w:pPr>
        <w:pStyle w:val="Heading3"/>
        <w:keepNext/>
      </w:pPr>
      <w:r>
        <w:rPr>
          <w:b/>
        </w:rPr>
        <w:t>P3. Técnico de mantenimiento automotriz</w:t>
      </w:r>
    </w:p>
    <w:tbl>
      <w:tblPr>
        <w:tblW w:type="auto" w:w="0"/>
        <w:jc w:val="center"/>
        <w:tblLayout w:type="fixed"/>
        <w:tblLook w:firstColumn="1" w:firstRow="1" w:lastColumn="0" w:lastRow="0" w:noHBand="0" w:noVBand="1" w:val="04A0"/>
      </w:tblPr>
      <w:tblGrid>
        <w:gridCol w:w="1800"/>
        <w:gridCol w:w="7560"/>
      </w:tblGrid>
      <w:tr>
        <w:trPr>
          <w:cantSplit/>
          <w:tblHeader/>
        </w:trPr>
        <w:tc>
          <w:tcPr>
            <w:tcW w:type="dxa" w:w="1800"/>
            <w:vAlign w:val="center"/>
            <w:tcBorders>
              <w:top w:val="single" w:sz="4" w:color="D9D9D9"/>
              <w:bottom w:val="single" w:sz="4" w:color="D9D9D9"/>
              <w:left w:val="single" w:sz="4" w:color="D9D9D9"/>
              <w:right w:val="single" w:sz="4" w:color="D9D9D9"/>
            </w:tcBorders>
            <w:shd w:fill="E7EDF2"/>
          </w:tcPr>
          <w:p>
            <w:pPr>
              <w:keepNext/>
              <w:spacing w:line="252" w:lineRule="auto" w:before="40" w:after="40"/>
            </w:pPr>
            <w:r>
              <w:rPr>
                <w:rFonts w:ascii="Arial" w:hAnsi="Arial"/>
                <w:b/>
                <w:sz w:val="20"/>
              </w:rPr>
              <w:t>Puesto P3</w:t>
            </w:r>
          </w:p>
        </w:tc>
        <w:tc>
          <w:tcPr>
            <w:tcW w:type="dxa" w:w="7560"/>
            <w:vAlign w:val="center"/>
            <w:tcBorders>
              <w:top w:val="single" w:sz="4" w:color="D9D9D9"/>
              <w:bottom w:val="single" w:sz="4" w:color="D9D9D9"/>
              <w:left w:val="single" w:sz="4" w:color="D9D9D9"/>
              <w:right w:val="single" w:sz="4" w:color="D9D9D9"/>
            </w:tcBorders>
            <w:shd w:fill="E7EDF2"/>
          </w:tcPr>
          <w:p>
            <w:pPr>
              <w:keepNext/>
              <w:spacing w:line="252" w:lineRule="auto" w:before="40" w:after="40"/>
            </w:pPr>
            <w:r>
              <w:rPr>
                <w:rFonts w:ascii="Arial" w:hAnsi="Arial"/>
                <w:b/>
                <w:sz w:val="20"/>
              </w:rPr>
              <w:t>Técnico de mantenimiento automotriz</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Área</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Operación técnica de mecánica; reporta a P1.</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Función principal</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Diagnosticar, ejecutar y verificar el mantenimiento autorizado dentro de la competencia y los recursos disponibles.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Actividades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1. Comprobar la viabilidad técnica del cambio de aceite y filtro mediante la información del fabricante y los recursos disponibles.</w:t>
              <w:br/>
              <w:t>2. Realizar la inspección autorizada y documentar hallazgos; comunicar a P2 cualquier cambio antes de ampliar el trabajo.</w:t>
              <w:br/>
              <w:t>3. Verificar compatibilidad de insumos con P5 y preparar el puesto de trabajo sin delegar maniobras técnicas a personal de limpieza.</w:t>
              <w:br/>
              <w:t>4. Ejecutar únicamente el servicio autorizado y registrar piezas, materiales, tiempo activo y desviaciones.</w:t>
              <w:br/>
              <w:t>5. Realizar la comprobación técnica del servicio; corregir desviaciones del trabajo propio y documentar la revisión antes de liberar la orden.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Límite de decisión</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Detiene una intervención insegura, fuera de capacidad o de alcance. No añade cobros ni aprueba trabajos adicionales sin aceptación del cliente.</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Registros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Lista técnica, hallazgos, orden vigente, consumo de insumos y registro de revisión y corrección.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Perfil funcional</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Competencia demostrable en el mantenimiento asignado, consulta de especificaciones, uso seguro de herramientas y registro técnico.</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Coordinación</w:t>
            </w:r>
          </w:p>
        </w:tc>
        <w:tc>
          <w:tcPr>
            <w:tcW w:type="dxa" w:w="756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P1 en recursos y prioridades; responsable del criterio técnico. La revisión adicional requiere otra persona competente.</w:t>
            </w:r>
          </w:p>
        </w:tc>
      </w:tr>
    </w:tbl>
    <w:p/>
    <w:p>
      <w:pPr>
        <w:pStyle w:val="Heading3"/>
        <w:keepNext/>
      </w:pPr>
      <w:r>
        <w:rPr>
          <w:b/>
        </w:rPr>
        <w:t>P4. Técnico de llantas</w:t>
      </w:r>
    </w:p>
    <w:tbl>
      <w:tblPr>
        <w:tblW w:type="auto" w:w="0"/>
        <w:jc w:val="center"/>
        <w:tblLayout w:type="fixed"/>
        <w:tblLook w:firstColumn="1" w:firstRow="1" w:lastColumn="0" w:lastRow="0" w:noHBand="0" w:noVBand="1" w:val="04A0"/>
      </w:tblPr>
      <w:tblGrid>
        <w:gridCol w:w="1800"/>
        <w:gridCol w:w="7560"/>
      </w:tblGrid>
      <w:tr>
        <w:trPr>
          <w:cantSplit/>
          <w:tblHeader/>
        </w:trPr>
        <w:tc>
          <w:tcPr>
            <w:tcW w:type="dxa" w:w="1800"/>
            <w:vAlign w:val="center"/>
            <w:tcBorders>
              <w:top w:val="single" w:sz="4" w:color="D9D9D9"/>
              <w:bottom w:val="single" w:sz="4" w:color="D9D9D9"/>
              <w:left w:val="single" w:sz="4" w:color="D9D9D9"/>
              <w:right w:val="single" w:sz="4" w:color="D9D9D9"/>
            </w:tcBorders>
            <w:shd w:fill="E7EDF2"/>
          </w:tcPr>
          <w:p>
            <w:pPr>
              <w:keepNext/>
              <w:spacing w:line="252" w:lineRule="auto" w:before="40" w:after="40"/>
            </w:pPr>
            <w:r>
              <w:rPr>
                <w:rFonts w:ascii="Arial" w:hAnsi="Arial"/>
                <w:b/>
                <w:sz w:val="20"/>
              </w:rPr>
              <w:t>Puesto P4</w:t>
            </w:r>
          </w:p>
        </w:tc>
        <w:tc>
          <w:tcPr>
            <w:tcW w:type="dxa" w:w="7560"/>
            <w:vAlign w:val="center"/>
            <w:tcBorders>
              <w:top w:val="single" w:sz="4" w:color="D9D9D9"/>
              <w:bottom w:val="single" w:sz="4" w:color="D9D9D9"/>
              <w:left w:val="single" w:sz="4" w:color="D9D9D9"/>
              <w:right w:val="single" w:sz="4" w:color="D9D9D9"/>
            </w:tcBorders>
            <w:shd w:fill="E7EDF2"/>
          </w:tcPr>
          <w:p>
            <w:pPr>
              <w:keepNext/>
              <w:spacing w:line="252" w:lineRule="auto" w:before="40" w:after="40"/>
            </w:pPr>
            <w:r>
              <w:rPr>
                <w:rFonts w:ascii="Arial" w:hAnsi="Arial"/>
                <w:b/>
                <w:sz w:val="20"/>
              </w:rPr>
              <w:t>Técnico de llantas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Área</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Operación técnica complementaria de llantera; reporta a P1.</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Función principal</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Atender revisión, instalación y mantenimiento de llantas cuando se cuente con competencia, herramientas y autorización específicas.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Actividades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1. Identificar la solicitud de llantas y comprobar medidas, especificaciones y condiciones visibles antes de recomendar un servicio.</w:t>
              <w:br/>
              <w:t>2. Validar con P5 la compatibilidad y disponibilidad física de materiales y comunicar alcance e insumos a P2.</w:t>
              <w:br/>
              <w:t>3. Ejecutar solo las operaciones autorizadas para las que exista equipo apropiado y competencia comprobable.</w:t>
              <w:br/>
              <w:t>4. Registrar materiales, trabajo y revisión final; detener o canalizar intervenciones fuera de capacidad.</w:t>
              <w:br/>
              <w:t>5. Mantener orden de herramientas y reportar necesidades de mantenimiento o condiciones que impidan continuar.</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Límite de decisión</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Decide la viabilidad técnica en su especialidad; no incorpora servicios de llantas a la orden de aceite sin cotización y autorización separadas.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Registros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Orden específica, comprobación de compatibilidad, materiales utilizados y revisión de entrega.</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Perfil funcional</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Competencia demostrable en llantas y manejo seguro del equipo efectivamente disponible.</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Coordinación</w:t>
            </w:r>
          </w:p>
        </w:tc>
        <w:tc>
          <w:tcPr>
            <w:tcW w:type="dxa" w:w="756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P1; apoyo de P2 y P5. No es un paso adicional del proceso de aceite y filtro.</w:t>
            </w:r>
          </w:p>
        </w:tc>
      </w:tr>
    </w:tbl>
    <w:p/>
    <w:p>
      <w:pPr>
        <w:pStyle w:val="Heading3"/>
        <w:keepNext/>
      </w:pPr>
      <w:r>
        <w:rPr>
          <w:b/>
        </w:rPr>
        <w:t>P5. Refacciones, compras e inventario</w:t>
      </w:r>
    </w:p>
    <w:tbl>
      <w:tblPr>
        <w:tblW w:type="auto" w:w="0"/>
        <w:jc w:val="center"/>
        <w:tblLayout w:type="fixed"/>
        <w:tblLook w:firstColumn="1" w:firstRow="1" w:lastColumn="0" w:lastRow="0" w:noHBand="0" w:noVBand="1" w:val="04A0"/>
      </w:tblPr>
      <w:tblGrid>
        <w:gridCol w:w="1800"/>
        <w:gridCol w:w="7560"/>
      </w:tblGrid>
      <w:tr>
        <w:trPr>
          <w:cantSplit/>
          <w:tblHeader/>
        </w:trPr>
        <w:tc>
          <w:tcPr>
            <w:tcW w:type="dxa" w:w="1800"/>
            <w:vAlign w:val="center"/>
            <w:tcBorders>
              <w:top w:val="single" w:sz="4" w:color="D9D9D9"/>
              <w:bottom w:val="single" w:sz="4" w:color="D9D9D9"/>
              <w:left w:val="single" w:sz="4" w:color="D9D9D9"/>
              <w:right w:val="single" w:sz="4" w:color="D9D9D9"/>
            </w:tcBorders>
            <w:shd w:fill="E7EDF2"/>
          </w:tcPr>
          <w:p>
            <w:pPr>
              <w:keepNext/>
              <w:spacing w:line="252" w:lineRule="auto" w:before="40" w:after="40"/>
            </w:pPr>
            <w:r>
              <w:rPr>
                <w:rFonts w:ascii="Arial" w:hAnsi="Arial"/>
                <w:b/>
                <w:sz w:val="20"/>
              </w:rPr>
              <w:t>Puesto P5</w:t>
            </w:r>
          </w:p>
        </w:tc>
        <w:tc>
          <w:tcPr>
            <w:tcW w:type="dxa" w:w="7560"/>
            <w:vAlign w:val="center"/>
            <w:tcBorders>
              <w:top w:val="single" w:sz="4" w:color="D9D9D9"/>
              <w:bottom w:val="single" w:sz="4" w:color="D9D9D9"/>
              <w:left w:val="single" w:sz="4" w:color="D9D9D9"/>
              <w:right w:val="single" w:sz="4" w:color="D9D9D9"/>
            </w:tcBorders>
            <w:shd w:fill="E7EDF2"/>
          </w:tcPr>
          <w:p>
            <w:pPr>
              <w:keepNext/>
              <w:spacing w:line="252" w:lineRule="auto" w:before="40" w:after="40"/>
            </w:pPr>
            <w:r>
              <w:rPr>
                <w:rFonts w:ascii="Arial" w:hAnsi="Arial"/>
                <w:b/>
                <w:sz w:val="20"/>
              </w:rPr>
              <w:t>Refacciones, compras e inventario</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Área</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Abastecimiento y control de materiales; reporta a P1.</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Función principal</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Asegurar trazabilidad entre la necesidad del servicio, la compra autorizada y el movimiento físico de insumos.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Actividades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1. Recibir requerimientos técnicos y consultar proveedores; distinguir una referencia de catálogo de una existencia disponible.</w:t>
              <w:br/>
              <w:t>2. Presentar opciones y condiciones de compra a P1 sin comprometer pagos fuera de la autorización recibida.</w:t>
              <w:br/>
              <w:t>3. Comprobar cantidad, estado y especificación al recibir materiales, con validación técnica de compatibilidad.</w:t>
              <w:br/>
              <w:t>4. Registrar entradas, salidas y devoluciones vinculadas a una orden o venta; separar materiales no conformes.</w:t>
              <w:br/>
              <w:t>5. Comparar existencias y registros, investigar diferencias y proponer reposición con información real.</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Límite de decisión</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Retiene insumos no conformes y comunica faltantes. No sustituye especificaciones técnicas ni autoriza por sí mismo su compra y pago.</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Registros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Requisición, cotización, autorización, comprobante, recepción, kardex o registro equivalente y devolución.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Perfil funcional</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Control de inventario, identificación de piezas, cálculo básico y registro documental.</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Coordinación</w:t>
            </w:r>
          </w:p>
        </w:tc>
        <w:tc>
          <w:tcPr>
            <w:tcW w:type="dxa" w:w="756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P1; coordinación con P2 para ventas y P3/P4 para compatibilidad.</w:t>
            </w:r>
          </w:p>
        </w:tc>
      </w:tr>
    </w:tbl>
    <w:p/>
    <w:p>
      <w:pPr>
        <w:pStyle w:val="Heading3"/>
        <w:keepNext/>
      </w:pPr>
      <w:r>
        <w:rPr>
          <w:b/>
        </w:rPr>
        <w:t>P6. Apoyo de limpieza y orden</w:t>
      </w:r>
    </w:p>
    <w:tbl>
      <w:tblPr>
        <w:tblW w:type="auto" w:w="0"/>
        <w:jc w:val="center"/>
        <w:tblLayout w:type="fixed"/>
        <w:tblLook w:firstColumn="1" w:firstRow="1" w:lastColumn="0" w:lastRow="0" w:noHBand="0" w:noVBand="1" w:val="04A0"/>
      </w:tblPr>
      <w:tblGrid>
        <w:gridCol w:w="1800"/>
        <w:gridCol w:w="7560"/>
      </w:tblGrid>
      <w:tr>
        <w:trPr>
          <w:cantSplit/>
          <w:tblHeader/>
        </w:trPr>
        <w:tc>
          <w:tcPr>
            <w:tcW w:type="dxa" w:w="1800"/>
            <w:vAlign w:val="center"/>
            <w:tcBorders>
              <w:top w:val="single" w:sz="4" w:color="D9D9D9"/>
              <w:bottom w:val="single" w:sz="4" w:color="D9D9D9"/>
              <w:left w:val="single" w:sz="4" w:color="D9D9D9"/>
              <w:right w:val="single" w:sz="4" w:color="D9D9D9"/>
            </w:tcBorders>
            <w:shd w:fill="E7EDF2"/>
          </w:tcPr>
          <w:p>
            <w:pPr>
              <w:keepNext/>
              <w:spacing w:line="252" w:lineRule="auto" w:before="40" w:after="40"/>
            </w:pPr>
            <w:r>
              <w:rPr>
                <w:rFonts w:ascii="Arial" w:hAnsi="Arial"/>
                <w:b/>
                <w:sz w:val="20"/>
              </w:rPr>
              <w:t>Puesto P6</w:t>
            </w:r>
          </w:p>
        </w:tc>
        <w:tc>
          <w:tcPr>
            <w:tcW w:type="dxa" w:w="7560"/>
            <w:vAlign w:val="center"/>
            <w:tcBorders>
              <w:top w:val="single" w:sz="4" w:color="D9D9D9"/>
              <w:bottom w:val="single" w:sz="4" w:color="D9D9D9"/>
              <w:left w:val="single" w:sz="4" w:color="D9D9D9"/>
              <w:right w:val="single" w:sz="4" w:color="D9D9D9"/>
            </w:tcBorders>
            <w:shd w:fill="E7EDF2"/>
          </w:tcPr>
          <w:p>
            <w:pPr>
              <w:keepNext/>
              <w:spacing w:line="252" w:lineRule="auto" w:before="40" w:after="40"/>
            </w:pPr>
            <w:r>
              <w:rPr>
                <w:rFonts w:ascii="Arial" w:hAnsi="Arial"/>
                <w:b/>
                <w:sz w:val="20"/>
              </w:rPr>
              <w:t>Apoyo de limpieza y orden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Área</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Apoyo operativo interno o servicio contratado por alcance; coordinación de P1.</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Función principal</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Mantener áreas comunes y de trabajo ordenadas conforme a las indicaciones de seguridad del establecimiento.</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Actividades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1. Realizar limpieza programada de recepción, áreas comunes y zonas previamente liberadas por el personal técnico.</w:t>
              <w:br/>
              <w:t>2. Conservar libres las áreas de circulación y comunicar condiciones que puedan provocar incidentes.</w:t>
              <w:br/>
              <w:t>3. Separar materiales de limpieza y reportar recipientes o áreas que requieran atención especializada.</w:t>
              <w:br/>
              <w:t>4. Solicitar reposición de consumibles y registrar las tareas efectuadas y los incidentes detectados.</w:t>
              <w:br/>
              <w:t>5. Coordinar con el técnico el acceso al puesto, sin intervenir vehículos, equipos activos o materiales para los que no tenga capacitación.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Límite de decisión</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Suspende su tarea y avisa ante un riesgo. No ejecuta mantenimiento automotriz ni maneja residuos especiales sin procedimiento y capacitación aplicables.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Registros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Lista de limpieza, reporte de incidentes y solicitudes de consumibles.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Perfil funcional</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Orden, seguimiento de instrucciones y capacitación pertinente a las tareas asignadas.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Coordinación</w:t>
            </w:r>
          </w:p>
        </w:tc>
        <w:tc>
          <w:tcPr>
            <w:tcW w:type="dxa" w:w="756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P1; el técnico libera el área. P1 gestiona servicios especializados para residuos o seguridad cuando corresponda.</w:t>
            </w:r>
          </w:p>
        </w:tc>
      </w:tr>
    </w:tbl>
    <w:p/>
    <w:p>
      <w:pPr>
        <w:pStyle w:val="Heading3"/>
        <w:keepNext/>
      </w:pPr>
      <w:r>
        <w:rPr>
          <w:b/>
        </w:rPr>
        <w:t>P7. Servicio profesional de contabilidad</w:t>
      </w:r>
    </w:p>
    <w:tbl>
      <w:tblPr>
        <w:tblW w:type="auto" w:w="0"/>
        <w:jc w:val="center"/>
        <w:tblLayout w:type="fixed"/>
        <w:tblLook w:firstColumn="1" w:firstRow="1" w:lastColumn="0" w:lastRow="0" w:noHBand="0" w:noVBand="1" w:val="04A0"/>
      </w:tblPr>
      <w:tblGrid>
        <w:gridCol w:w="1800"/>
        <w:gridCol w:w="7560"/>
      </w:tblGrid>
      <w:tr>
        <w:trPr>
          <w:cantSplit/>
          <w:tblHeader/>
        </w:trPr>
        <w:tc>
          <w:tcPr>
            <w:tcW w:type="dxa" w:w="1800"/>
            <w:vAlign w:val="center"/>
            <w:tcBorders>
              <w:top w:val="single" w:sz="4" w:color="D9D9D9"/>
              <w:bottom w:val="single" w:sz="4" w:color="D9D9D9"/>
              <w:left w:val="single" w:sz="4" w:color="D9D9D9"/>
              <w:right w:val="single" w:sz="4" w:color="D9D9D9"/>
            </w:tcBorders>
            <w:shd w:fill="E7EDF2"/>
          </w:tcPr>
          <w:p>
            <w:pPr>
              <w:keepNext/>
              <w:spacing w:line="252" w:lineRule="auto" w:before="40" w:after="40"/>
            </w:pPr>
            <w:r>
              <w:rPr>
                <w:rFonts w:ascii="Arial" w:hAnsi="Arial"/>
                <w:b/>
                <w:sz w:val="20"/>
              </w:rPr>
              <w:t>Puesto P7</w:t>
            </w:r>
          </w:p>
        </w:tc>
        <w:tc>
          <w:tcPr>
            <w:tcW w:type="dxa" w:w="7560"/>
            <w:vAlign w:val="center"/>
            <w:tcBorders>
              <w:top w:val="single" w:sz="4" w:color="D9D9D9"/>
              <w:bottom w:val="single" w:sz="4" w:color="D9D9D9"/>
              <w:left w:val="single" w:sz="4" w:color="D9D9D9"/>
              <w:right w:val="single" w:sz="4" w:color="D9D9D9"/>
            </w:tcBorders>
            <w:shd w:fill="E7EDF2"/>
          </w:tcPr>
          <w:p>
            <w:pPr>
              <w:keepNext/>
              <w:spacing w:line="252" w:lineRule="auto" w:before="40" w:after="40"/>
            </w:pPr>
            <w:r>
              <w:rPr>
                <w:rFonts w:ascii="Arial" w:hAnsi="Arial"/>
                <w:b/>
                <w:sz w:val="20"/>
              </w:rPr>
              <w:t>Servicio profesional de contabilidad</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Área</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Apoyo independiente contratado por alcance definido; enlace con P1.</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Función principal</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Revisar y organizar la información contable y orientar las obligaciones fiscales y de personal que resulten aplicables.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Actividades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1. Definir con P1 los documentos, periodicidad y entregables del servicio antes de contratarlo.</w:t>
              <w:br/>
              <w:t>2. Revisar comprobantes de ingresos, egresos y conciliaciones e informar faltantes o inconsistencias.</w:t>
              <w:br/>
              <w:t>3. Preparar los registros e informes que correspondan al encargo, distinguiendo datos reales y estimaciones.</w:t>
              <w:br/>
              <w:t>4. Asesorar sobre nómina y obligaciones aplicables cuando se definan relaciones y remuneraciones efectivas.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Límite de decisión</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Emite observaciones y trabajos dentro de su encargo. No aprueba ventas, contrata personal ni dispone de fondos sin autorización expresa.</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Registros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Acuerdo de servicio, relación documental, informes y constancias de los trabajos efectivamente realizados.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Perfil funcional</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Formación y acreditación pertinentes al servicio, confidencialidad y experiencia comprobable.</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Coordinación</w:t>
            </w:r>
          </w:p>
        </w:tc>
        <w:tc>
          <w:tcPr>
            <w:tcW w:type="dxa" w:w="756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Entrega resultados a P1; recibe documentación de P2 y P5. No se presupone una contratación vigente.</w:t>
            </w:r>
          </w:p>
        </w:tc>
      </w:tr>
    </w:tbl>
    <w:p/>
    <w:p>
      <w:pPr>
        <w:pStyle w:val="Heading3"/>
        <w:keepNext/>
      </w:pPr>
      <w:r>
        <w:rPr>
          <w:b/>
        </w:rPr>
        <w:t>P8. Servicio profesional de asesoría jurídica</w:t>
      </w:r>
    </w:p>
    <w:tbl>
      <w:tblPr>
        <w:tblW w:type="auto" w:w="0"/>
        <w:jc w:val="center"/>
        <w:tblLayout w:type="fixed"/>
        <w:tblLook w:firstColumn="1" w:firstRow="1" w:lastColumn="0" w:lastRow="0" w:noHBand="0" w:noVBand="1" w:val="04A0"/>
      </w:tblPr>
      <w:tblGrid>
        <w:gridCol w:w="1800"/>
        <w:gridCol w:w="7560"/>
      </w:tblGrid>
      <w:tr>
        <w:trPr>
          <w:cantSplit/>
          <w:tblHeader/>
        </w:trPr>
        <w:tc>
          <w:tcPr>
            <w:tcW w:type="dxa" w:w="1800"/>
            <w:vAlign w:val="center"/>
            <w:tcBorders>
              <w:top w:val="single" w:sz="4" w:color="D9D9D9"/>
              <w:bottom w:val="single" w:sz="4" w:color="D9D9D9"/>
              <w:left w:val="single" w:sz="4" w:color="D9D9D9"/>
              <w:right w:val="single" w:sz="4" w:color="D9D9D9"/>
            </w:tcBorders>
            <w:shd w:fill="E7EDF2"/>
          </w:tcPr>
          <w:p>
            <w:pPr>
              <w:keepNext/>
              <w:spacing w:line="252" w:lineRule="auto" w:before="40" w:after="40"/>
            </w:pPr>
            <w:r>
              <w:rPr>
                <w:rFonts w:ascii="Arial" w:hAnsi="Arial"/>
                <w:b/>
                <w:sz w:val="20"/>
              </w:rPr>
              <w:t>Puesto P8</w:t>
            </w:r>
          </w:p>
        </w:tc>
        <w:tc>
          <w:tcPr>
            <w:tcW w:type="dxa" w:w="7560"/>
            <w:vAlign w:val="center"/>
            <w:tcBorders>
              <w:top w:val="single" w:sz="4" w:color="D9D9D9"/>
              <w:bottom w:val="single" w:sz="4" w:color="D9D9D9"/>
              <w:left w:val="single" w:sz="4" w:color="D9D9D9"/>
              <w:right w:val="single" w:sz="4" w:color="D9D9D9"/>
            </w:tcBorders>
            <w:shd w:fill="E7EDF2"/>
          </w:tcPr>
          <w:p>
            <w:pPr>
              <w:keepNext/>
              <w:spacing w:line="252" w:lineRule="auto" w:before="40" w:after="40"/>
            </w:pPr>
            <w:r>
              <w:rPr>
                <w:rFonts w:ascii="Arial" w:hAnsi="Arial"/>
                <w:b/>
                <w:sz w:val="20"/>
              </w:rPr>
              <w:t>Servicio profesional de asesoría jurídica</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Área</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Apoyo independiente por necesidad y alcance; enlace con P1.</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Función principal</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Orientar la formalización de acuerdos y la atención de asuntos jurídicos concretos del proyecto.</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Actividades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1. Delimitar el asunto, documentación y resultado esperado antes de aceptar el encargo profesional.</w:t>
              <w:br/>
              <w:t>2. Revisar condiciones de servicio, autorizaciones y acuerdos con clientes y proveedores según el caso.</w:t>
              <w:br/>
              <w:t>3. Asesorar sobre formas de contratación, resguardo de datos y respuesta a reclamaciones cuando proceda.</w:t>
              <w:br/>
              <w:t>4. Documentar recomendaciones, límites y acciones que deba decidir o ejecutar la coordinación del proyecto.</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Límite de decisión</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Asesora dentro de su competencia; una representación o firma requiere facultades expresas. No certifica por sí sola la operación completa del taller.</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Registros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Encargo profesional, relación de documentos revisados, recomendaciones y seguimiento de decisiones.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Perfil funcional</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40" w:after="40"/>
            </w:pPr>
            <w:r>
              <w:rPr>
                <w:rFonts w:ascii="Arial" w:hAnsi="Arial"/>
                <w:b w:val="0"/>
                <w:sz w:val="20"/>
              </w:rPr>
              <w:t>Formación y acreditación pertinentes, conocimiento del asunto y manejo confidencial de información.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Coordinación</w:t>
            </w:r>
          </w:p>
        </w:tc>
        <w:tc>
          <w:tcPr>
            <w:tcW w:type="dxa" w:w="756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P1 decide y conserva el seguimiento. Apoyo especializado no equivale a plantilla permanente.</w:t>
            </w:r>
          </w:p>
        </w:tc>
      </w:tr>
    </w:tbl>
    <w:p/>
    <w:p>
      <w:pPr>
        <w:pStyle w:val="Heading2"/>
        <w:keepNext/>
        <w:pageBreakBefore/>
      </w:pPr>
      <w:r>
        <w:rPr>
          <w:b/>
          <w:sz w:val="24"/>
        </w:rPr>
        <w:t>Responsabilidades en los 16 pasos del servicio</w:t>
      </w:r>
    </w:p>
    <w:p>
      <w:pPr/>
      <w:r>
        <w:t>Los números y nombres de los pasos conservan el proceso de la Actividad 11. Responsable significa asegurar la realización y el registro; apoyo no elimina esa responsabilidad. La aceptación del cliente se mantiene como decisión externa al taller. P1 asegura recursos y asignación, pero no reemplaza al técnico en decisiones de su especialidad.</w:t>
      </w:r>
    </w:p>
    <w:tbl>
      <w:tblPr>
        <w:tblW w:type="auto" w:w="0"/>
        <w:jc w:val="center"/>
        <w:tblLayout w:type="fixed"/>
        <w:tblLook w:firstColumn="1" w:firstRow="1" w:lastColumn="0" w:lastRow="0" w:noHBand="0" w:noVBand="1" w:val="04A0"/>
      </w:tblPr>
      <w:tblGrid>
        <w:gridCol w:w="3240"/>
        <w:gridCol w:w="1152"/>
        <w:gridCol w:w="1368"/>
        <w:gridCol w:w="3600"/>
      </w:tblGrid>
      <w:tr>
        <w:trPr>
          <w:cantSplit/>
          <w:tblHeader/>
        </w:trPr>
        <w:tc>
          <w:tcPr>
            <w:tcW w:type="dxa" w:w="3240"/>
            <w:vAlign w:val="center"/>
            <w:tcBorders>
              <w:top w:val="single" w:sz="4" w:color="D9D9D9"/>
              <w:bottom w:val="single" w:sz="4" w:color="D9D9D9"/>
              <w:left w:val="single" w:sz="4" w:color="D9D9D9"/>
              <w:right w:val="single" w:sz="4" w:color="D9D9D9"/>
            </w:tcBorders>
            <w:shd w:fill="E7EDF2"/>
          </w:tcPr>
          <w:p>
            <w:pPr>
              <w:keepNext w:val="0"/>
              <w:spacing w:line="252" w:lineRule="auto" w:before="40" w:after="40"/>
            </w:pPr>
            <w:r>
              <w:rPr>
                <w:rFonts w:ascii="Arial" w:hAnsi="Arial"/>
                <w:b/>
                <w:sz w:val="20"/>
              </w:rPr>
              <w:t>Paso del proceso</w:t>
            </w:r>
          </w:p>
        </w:tc>
        <w:tc>
          <w:tcPr>
            <w:tcW w:type="dxa" w:w="1152"/>
            <w:vAlign w:val="center"/>
            <w:tcBorders>
              <w:top w:val="single" w:sz="4" w:color="D9D9D9"/>
              <w:bottom w:val="single" w:sz="4" w:color="D9D9D9"/>
              <w:left w:val="single" w:sz="4" w:color="D9D9D9"/>
              <w:right w:val="single" w:sz="4" w:color="D9D9D9"/>
            </w:tcBorders>
            <w:shd w:fill="E7EDF2"/>
          </w:tcPr>
          <w:p>
            <w:pPr>
              <w:keepNext w:val="0"/>
              <w:spacing w:line="252" w:lineRule="auto" w:before="40" w:after="40"/>
            </w:pPr>
            <w:r>
              <w:rPr>
                <w:rFonts w:ascii="Arial" w:hAnsi="Arial"/>
                <w:b/>
                <w:sz w:val="20"/>
              </w:rPr>
              <w:t>A cargo</w:t>
            </w:r>
          </w:p>
        </w:tc>
        <w:tc>
          <w:tcPr>
            <w:tcW w:type="dxa" w:w="1368"/>
            <w:vAlign w:val="center"/>
            <w:tcBorders>
              <w:top w:val="single" w:sz="4" w:color="D9D9D9"/>
              <w:bottom w:val="single" w:sz="4" w:color="D9D9D9"/>
              <w:left w:val="single" w:sz="4" w:color="D9D9D9"/>
              <w:right w:val="single" w:sz="4" w:color="D9D9D9"/>
            </w:tcBorders>
            <w:shd w:fill="E7EDF2"/>
          </w:tcPr>
          <w:p>
            <w:pPr>
              <w:keepNext w:val="0"/>
              <w:spacing w:line="252" w:lineRule="auto" w:before="40" w:after="40"/>
            </w:pPr>
            <w:r>
              <w:rPr>
                <w:rFonts w:ascii="Arial" w:hAnsi="Arial"/>
                <w:b/>
                <w:sz w:val="20"/>
              </w:rPr>
              <w:t>Apoyo</w:t>
            </w:r>
          </w:p>
        </w:tc>
        <w:tc>
          <w:tcPr>
            <w:tcW w:type="dxa" w:w="3600"/>
            <w:vAlign w:val="center"/>
            <w:tcBorders>
              <w:top w:val="single" w:sz="4" w:color="D9D9D9"/>
              <w:bottom w:val="single" w:sz="4" w:color="D9D9D9"/>
              <w:left w:val="single" w:sz="4" w:color="D9D9D9"/>
              <w:right w:val="single" w:sz="4" w:color="D9D9D9"/>
            </w:tcBorders>
            <w:shd w:fill="E7EDF2"/>
          </w:tcPr>
          <w:p>
            <w:pPr>
              <w:keepNext w:val="0"/>
              <w:spacing w:line="252" w:lineRule="auto" w:before="40" w:after="40"/>
            </w:pPr>
            <w:r>
              <w:rPr>
                <w:rFonts w:ascii="Arial" w:hAnsi="Arial"/>
                <w:b/>
                <w:sz w:val="20"/>
              </w:rPr>
              <w:t>Registro o control</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1. Recibir la solicitud</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P2</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Sin apoyo fijo</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Solicitud con folio y servicio solicitado.</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2. Registrar el vehículo</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P2</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P3</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Datos técnicos; información desconocida identificada.</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3. ¿Puede atenderse este vehículo?</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P3</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P1</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Viabilidad técnica o cierre sin ejecución.</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4. Presentar presupuesto y condiciones</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P2</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P3, P5</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Presupuesto desglosado y plazo condicionado a recursos.</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5. ¿Existe autorización inicial?</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P2</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Sin apoyo fijo</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Aceptación del cliente o negativa documentada.</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6. Programar y recibir el vehículo</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P2</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P3</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Cita, recepción y condiciones observables.</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7. Realizar inspección inicial autorizada</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P3</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Sin apoyo fijo</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Inspección dentro del alcance autorizado.</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8. ¿Un hallazgo obliga a cambiar el alcance?</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P3</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P2</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Hallazgo y decisión de revisar el alcance o continuar.</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9. Revisar presupuesto: ¿se reautoriza?</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P2</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P3, P1</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Cambio de presupuesto y decisión del cliente; sin ejecución anticipada.</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10. ¿Insumos disponibles y conformes?</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P5</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P3</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Disponibilidad física y conformidad técnica, o reprogramación.</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11. Preparar el puesto de trabajo</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P3</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P6</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Área y recursos preparados; P6 solo apoya limpieza permitida.</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12. Ejecutar o corregir el servicio autorizado</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P3</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P5</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Servicio realizado, consumos y correcciones dentro del alcance.</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13. ¿Calidad conforme?</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P3</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P1</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Revisión técnica; P1 asegura la asignación del revisor competente.</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14. Conciliar trabajo e importe</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P2</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P3, P5</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Conciliación de servicio, insumos e importe autorizado.</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15. Entregar o cerrar sin ejecución</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P2</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P3</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Entrega, cierre sin ejecución o reprogramación diferenciados.</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16. Registrar cierre y seguimiento</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P2</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P1</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Cierre y seguimiento consentido; respuestas reales, no inferidas.</w:t>
            </w:r>
          </w:p>
        </w:tc>
      </w:tr>
    </w:tbl>
    <w:p>
      <w:pPr>
        <w:pStyle w:val="Heading2"/>
        <w:keepNext/>
        <w:pageBreakBefore w:val="0"/>
      </w:pPr>
      <w:r>
        <w:rPr>
          <w:b/>
          <w:sz w:val="24"/>
        </w:rPr>
        <w:t>Actividades complementarias y apoyos</w:t>
      </w:r>
    </w:p>
    <w:p>
      <w:pPr/>
      <w:r>
        <w:t>La cobertura no termina en el cambio de aceite: los servicios de llantas, la venta de refacciones y la administración requieren encargos propios. Los apoyos externos se definen por necesidad; no se presume un velador, un proveedor contratado o un puesto permanente para cada especialidad.</w:t>
      </w:r>
    </w:p>
    <w:tbl>
      <w:tblPr>
        <w:tblW w:type="auto" w:w="0"/>
        <w:jc w:val="center"/>
        <w:tblLayout w:type="fixed"/>
        <w:tblLook w:firstColumn="1" w:firstRow="1" w:lastColumn="0" w:lastRow="0" w:noHBand="0" w:noVBand="1" w:val="04A0"/>
      </w:tblPr>
      <w:tblGrid>
        <w:gridCol w:w="3312"/>
        <w:gridCol w:w="1152"/>
        <w:gridCol w:w="4896"/>
      </w:tblGrid>
      <w:tr>
        <w:trPr>
          <w:cantSplit/>
          <w:tblHeader/>
        </w:trPr>
        <w:tc>
          <w:tcPr>
            <w:tcW w:type="dxa" w:w="3312"/>
            <w:vAlign w:val="center"/>
            <w:tcBorders>
              <w:top w:val="single" w:sz="4" w:color="D9D9D9"/>
              <w:bottom w:val="single" w:sz="4" w:color="D9D9D9"/>
              <w:left w:val="single" w:sz="4" w:color="D9D9D9"/>
              <w:right w:val="single" w:sz="4" w:color="D9D9D9"/>
            </w:tcBorders>
            <w:shd w:fill="E7EDF2"/>
          </w:tcPr>
          <w:p>
            <w:pPr>
              <w:keepNext w:val="0"/>
              <w:spacing w:line="252" w:lineRule="auto" w:before="40" w:after="40"/>
            </w:pPr>
            <w:r>
              <w:rPr>
                <w:rFonts w:ascii="Arial" w:hAnsi="Arial"/>
                <w:b/>
                <w:sz w:val="20"/>
              </w:rPr>
              <w:t>Actividad</w:t>
            </w:r>
          </w:p>
        </w:tc>
        <w:tc>
          <w:tcPr>
            <w:tcW w:type="dxa" w:w="1152"/>
            <w:vAlign w:val="center"/>
            <w:tcBorders>
              <w:top w:val="single" w:sz="4" w:color="D9D9D9"/>
              <w:bottom w:val="single" w:sz="4" w:color="D9D9D9"/>
              <w:left w:val="single" w:sz="4" w:color="D9D9D9"/>
              <w:right w:val="single" w:sz="4" w:color="D9D9D9"/>
            </w:tcBorders>
            <w:shd w:fill="E7EDF2"/>
          </w:tcPr>
          <w:p>
            <w:pPr>
              <w:keepNext w:val="0"/>
              <w:spacing w:line="252" w:lineRule="auto" w:before="40" w:after="40"/>
            </w:pPr>
            <w:r>
              <w:rPr>
                <w:rFonts w:ascii="Arial" w:hAnsi="Arial"/>
                <w:b/>
                <w:sz w:val="20"/>
              </w:rPr>
              <w:t>A cargo</w:t>
            </w:r>
          </w:p>
        </w:tc>
        <w:tc>
          <w:tcPr>
            <w:tcW w:type="dxa" w:w="4896"/>
            <w:vAlign w:val="center"/>
            <w:tcBorders>
              <w:top w:val="single" w:sz="4" w:color="D9D9D9"/>
              <w:bottom w:val="single" w:sz="4" w:color="D9D9D9"/>
              <w:left w:val="single" w:sz="4" w:color="D9D9D9"/>
              <w:right w:val="single" w:sz="4" w:color="D9D9D9"/>
            </w:tcBorders>
            <w:shd w:fill="E7EDF2"/>
          </w:tcPr>
          <w:p>
            <w:pPr>
              <w:keepNext w:val="0"/>
              <w:spacing w:line="252" w:lineRule="auto" w:before="40" w:after="40"/>
            </w:pPr>
            <w:r>
              <w:rPr>
                <w:rFonts w:ascii="Arial" w:hAnsi="Arial"/>
                <w:b/>
                <w:sz w:val="20"/>
              </w:rPr>
              <w:t>Coordinación necesaria</w:t>
            </w:r>
          </w:p>
        </w:tc>
      </w:tr>
      <w:tr>
        <w:trPr>
          <w:cantSplit/>
        </w:trPr>
        <w:tc>
          <w:tcPr>
            <w:tcW w:type="dxa" w:w="3312"/>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Servicios de llantas fuera del mantenimiento elegido</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P4</w:t>
            </w:r>
          </w:p>
        </w:tc>
        <w:tc>
          <w:tcPr>
            <w:tcW w:type="dxa" w:w="4896"/>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P2 y P5; autorización propia del servicio.</w:t>
            </w:r>
          </w:p>
        </w:tc>
      </w:tr>
      <w:tr>
        <w:trPr>
          <w:cantSplit/>
        </w:trPr>
        <w:tc>
          <w:tcPr>
            <w:tcW w:type="dxa" w:w="3312"/>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Venta de refacciones sin intervención del vehículo</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P2</w:t>
            </w:r>
          </w:p>
        </w:tc>
        <w:tc>
          <w:tcPr>
            <w:tcW w:type="dxa" w:w="4896"/>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P5 registra existencias y salida; P3/P4 aclaran compatibilidad.</w:t>
            </w:r>
          </w:p>
        </w:tc>
      </w:tr>
      <w:tr>
        <w:trPr>
          <w:cantSplit/>
        </w:trPr>
        <w:tc>
          <w:tcPr>
            <w:tcW w:type="dxa" w:w="3312"/>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Compras, pagos, selección e inducción</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P1</w:t>
            </w:r>
          </w:p>
        </w:tc>
        <w:tc>
          <w:tcPr>
            <w:tcW w:type="dxa" w:w="4896"/>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P5 aporta documentación; P7/P8 asesoran según el encargo.</w:t>
            </w:r>
          </w:p>
        </w:tc>
      </w:tr>
      <w:tr>
        <w:trPr>
          <w:cantSplit/>
        </w:trPr>
        <w:tc>
          <w:tcPr>
            <w:tcW w:type="dxa" w:w="3312"/>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Limpieza y orden de áreas</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P6</w:t>
            </w:r>
          </w:p>
        </w:tc>
        <w:tc>
          <w:tcPr>
            <w:tcW w:type="dxa" w:w="4896"/>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P1 programa; P3/P4 liberan las zonas de trabajo.</w:t>
            </w:r>
          </w:p>
        </w:tc>
      </w:tr>
      <w:tr>
        <w:trPr>
          <w:cantSplit/>
        </w:trPr>
        <w:tc>
          <w:tcPr>
            <w:tcW w:type="dxa" w:w="3312"/>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Contabilidad y apoyo fiscal</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P7</w:t>
            </w:r>
          </w:p>
        </w:tc>
        <w:tc>
          <w:tcPr>
            <w:tcW w:type="dxa" w:w="4896"/>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P1 contrata y revisa entregables; P2/P5 proporcionan registros.</w:t>
            </w:r>
          </w:p>
        </w:tc>
      </w:tr>
      <w:tr>
        <w:trPr>
          <w:cantSplit/>
        </w:trPr>
        <w:tc>
          <w:tcPr>
            <w:tcW w:type="dxa" w:w="3312"/>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Contratos y asuntos jurídicos</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P8</w:t>
            </w:r>
          </w:p>
        </w:tc>
        <w:tc>
          <w:tcPr>
            <w:tcW w:type="dxa" w:w="4896"/>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P1 define el encargo y ejecuta las decisiones que le competen.</w:t>
            </w:r>
          </w:p>
        </w:tc>
      </w:tr>
      <w:tr>
        <w:trPr>
          <w:cantSplit/>
        </w:trPr>
        <w:tc>
          <w:tcPr>
            <w:tcW w:type="dxa" w:w="3312"/>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Soporte de agenda, mantenimiento de equipos, seguridad y residuos</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P1</w:t>
            </w:r>
          </w:p>
        </w:tc>
        <w:tc>
          <w:tcPr>
            <w:tcW w:type="dxa" w:w="4896"/>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Personal competente o proveedor especializado según necesidad; no se supone que P6 cubra estas especialidades.</w:t>
            </w:r>
          </w:p>
        </w:tc>
      </w:tr>
      <w:tr>
        <w:trPr>
          <w:cantSplit/>
        </w:trPr>
        <w:tc>
          <w:tcPr>
            <w:tcW w:type="dxa" w:w="3312"/>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Sondeo real y seguimiento de servicio, frecuencia, gasto y satisfacción</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P2</w:t>
            </w:r>
          </w:p>
        </w:tc>
        <w:tc>
          <w:tcPr>
            <w:tcW w:type="dxa" w:w="4896"/>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P1 organiza el levantamiento y revisa calidad y procedencia de datos.</w:t>
            </w:r>
          </w:p>
        </w:tc>
      </w:tr>
    </w:tbl>
    <w:p>
      <w:pPr>
        <w:pStyle w:val="Heading2"/>
        <w:keepNext/>
        <w:pageBreakBefore w:val="0"/>
      </w:pPr>
      <w:r>
        <w:rPr>
          <w:b/>
          <w:sz w:val="24"/>
        </w:rPr>
        <w:t>Asignación gradual y controles</w:t>
      </w:r>
    </w:p>
    <w:p>
      <w:pPr/>
      <w:r>
        <w:t>Una operación inicial individual puede concentrar coordinación, recepción y control de materiales; las tareas técnicas solo se asumirán con competencia y recursos suficientes. Esa concentración no elimina funciones ni permite atender simultáneamente actividades incompatibles. La agenda deberá reflejar las limitaciones efectivas; no se deduce capacidad diaria a partir de los tiempos estimados del diagrama.</w:t>
      </w:r>
    </w:p>
    <w:p>
      <w:pPr/>
      <w:r>
        <w:t>Cada orden identificará a la persona que desempeña cada función y su suplencia. El técnico documentará el autocontrol y P1 procurará una revisión por otra persona competente cuando el procedimiento lo requiera. Si no existe ese apoyo, no se simulará una segunda firma ni independencia de revisión: se registrará la limitación y se reprogramará cuando no pueda cumplirse la comprobación necesaria. Un administrador sin competencia técnica no libera el servicio.</w:t>
      </w:r>
    </w:p>
    <w:p>
      <w:pPr/>
      <w:r>
        <w:t>Si una persona solicita, compra, recibe y paga insumos, conservará por separado requisición, autorización, comprobante y registro de recepción. La revisión periódica por P1 y, dentro de su encargo, P7 permitirá contrastar esos documentos. Cuando P1 sea la misma persona, esa revisión no se presentará como segregación independiente. La separación de funciones será prioritaria si las diferencias de caja, inventario o carga de trabajo la justifican.</w:t>
      </w:r>
    </w:p>
    <w:p>
      <w:pPr/>
      <w:r>
        <w:t>La selección se basará en competencias demostrables para la función, no en edad, género u otros datos ajenos al puesto. La inducción abarcará alcance autorizado, registro de órdenes, comunicación de hallazgos, control de insumos, seguridad pertinente y resguardo de información. Las modalidades, horarios, remuneraciones y obligaciones se definirán con información real y asesoría aplicable antes de contratar; no son hechos acreditados por esta propuesta.</w:t>
      </w:r>
    </w:p>
    <w:p>
      <w:pPr/>
      <w:r>
        <w:t>P2 registrará servicio, frecuencia, gasto y satisfacción mediante respuestas reales del sondeo solicitado por la docente. El seguimiento de clientes atendidos puede aportar información de operación, pero no sustituye el sondeo por conveniencia en la zona prevista. La ausencia de respuestas no valida la demanda, la satisfacción ni el número de personas por contratar. P1 deberá evaluar el crecimiento de puestos con demanda observada, carga real, competencias y viabilidad financiera.</w:t>
      </w:r>
    </w:p>
    <w:p>
      <w:pPr>
        <w:pStyle w:val="Heading2"/>
        <w:keepNext/>
        <w:pageBreakBefore w:val="0"/>
      </w:pPr>
      <w:r>
        <w:rPr>
          <w:b/>
          <w:sz w:val="24"/>
        </w:rPr>
        <w:t>Seguimiento propuesto</w:t>
      </w:r>
    </w:p>
    <w:p>
      <w:pPr/>
      <w:r>
        <w:t>Los indicadores siguientes son criterios de revisión, no resultados ni metas alcanzadas. Las razones pueden expresarse como porcentaje; se anotarán numerador, denominador y periodo. Con denominador cero se registrará no aplicable. La revisión inicial se propone al cierre de cada orden y mediante consolidación periódica de P1, ajustable a la operación real.</w:t>
      </w:r>
    </w:p>
    <w:tbl>
      <w:tblPr>
        <w:tblW w:type="auto" w:w="0"/>
        <w:jc w:val="center"/>
        <w:tblLayout w:type="fixed"/>
        <w:tblLook w:firstColumn="1" w:firstRow="1" w:lastColumn="0" w:lastRow="0" w:noHBand="0" w:noVBand="1" w:val="04A0"/>
      </w:tblPr>
      <w:tblGrid>
        <w:gridCol w:w="1800"/>
        <w:gridCol w:w="4320"/>
        <w:gridCol w:w="3240"/>
      </w:tblGrid>
      <w:tr>
        <w:trPr>
          <w:cantSplit/>
          <w:tblHeader/>
        </w:trPr>
        <w:tc>
          <w:tcPr>
            <w:tcW w:type="dxa" w:w="1800"/>
            <w:vAlign w:val="center"/>
            <w:tcBorders>
              <w:top w:val="single" w:sz="4" w:color="D9D9D9"/>
              <w:bottom w:val="single" w:sz="4" w:color="D9D9D9"/>
              <w:left w:val="single" w:sz="4" w:color="D9D9D9"/>
              <w:right w:val="single" w:sz="4" w:color="D9D9D9"/>
            </w:tcBorders>
            <w:shd w:fill="E7EDF2"/>
          </w:tcPr>
          <w:p>
            <w:pPr>
              <w:keepNext w:val="0"/>
              <w:spacing w:line="252" w:lineRule="auto" w:before="40" w:after="40"/>
            </w:pPr>
            <w:r>
              <w:rPr>
                <w:rFonts w:ascii="Arial" w:hAnsi="Arial"/>
                <w:b/>
                <w:sz w:val="20"/>
              </w:rPr>
              <w:t>Criterio</w:t>
            </w:r>
          </w:p>
        </w:tc>
        <w:tc>
          <w:tcPr>
            <w:tcW w:type="dxa" w:w="4320"/>
            <w:vAlign w:val="center"/>
            <w:tcBorders>
              <w:top w:val="single" w:sz="4" w:color="D9D9D9"/>
              <w:bottom w:val="single" w:sz="4" w:color="D9D9D9"/>
              <w:left w:val="single" w:sz="4" w:color="D9D9D9"/>
              <w:right w:val="single" w:sz="4" w:color="D9D9D9"/>
            </w:tcBorders>
            <w:shd w:fill="E7EDF2"/>
          </w:tcPr>
          <w:p>
            <w:pPr>
              <w:keepNext w:val="0"/>
              <w:spacing w:line="252" w:lineRule="auto" w:before="40" w:after="40"/>
            </w:pPr>
            <w:r>
              <w:rPr>
                <w:rFonts w:ascii="Arial" w:hAnsi="Arial"/>
                <w:b/>
                <w:sz w:val="20"/>
              </w:rPr>
              <w:t>Cálculo o evidencia</w:t>
            </w:r>
          </w:p>
        </w:tc>
        <w:tc>
          <w:tcPr>
            <w:tcW w:type="dxa" w:w="3240"/>
            <w:vAlign w:val="center"/>
            <w:tcBorders>
              <w:top w:val="single" w:sz="4" w:color="D9D9D9"/>
              <w:bottom w:val="single" w:sz="4" w:color="D9D9D9"/>
              <w:left w:val="single" w:sz="4" w:color="D9D9D9"/>
              <w:right w:val="single" w:sz="4" w:color="D9D9D9"/>
            </w:tcBorders>
            <w:shd w:fill="E7EDF2"/>
          </w:tcPr>
          <w:p>
            <w:pPr>
              <w:keepNext w:val="0"/>
              <w:spacing w:line="252" w:lineRule="auto" w:before="40" w:after="40"/>
            </w:pPr>
            <w:r>
              <w:rPr>
                <w:rFonts w:ascii="Arial" w:hAnsi="Arial"/>
                <w:b/>
                <w:sz w:val="20"/>
              </w:rPr>
              <w:t>Responsable y uso</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Autorización trazable</w:t>
            </w:r>
          </w:p>
        </w:tc>
        <w:tc>
          <w:tcPr>
            <w:tcW w:type="dxa" w:w="432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Órdenes con alcance e importe aceptados antes de la intervención / órdenes con trabajo cobrable revisadas.</w:t>
            </w:r>
          </w:p>
        </w:tc>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P2. P1 revisa registros y detiene ampliaciones sin aceptación.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Control de insumos</w:t>
            </w:r>
          </w:p>
        </w:tc>
        <w:tc>
          <w:tcPr>
            <w:tcW w:type="dxa" w:w="432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Salidas vinculadas a orden o venta / salidas de insumos revisadas.</w:t>
            </w:r>
          </w:p>
        </w:tc>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P5. P1 contrasta registro y comprobantes; no se compensan diferencias sin investigar.</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Verificación del servicio</w:t>
            </w:r>
          </w:p>
        </w:tc>
        <w:tc>
          <w:tcPr>
            <w:tcW w:type="dxa" w:w="432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Órdenes concluidas con revisión técnica documentada / órdenes concluidas revisadas.</w:t>
            </w:r>
          </w:p>
        </w:tc>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P3. Distinguir autocontrol y revisión por otra persona; registrar correcciones.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Respuesta al seguimiento</w:t>
            </w:r>
          </w:p>
        </w:tc>
        <w:tc>
          <w:tcPr>
            <w:tcW w:type="dxa" w:w="432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Clientes que responden / clientes contactados con consentimiento; satisfacción se calcula solo entre respuestas válidas.</w:t>
            </w:r>
          </w:p>
        </w:tc>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40" w:after="40"/>
            </w:pPr>
            <w:r>
              <w:rPr>
                <w:rFonts w:ascii="Arial" w:hAnsi="Arial"/>
                <w:b w:val="0"/>
                <w:sz w:val="20"/>
              </w:rPr>
              <w:t>P2. P1 distingue no respuesta, queja y satisfacción expresada.</w:t>
            </w:r>
          </w:p>
        </w:tc>
      </w:tr>
    </w:tbl>
    <w:p>
      <w:pPr>
        <w:pStyle w:val="Heading1"/>
        <w:keepNext/>
        <w:pageBreakBefore/>
      </w:pPr>
      <w:r>
        <w:rPr>
          <w:b/>
          <w:sz w:val="30"/>
        </w:rPr>
        <w:t>Conclusiones</w:t>
      </w:r>
    </w:p>
    <w:p>
      <w:pPr/>
      <w:r>
        <w:t>AM Taller Autocentro requiere coordinar funciones comerciales, administrativas, técnicas y de apoyo, aunque inicialmente una persona asuma varias. La distribución propuesta asigna responsables a los 16 pasos del mantenimiento y a las actividades complementarias de llantas, refacciones, limpieza y servicios profesionales. La trazabilidad de la orden conecta aceptación, ejecución, insumos, revisión y cobro: el control depende de esa conexión, no del número de nombres en un organigrama.</w:t>
      </w:r>
    </w:p>
    <w:p>
      <w:pPr/>
      <w:r>
        <w:t>Considero preferible una estructura pequeña con límites y registros claros antes que una plantilla amplia sin sustento de demanda o capacidad financiera. La separación entre autorización comercial, decisión del cliente y revisión técnica reduce ambigüedades; reconocer las limitaciones de una operación individual evita simular controles inexistentes. La incorporación de personas deberá justificarse con carga real, competencias y recursos. El siguiente paso administrativo es asignar personas y probar el funcionamiento de los registros, mientras el sondeo pendiente aporta evidencia para dimensionar el proyecto, sin presentarlo como concluido.</w:t>
      </w:r>
      <w:r>
        <w:footnoteReference w:id="1"/>
      </w:r>
    </w:p>
    <w:p>
      <w:pPr>
        <w:pStyle w:val="Heading1"/>
        <w:keepNext/>
        <w:pageBreakBefore/>
      </w:pPr>
      <w:r>
        <w:rPr>
          <w:b/>
          <w:sz w:val="30"/>
        </w:rPr>
        <w:t>Referencias</w:t>
      </w:r>
    </w:p>
    <w:p>
      <w:pPr>
        <w:ind w:left="720" w:hanging="720"/>
      </w:pPr>
      <w:r>
        <w:t xml:space="preserve">Instituto Tecnológico Superior de Cajeme. (s. f.). </w:t>
      </w:r>
      <w:r>
        <w:rPr>
          <w:i/>
        </w:rPr>
        <w:t>Administración de Recursos Humanos (Puestos y funciones)</w:t>
      </w:r>
      <w:r>
        <w:t xml:space="preserve"> [Consigna de Plan de Negocios]. https://cursos3.e-itesca.edu.mx/mod/assign/view.php?id=6551</w:t>
      </w:r>
    </w:p>
    <w:p>
      <w:pPr>
        <w:ind w:left="720" w:hanging="720"/>
      </w:pPr>
      <w:r>
        <w:t xml:space="preserve">OpenStax. (s. f.). 10.1 Organizational structures and design. En </w:t>
      </w:r>
      <w:r>
        <w:rPr>
          <w:i/>
        </w:rPr>
        <w:t>Principles of management</w:t>
      </w:r>
      <w:r>
        <w:t>. https://openstax.org/books/principles-management/pages/10-1-organizational-structures-and-design</w:t>
      </w:r>
    </w:p>
    <w:p>
      <w:pPr>
        <w:ind w:left="720" w:hanging="720"/>
      </w:pPr>
      <w:r/>
      <w:r>
        <w:rPr>
          <w:i/>
        </w:rPr>
        <w:t>Propuesta de glosario de conceptos</w:t>
      </w:r>
      <w:r>
        <w:t>. (2024). [Material didáctico de Plan de Negocios, apartados 4.2 y 4.3]. ITESCA Virtual. https://cursos3.e-itesca.edu.mx/mod/resource/view.php?id=6527</w:t>
      </w:r>
    </w:p>
    <w:sectPr>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
    <w:p>
      <w:pPr>
        <w:pStyle w:val="FootnoteText"/>
      </w:pPr>
      <w:r>
        <w:footnoteRef/>
      </w:r>
      <w:r>
        <w:rPr>
          <w:rFonts w:ascii="Arial" w:hAnsi="Arial"/>
          <w:sz w:val="18"/>
        </w:rPr>
        <w:t xml:space="preserve"> Se utilizó GitHub Copilot para organizar las fichas, revisar su correspondencia con el proceso y preparar los documentos. La asistencia automatizada no acredita contrataciones, resultados del sondeo, revisión docente ni operación real; corresponde al estudiante revisar y asumir el contenido final.</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after="160"/>
    </w:pPr>
    <w:rPr>
      <w:rFonts w:ascii="Arial" w:hAnsi="Arial"/>
      <w:color w:val="000000"/>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Arial" w:hAnsi="Arial"/>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rial" w:hAnsi="Arial"/>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rial" w:hAnsi="Arial"/>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Arial" w:hAnsi="Arial"/>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Administración de recursos humanos: puestos y funciones</dc:title>
  <dc:creator>Martín Jonathan de la Cruz Muñoz</dc:creator>
  <cp:keywords/>
  <dcterms:created xsi:type="dcterms:W3CDTF">2026-09-21T02:44:06Z</dcterms:created>
  <dcterms:modified xsi:type="dcterms:W3CDTF">2026-09-21T02:44:06Z</dcterms:modified>
  <dc:subject>Actividad 12 - Plan de Negocios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reference-section-title">
    <vt:lpwstr>Referencias</vt:lpwstr>
  </property>
</Properties>
</file>