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CF9" w:rsidRDefault="00DE5CF9" w:rsidP="00DE5CF9">
      <w:pPr>
        <w:pStyle w:val="BodyText2"/>
        <w:jc w:val="right"/>
        <w:rPr>
          <w:rFonts w:ascii="Arial Narrow" w:hAnsi="Arial Narrow"/>
          <w:b/>
          <w:bCs/>
          <w:i/>
          <w:iCs/>
        </w:rPr>
      </w:pPr>
      <w:proofErr w:type="spellStart"/>
      <w:proofErr w:type="gramStart"/>
      <w:r>
        <w:rPr>
          <w:rFonts w:ascii="Arial Narrow" w:hAnsi="Arial Narrow"/>
          <w:b/>
          <w:bCs/>
          <w:i/>
          <w:iCs/>
        </w:rPr>
        <w:t>Name:_</w:t>
      </w:r>
      <w:proofErr w:type="gramEnd"/>
      <w:r w:rsidR="00252A8D">
        <w:rPr>
          <w:rFonts w:ascii="Arial Narrow" w:hAnsi="Arial Narrow"/>
          <w:b/>
          <w:bCs/>
          <w:i/>
          <w:iCs/>
        </w:rPr>
        <w:t>Kathryn</w:t>
      </w:r>
      <w:proofErr w:type="spellEnd"/>
      <w:r w:rsidR="00252A8D">
        <w:rPr>
          <w:rFonts w:ascii="Arial Narrow" w:hAnsi="Arial Narrow"/>
          <w:b/>
          <w:bCs/>
          <w:i/>
          <w:iCs/>
        </w:rPr>
        <w:t xml:space="preserve"> Atherton</w:t>
      </w:r>
      <w:r>
        <w:rPr>
          <w:rFonts w:ascii="Arial Narrow" w:hAnsi="Arial Narrow"/>
          <w:b/>
          <w:bCs/>
          <w:i/>
          <w:iCs/>
        </w:rPr>
        <w:t>___________________</w:t>
      </w:r>
    </w:p>
    <w:p w:rsidR="00DE5CF9" w:rsidRDefault="00DE5CF9">
      <w:pPr>
        <w:pStyle w:val="BodyText2"/>
        <w:jc w:val="both"/>
        <w:rPr>
          <w:rFonts w:ascii="Arial Narrow" w:hAnsi="Arial Narrow"/>
          <w:b/>
          <w:bCs/>
          <w:i/>
          <w:iCs/>
        </w:rPr>
      </w:pPr>
    </w:p>
    <w:p w:rsidR="00CD6FFC" w:rsidRPr="00304697" w:rsidRDefault="00CD6FFC">
      <w:pPr>
        <w:pStyle w:val="BodyText2"/>
        <w:jc w:val="both"/>
        <w:rPr>
          <w:rFonts w:ascii="Arial Narrow" w:hAnsi="Arial Narrow"/>
          <w:b/>
          <w:iCs/>
          <w:u w:val="single"/>
        </w:rPr>
      </w:pPr>
      <w:r>
        <w:rPr>
          <w:rFonts w:ascii="Arial Narrow" w:hAnsi="Arial Narrow"/>
          <w:b/>
          <w:bCs/>
          <w:i/>
          <w:iCs/>
        </w:rPr>
        <w:t>Description</w:t>
      </w:r>
      <w:r>
        <w:rPr>
          <w:rFonts w:ascii="Arial Narrow" w:hAnsi="Arial Narrow"/>
          <w:i/>
          <w:iCs/>
        </w:rPr>
        <w:t xml:space="preserve">:  </w:t>
      </w:r>
      <w:r w:rsidR="003A307F">
        <w:rPr>
          <w:rFonts w:ascii="Arial Narrow" w:hAnsi="Arial Narrow"/>
          <w:i/>
          <w:iCs/>
        </w:rPr>
        <w:t>Twice throughout the semester</w:t>
      </w:r>
      <w:r w:rsidR="00C349EB">
        <w:rPr>
          <w:rFonts w:ascii="Arial Narrow" w:hAnsi="Arial Narrow"/>
          <w:i/>
          <w:iCs/>
        </w:rPr>
        <w:t>.</w:t>
      </w:r>
      <w:r w:rsidR="003A307F">
        <w:rPr>
          <w:rFonts w:ascii="Arial Narrow" w:hAnsi="Arial Narrow"/>
          <w:i/>
          <w:iCs/>
        </w:rPr>
        <w:t xml:space="preserve"> Teams must meet </w:t>
      </w:r>
      <w:r w:rsidR="0043694A">
        <w:rPr>
          <w:rFonts w:ascii="Arial Narrow" w:hAnsi="Arial Narrow"/>
          <w:i/>
          <w:iCs/>
        </w:rPr>
        <w:t>during the lab prep on Mondays</w:t>
      </w:r>
      <w:r w:rsidR="003A307F">
        <w:rPr>
          <w:rFonts w:ascii="Arial Narrow" w:hAnsi="Arial Narrow"/>
          <w:i/>
          <w:iCs/>
        </w:rPr>
        <w:t xml:space="preserve"> and present their products to each other. Afterwards, the team must choose which report from the group should be presented</w:t>
      </w:r>
      <w:r w:rsidR="00C349EB">
        <w:rPr>
          <w:rFonts w:ascii="Arial Narrow" w:hAnsi="Arial Narrow"/>
          <w:i/>
          <w:iCs/>
        </w:rPr>
        <w:t xml:space="preserve"> </w:t>
      </w:r>
      <w:r w:rsidR="003A307F">
        <w:rPr>
          <w:rFonts w:ascii="Arial Narrow" w:hAnsi="Arial Narrow"/>
          <w:i/>
          <w:iCs/>
        </w:rPr>
        <w:t>in front of the whole class.</w:t>
      </w:r>
      <w:r w:rsidR="00C349EB">
        <w:rPr>
          <w:rFonts w:ascii="Arial Narrow" w:hAnsi="Arial Narrow"/>
          <w:i/>
          <w:iCs/>
        </w:rPr>
        <w:t xml:space="preserve"> The presentation should include a Power Point Slide with information about the selected product or process.</w:t>
      </w:r>
      <w:r w:rsidR="003A307F">
        <w:rPr>
          <w:rFonts w:ascii="Arial Narrow" w:hAnsi="Arial Narrow"/>
          <w:i/>
          <w:iCs/>
        </w:rPr>
        <w:t xml:space="preserve"> The team member who wrote the report will get extra credit points</w:t>
      </w:r>
      <w:r w:rsidR="00A34CD0">
        <w:rPr>
          <w:rFonts w:ascii="Arial Narrow" w:hAnsi="Arial Narrow"/>
          <w:i/>
          <w:iCs/>
        </w:rPr>
        <w:t>,</w:t>
      </w:r>
      <w:r w:rsidR="003A307F">
        <w:rPr>
          <w:rFonts w:ascii="Arial Narrow" w:hAnsi="Arial Narrow"/>
          <w:i/>
          <w:iCs/>
        </w:rPr>
        <w:t xml:space="preserve"> and will need to present</w:t>
      </w:r>
      <w:r w:rsidR="00A34CD0">
        <w:rPr>
          <w:rFonts w:ascii="Arial Narrow" w:hAnsi="Arial Narrow"/>
          <w:i/>
          <w:iCs/>
        </w:rPr>
        <w:t xml:space="preserve"> their report</w:t>
      </w:r>
      <w:r w:rsidR="003A307F">
        <w:rPr>
          <w:rFonts w:ascii="Arial Narrow" w:hAnsi="Arial Narrow"/>
          <w:i/>
          <w:iCs/>
        </w:rPr>
        <w:t xml:space="preserve"> to the whole class.  </w:t>
      </w:r>
      <w:r w:rsidR="00A34CD0">
        <w:rPr>
          <w:rFonts w:ascii="Arial Narrow" w:hAnsi="Arial Narrow"/>
          <w:i/>
          <w:iCs/>
        </w:rPr>
        <w:t>After all of the</w:t>
      </w:r>
      <w:r w:rsidR="0036469E">
        <w:rPr>
          <w:rFonts w:ascii="Arial Narrow" w:hAnsi="Arial Narrow"/>
          <w:i/>
          <w:iCs/>
        </w:rPr>
        <w:t xml:space="preserve"> class presentations, everyone will vote which team had the best report. Extra credit points will be assigned to the winning team. </w:t>
      </w:r>
      <w:r w:rsidR="00304697">
        <w:rPr>
          <w:rFonts w:ascii="Arial Narrow" w:hAnsi="Arial Narrow"/>
          <w:b/>
          <w:iCs/>
          <w:u w:val="single"/>
        </w:rPr>
        <w:t>Everyone must turn</w:t>
      </w:r>
      <w:r w:rsidR="00815585">
        <w:rPr>
          <w:rFonts w:ascii="Arial Narrow" w:hAnsi="Arial Narrow"/>
          <w:b/>
          <w:iCs/>
          <w:u w:val="single"/>
        </w:rPr>
        <w:t xml:space="preserve"> in a report during lab</w:t>
      </w:r>
      <w:r w:rsidR="00304697">
        <w:rPr>
          <w:rFonts w:ascii="Arial Narrow" w:hAnsi="Arial Narrow"/>
          <w:b/>
          <w:iCs/>
          <w:u w:val="single"/>
        </w:rPr>
        <w:t>. Every group must select their favorite report to be presented in class on the above dates.</w:t>
      </w:r>
      <w:r w:rsidR="00815585">
        <w:rPr>
          <w:rFonts w:ascii="Arial Narrow" w:hAnsi="Arial Narrow"/>
          <w:b/>
          <w:iCs/>
          <w:u w:val="single"/>
        </w:rPr>
        <w:t xml:space="preserve"> As engineers (and people), it is important to think and analyze things on your own, plagiarism will be reported. </w:t>
      </w:r>
      <w:r w:rsidR="009E5914">
        <w:rPr>
          <w:rFonts w:ascii="Arial Narrow" w:hAnsi="Arial Narrow"/>
          <w:b/>
          <w:iCs/>
          <w:u w:val="single"/>
        </w:rPr>
        <w:t>Your sources must be included at the end of the report.</w:t>
      </w:r>
    </w:p>
    <w:p w:rsidR="00CD6FFC" w:rsidRDefault="00CD6FFC">
      <w:pPr>
        <w:pStyle w:val="BodyText2"/>
        <w:jc w:val="both"/>
        <w:rPr>
          <w:rFonts w:ascii="Arial Narrow" w:hAnsi="Arial Narrow"/>
        </w:rPr>
      </w:pPr>
    </w:p>
    <w:p w:rsidR="00CD6FFC" w:rsidRDefault="00CD6FFC">
      <w:pPr>
        <w:pStyle w:val="BodyText2"/>
        <w:jc w:val="both"/>
      </w:pPr>
      <w:r>
        <w:rPr>
          <w:rFonts w:ascii="Arial Narrow" w:hAnsi="Arial Narrow"/>
        </w:rPr>
        <w:t xml:space="preserve">This </w:t>
      </w:r>
      <w:r w:rsidR="00304697">
        <w:rPr>
          <w:rFonts w:ascii="Arial Narrow" w:hAnsi="Arial Narrow"/>
        </w:rPr>
        <w:t xml:space="preserve">report must highlight a new </w:t>
      </w:r>
      <w:proofErr w:type="spellStart"/>
      <w:r w:rsidR="00304697">
        <w:rPr>
          <w:rFonts w:ascii="Arial Narrow" w:hAnsi="Arial Narrow"/>
        </w:rPr>
        <w:t>bioproduct</w:t>
      </w:r>
      <w:proofErr w:type="spellEnd"/>
      <w:r w:rsidR="00304697">
        <w:rPr>
          <w:rFonts w:ascii="Arial Narrow" w:hAnsi="Arial Narrow"/>
        </w:rPr>
        <w:t xml:space="preserve">, bioprocess, food process, or food product. The key here is to choose something that has to do with bio/food-process engineering. </w:t>
      </w:r>
      <w:r w:rsidR="00815585">
        <w:rPr>
          <w:rFonts w:ascii="Arial Narrow" w:hAnsi="Arial Narrow"/>
        </w:rPr>
        <w:t xml:space="preserve">A few examples will be presented before the reports are due. </w:t>
      </w:r>
      <w:r w:rsidR="00304697">
        <w:rPr>
          <w:rFonts w:ascii="Arial Narrow" w:hAnsi="Arial Narrow"/>
        </w:rPr>
        <w:t xml:space="preserve"> </w:t>
      </w:r>
    </w:p>
    <w:p w:rsidR="00CD6FFC" w:rsidRDefault="00CD6FFC">
      <w:pPr>
        <w:pStyle w:val="BodyText"/>
        <w:rPr>
          <w:rFonts w:ascii="Arial Narrow" w:hAnsi="Arial Narrow"/>
        </w:rPr>
      </w:pPr>
    </w:p>
    <w:p w:rsidR="00DE5CF9" w:rsidRDefault="00DE5CF9">
      <w:pPr>
        <w:pStyle w:val="BodyText"/>
        <w:rPr>
          <w:rFonts w:ascii="Arial Narrow" w:hAnsi="Arial Narrow"/>
        </w:rPr>
      </w:pPr>
    </w:p>
    <w:p w:rsidR="00CD6FFC" w:rsidRDefault="00CD6FFC">
      <w:pPr>
        <w:pStyle w:val="BodyText"/>
        <w:rPr>
          <w:rFonts w:ascii="Arial Narrow" w:hAnsi="Arial Narrow"/>
        </w:rPr>
      </w:pPr>
    </w:p>
    <w:p w:rsidR="00CD6FFC" w:rsidRDefault="00386403">
      <w:pPr>
        <w:rPr>
          <w:rFonts w:ascii="Arial Narrow" w:hAnsi="Arial Narrow"/>
        </w:rPr>
      </w:pPr>
      <w:r>
        <w:rPr>
          <w:rFonts w:ascii="Arial Narrow" w:hAnsi="Arial Narrow"/>
          <w:b/>
          <w:bCs/>
          <w:noProof/>
          <w:sz w:val="20"/>
        </w:rPr>
        <mc:AlternateContent>
          <mc:Choice Requires="wps">
            <w:drawing>
              <wp:anchor distT="0" distB="0" distL="114300" distR="114300" simplePos="0" relativeHeight="251657728" behindDoc="0" locked="0" layoutInCell="1" allowOverlap="1">
                <wp:simplePos x="0" y="0"/>
                <wp:positionH relativeFrom="column">
                  <wp:posOffset>447675</wp:posOffset>
                </wp:positionH>
                <wp:positionV relativeFrom="paragraph">
                  <wp:posOffset>147320</wp:posOffset>
                </wp:positionV>
                <wp:extent cx="2647950" cy="0"/>
                <wp:effectExtent l="0" t="0" r="0" b="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7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45297"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1.6pt" to="24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ar6FA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cksf1pMwTV6P0tIcQ801vkPXHcoTEosQXQkJqet8yAdoHdIuEfpjZAy&#10;ui0V6ku8mE6mMcBpKVg4DDBnD/tKWnQioV/iF+oAZA8wq4+KRbKWE7a+zT0R8joHvFSBD1IBObfZ&#10;tSG+LdLFer6e56N8MluP8rSuR+83VT6abbKnaf2urqo6+x6kZXnRCsa4CuruzZnlf2f+7Zlc22po&#10;z6EMySN7TBHE3v9RdPQy2HdthL1ml50N1Qi2Qj9G8O3thIb/dR1RP1/46gcAAAD//wMAUEsDBBQA&#10;BgAIAAAAIQBB6DAZ3AAAAAgBAAAPAAAAZHJzL2Rvd25yZXYueG1sTI/BTsMwEETvSPyDtUhcqtYm&#10;hbYKcSoE5MalBcR1myxJRLxOY7cNfD2LOMBxZ0azb7L16Dp1pCG0ni1czQwo4tJXLdcWXp6L6QpU&#10;iMgVdp7JwicFWOfnZxmmlT/xho7bWCsp4ZCihSbGPtU6lA05DDPfE4v37geHUc6h1tWAJyl3nU6M&#10;WWiHLcuHBnu6b6j82B6chVC80r74mpQT8zavPSX7h6dHtPbyYry7BRVpjH9h+MEXdMiFaecPXAXV&#10;WViaG0laSOYJKPGvV0sRdr+CzjP9f0D+DQAA//8DAFBLAQItABQABgAIAAAAIQC2gziS/gAAAOEB&#10;AAATAAAAAAAAAAAAAAAAAAAAAABbQ29udGVudF9UeXBlc10ueG1sUEsBAi0AFAAGAAgAAAAhADj9&#10;If/WAAAAlAEAAAsAAAAAAAAAAAAAAAAALwEAAF9yZWxzLy5yZWxzUEsBAi0AFAAGAAgAAAAhANtJ&#10;qvoUAgAAKQQAAA4AAAAAAAAAAAAAAAAALgIAAGRycy9lMm9Eb2MueG1sUEsBAi0AFAAGAAgAAAAh&#10;AEHoMBncAAAACAEAAA8AAAAAAAAAAAAAAAAAbgQAAGRycy9kb3ducmV2LnhtbFBLBQYAAAAABAAE&#10;APMAAAB3BQAAAAA=&#10;"/>
            </w:pict>
          </mc:Fallback>
        </mc:AlternateContent>
      </w:r>
      <w:r w:rsidR="009E5914">
        <w:rPr>
          <w:rFonts w:ascii="Arial Narrow" w:hAnsi="Arial Narrow"/>
          <w:b/>
          <w:bCs/>
        </w:rPr>
        <w:t xml:space="preserve"> </w:t>
      </w:r>
      <w:r w:rsidR="00DE5CF9">
        <w:rPr>
          <w:rFonts w:ascii="Arial Narrow" w:hAnsi="Arial Narrow"/>
          <w:b/>
          <w:bCs/>
        </w:rPr>
        <w:t>Topic</w:t>
      </w:r>
      <w:r w:rsidR="00CD6FFC">
        <w:rPr>
          <w:rFonts w:ascii="Arial Narrow" w:hAnsi="Arial Narrow"/>
          <w:b/>
          <w:bCs/>
        </w:rPr>
        <w:t>:</w:t>
      </w:r>
      <w:r w:rsidR="00CD6FFC">
        <w:rPr>
          <w:rFonts w:ascii="Arial Narrow" w:hAnsi="Arial Narrow"/>
        </w:rPr>
        <w:tab/>
      </w:r>
      <w:r w:rsidR="009E5914">
        <w:rPr>
          <w:rFonts w:ascii="Arial Narrow" w:hAnsi="Arial Narrow"/>
        </w:rPr>
        <w:t xml:space="preserve"> </w:t>
      </w:r>
      <w:r w:rsidR="00252A8D">
        <w:rPr>
          <w:rFonts w:ascii="Arial Narrow" w:hAnsi="Arial Narrow"/>
        </w:rPr>
        <w:t>LSTS Method developed by Purdue Food Science Professor</w:t>
      </w:r>
      <w:r w:rsidR="009E5914">
        <w:rPr>
          <w:rFonts w:ascii="Arial Narrow" w:hAnsi="Arial Narrow"/>
        </w:rPr>
        <w:t xml:space="preserve"> </w:t>
      </w:r>
      <w:r w:rsidR="00CD6FFC">
        <w:rPr>
          <w:rFonts w:ascii="Arial Narrow" w:hAnsi="Arial Narrow"/>
        </w:rPr>
        <w:tab/>
      </w:r>
    </w:p>
    <w:p w:rsidR="00DE5CF9" w:rsidRDefault="00DE5CF9"/>
    <w:p w:rsidR="00CD6FFC" w:rsidRDefault="00CD6FFC">
      <w:pPr>
        <w:rPr>
          <w:rFonts w:ascii="Arial Narrow" w:hAnsi="Arial Narrow"/>
        </w:rPr>
      </w:pPr>
    </w:p>
    <w:tbl>
      <w:tblPr>
        <w:tblW w:w="100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8"/>
      </w:tblGrid>
      <w:tr w:rsidR="00CD6FFC" w:rsidTr="00DE5CF9">
        <w:trPr>
          <w:trHeight w:val="3082"/>
        </w:trPr>
        <w:tc>
          <w:tcPr>
            <w:tcW w:w="10098" w:type="dxa"/>
          </w:tcPr>
          <w:p w:rsidR="00CD6FFC" w:rsidRDefault="009E5914">
            <w:pPr>
              <w:rPr>
                <w:rFonts w:ascii="Arial Narrow" w:hAnsi="Arial Narrow"/>
                <w:b/>
                <w:bCs/>
                <w:sz w:val="22"/>
              </w:rPr>
            </w:pPr>
            <w:r>
              <w:rPr>
                <w:rFonts w:ascii="Arial Narrow" w:hAnsi="Arial Narrow"/>
                <w:b/>
                <w:bCs/>
                <w:sz w:val="22"/>
              </w:rPr>
              <w:t>Summary in your own words</w:t>
            </w:r>
            <w:r w:rsidR="00CD6FFC">
              <w:rPr>
                <w:rFonts w:ascii="Arial Narrow" w:hAnsi="Arial Narrow"/>
                <w:b/>
                <w:bCs/>
                <w:sz w:val="22"/>
              </w:rPr>
              <w:t xml:space="preserve">:  </w:t>
            </w:r>
          </w:p>
          <w:p w:rsidR="00DE5CF9" w:rsidRDefault="00DE5CF9">
            <w:pPr>
              <w:rPr>
                <w:rFonts w:ascii="Arial Narrow" w:hAnsi="Arial Narrow"/>
                <w:b/>
                <w:bCs/>
                <w:sz w:val="22"/>
              </w:rPr>
            </w:pPr>
          </w:p>
          <w:p w:rsidR="00DE5CF9" w:rsidRPr="00DE5CF9" w:rsidRDefault="00252A8D" w:rsidP="00F321B1">
            <w:pPr>
              <w:rPr>
                <w:rFonts w:ascii="Arial Narrow" w:hAnsi="Arial Narrow"/>
                <w:b/>
                <w:bCs/>
                <w:sz w:val="22"/>
              </w:rPr>
            </w:pPr>
            <w:r>
              <w:rPr>
                <w:rFonts w:ascii="Arial Narrow" w:hAnsi="Arial Narrow"/>
                <w:bCs/>
                <w:sz w:val="22"/>
              </w:rPr>
              <w:t>Over the summer, Purdue Professor Bruce Applegate in the Department of Food Science found that increasing the temperature of milk by 10 degrees for less than a second kills over 99% of the bacteria left over after pasteurization. This can add up to seven weeks of shelf life to cold milk. For now, the process is a supplement to pasteurization, but does not add energy to the system, which ca</w:t>
            </w:r>
            <w:r w:rsidR="008B51CB">
              <w:rPr>
                <w:rFonts w:ascii="Arial Narrow" w:hAnsi="Arial Narrow"/>
                <w:bCs/>
                <w:sz w:val="22"/>
              </w:rPr>
              <w:t xml:space="preserve">n reduce waste and bring milk to places where the transportation time with only pasteurization only allow milk to have a shelf life of a few days. </w:t>
            </w:r>
            <w:bookmarkStart w:id="0" w:name="_GoBack"/>
            <w:bookmarkEnd w:id="0"/>
          </w:p>
        </w:tc>
      </w:tr>
    </w:tbl>
    <w:p w:rsidR="00CD6FFC" w:rsidRDefault="00CD6FFC">
      <w:pPr>
        <w:rPr>
          <w:rFonts w:ascii="Arial Narrow" w:hAnsi="Arial Narrow"/>
        </w:rPr>
      </w:pPr>
    </w:p>
    <w:tbl>
      <w:tblPr>
        <w:tblW w:w="103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8"/>
      </w:tblGrid>
      <w:tr w:rsidR="00CD6FFC" w:rsidTr="00DE5CF9">
        <w:trPr>
          <w:trHeight w:val="2965"/>
        </w:trPr>
        <w:tc>
          <w:tcPr>
            <w:tcW w:w="10308" w:type="dxa"/>
          </w:tcPr>
          <w:p w:rsidR="00DE5CF9" w:rsidRDefault="009E5914" w:rsidP="009E5914">
            <w:pPr>
              <w:rPr>
                <w:rFonts w:ascii="Arial Narrow" w:hAnsi="Arial Narrow"/>
                <w:b/>
                <w:bCs/>
                <w:sz w:val="22"/>
              </w:rPr>
            </w:pPr>
            <w:r>
              <w:rPr>
                <w:rFonts w:ascii="Arial Narrow" w:hAnsi="Arial Narrow"/>
                <w:b/>
                <w:bCs/>
                <w:sz w:val="22"/>
              </w:rPr>
              <w:t xml:space="preserve">How is this new and </w:t>
            </w:r>
            <w:proofErr w:type="gramStart"/>
            <w:r>
              <w:rPr>
                <w:rFonts w:ascii="Arial Narrow" w:hAnsi="Arial Narrow"/>
                <w:b/>
                <w:bCs/>
                <w:sz w:val="22"/>
              </w:rPr>
              <w:t>innovative?</w:t>
            </w:r>
            <w:r w:rsidR="00CD6FFC">
              <w:rPr>
                <w:rFonts w:ascii="Arial Narrow" w:hAnsi="Arial Narrow"/>
                <w:b/>
                <w:bCs/>
                <w:sz w:val="22"/>
              </w:rPr>
              <w:t>:</w:t>
            </w:r>
            <w:proofErr w:type="gramEnd"/>
            <w:r w:rsidR="0075171D">
              <w:rPr>
                <w:rFonts w:ascii="Arial Narrow" w:hAnsi="Arial Narrow"/>
                <w:b/>
                <w:bCs/>
                <w:sz w:val="22"/>
              </w:rPr>
              <w:t xml:space="preserve"> </w:t>
            </w:r>
          </w:p>
          <w:p w:rsidR="00DE5CF9" w:rsidRDefault="00DE5CF9" w:rsidP="009E5914">
            <w:pPr>
              <w:rPr>
                <w:rFonts w:ascii="Arial Narrow" w:hAnsi="Arial Narrow"/>
                <w:b/>
                <w:bCs/>
                <w:sz w:val="22"/>
              </w:rPr>
            </w:pPr>
          </w:p>
          <w:p w:rsidR="00DE5CF9" w:rsidRDefault="00DE5CF9" w:rsidP="009E5914">
            <w:pPr>
              <w:rPr>
                <w:rFonts w:ascii="Arial Narrow" w:hAnsi="Arial Narrow"/>
                <w:b/>
                <w:bCs/>
                <w:sz w:val="22"/>
              </w:rPr>
            </w:pPr>
          </w:p>
          <w:p w:rsidR="00DE5CF9" w:rsidRPr="00F321B1" w:rsidRDefault="008B51CB" w:rsidP="009E5914">
            <w:pPr>
              <w:rPr>
                <w:rFonts w:ascii="Arial Narrow" w:hAnsi="Arial Narrow"/>
                <w:b/>
                <w:bCs/>
                <w:sz w:val="22"/>
              </w:rPr>
            </w:pPr>
            <w:r>
              <w:rPr>
                <w:rFonts w:ascii="Arial Narrow" w:hAnsi="Arial Narrow"/>
                <w:bCs/>
                <w:sz w:val="22"/>
              </w:rPr>
              <w:t xml:space="preserve">The process uses new technology developed by Millisecond Technologies in New York. It kills even more bacteria after pasteurization and will allow more access to milk in locations where it takes a long time to deliver milk. It does not compromise taste or nutrients. </w:t>
            </w:r>
          </w:p>
        </w:tc>
      </w:tr>
    </w:tbl>
    <w:p w:rsidR="00CD6FFC" w:rsidRDefault="00CD6FFC">
      <w:pPr>
        <w:rPr>
          <w:rFonts w:ascii="Arial Narrow" w:hAnsi="Arial Narrow"/>
        </w:rPr>
      </w:pPr>
    </w:p>
    <w:tbl>
      <w:tblPr>
        <w:tblW w:w="102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03"/>
      </w:tblGrid>
      <w:tr w:rsidR="00CD6FFC" w:rsidTr="00DE5CF9">
        <w:trPr>
          <w:trHeight w:val="50"/>
        </w:trPr>
        <w:tc>
          <w:tcPr>
            <w:tcW w:w="10203" w:type="dxa"/>
          </w:tcPr>
          <w:p w:rsidR="00CD6FFC" w:rsidRDefault="00DE5CF9">
            <w:pPr>
              <w:rPr>
                <w:rFonts w:ascii="Arial Narrow" w:hAnsi="Arial Narrow"/>
                <w:b/>
                <w:bCs/>
                <w:sz w:val="22"/>
              </w:rPr>
            </w:pPr>
            <w:r>
              <w:rPr>
                <w:rFonts w:ascii="Arial Narrow" w:hAnsi="Arial Narrow"/>
                <w:b/>
                <w:bCs/>
                <w:sz w:val="22"/>
              </w:rPr>
              <w:t>Critical analysis (environmental impact, shortcomings, replacement of other products, market size)</w:t>
            </w:r>
            <w:r w:rsidR="00CD6FFC">
              <w:rPr>
                <w:rFonts w:ascii="Arial Narrow" w:hAnsi="Arial Narrow"/>
                <w:b/>
                <w:bCs/>
                <w:sz w:val="22"/>
              </w:rPr>
              <w:t xml:space="preserve">: </w:t>
            </w:r>
          </w:p>
          <w:p w:rsidR="00DE5CF9" w:rsidRDefault="00DE5CF9">
            <w:pPr>
              <w:rPr>
                <w:rFonts w:ascii="Arial Narrow" w:hAnsi="Arial Narrow"/>
                <w:b/>
                <w:bCs/>
                <w:sz w:val="22"/>
              </w:rPr>
            </w:pPr>
          </w:p>
          <w:p w:rsidR="00DE5CF9" w:rsidRPr="00F321B1" w:rsidRDefault="008B51CB">
            <w:pPr>
              <w:rPr>
                <w:rFonts w:ascii="Arial Narrow" w:hAnsi="Arial Narrow"/>
                <w:bCs/>
                <w:sz w:val="22"/>
              </w:rPr>
            </w:pPr>
            <w:r>
              <w:rPr>
                <w:rFonts w:ascii="Arial Narrow" w:hAnsi="Arial Narrow"/>
                <w:bCs/>
                <w:sz w:val="22"/>
              </w:rPr>
              <w:t xml:space="preserve">I think this new process and technology is incredible. If it does everything that it promises by reducing the waste of milk and keeping </w:t>
            </w:r>
            <w:r w:rsidR="00F6566C">
              <w:rPr>
                <w:rFonts w:ascii="Arial Narrow" w:hAnsi="Arial Narrow"/>
                <w:bCs/>
                <w:sz w:val="22"/>
              </w:rPr>
              <w:t xml:space="preserve">the energy consumption the same as pasteurization, it seems to have no shortcomings. The company has created the technology to easily be integrated into small and large scale pasteurization process equipment. The cost </w:t>
            </w:r>
            <w:r w:rsidR="00F321B1">
              <w:rPr>
                <w:rFonts w:ascii="Arial Narrow" w:hAnsi="Arial Narrow"/>
                <w:bCs/>
                <w:sz w:val="22"/>
              </w:rPr>
              <w:t xml:space="preserve">of the equipment </w:t>
            </w:r>
            <w:r w:rsidR="00F6566C">
              <w:rPr>
                <w:rFonts w:ascii="Arial Narrow" w:hAnsi="Arial Narrow"/>
                <w:bCs/>
                <w:sz w:val="22"/>
              </w:rPr>
              <w:t>may be expensive for some small-scale farms to add to their process, but in the long run, the preve</w:t>
            </w:r>
            <w:r w:rsidR="00F321B1">
              <w:rPr>
                <w:rFonts w:ascii="Arial Narrow" w:hAnsi="Arial Narrow"/>
                <w:bCs/>
                <w:sz w:val="22"/>
              </w:rPr>
              <w:t xml:space="preserve">ntion of waste of product will pay for itself. </w:t>
            </w:r>
          </w:p>
        </w:tc>
      </w:tr>
    </w:tbl>
    <w:p w:rsidR="00CD6FFC" w:rsidRDefault="00CD6FFC">
      <w:pPr>
        <w:pStyle w:val="Header"/>
        <w:tabs>
          <w:tab w:val="clear" w:pos="4320"/>
          <w:tab w:val="clear" w:pos="8640"/>
        </w:tabs>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CD6FFC" w:rsidTr="00DE5CF9">
        <w:trPr>
          <w:trHeight w:val="2105"/>
        </w:trPr>
        <w:tc>
          <w:tcPr>
            <w:tcW w:w="10188" w:type="dxa"/>
          </w:tcPr>
          <w:p w:rsidR="00CD6FFC" w:rsidRDefault="00DE5CF9">
            <w:pPr>
              <w:rPr>
                <w:rFonts w:ascii="Arial Narrow" w:hAnsi="Arial Narrow"/>
                <w:sz w:val="22"/>
              </w:rPr>
            </w:pPr>
            <w:r>
              <w:rPr>
                <w:rFonts w:ascii="Arial Narrow" w:hAnsi="Arial Narrow"/>
                <w:b/>
                <w:bCs/>
                <w:sz w:val="22"/>
              </w:rPr>
              <w:t>Additional comments</w:t>
            </w:r>
            <w:r w:rsidR="00CD6FFC">
              <w:rPr>
                <w:rFonts w:ascii="Arial Narrow" w:hAnsi="Arial Narrow"/>
                <w:b/>
                <w:bCs/>
                <w:sz w:val="22"/>
              </w:rPr>
              <w:t>:</w:t>
            </w:r>
            <w:r w:rsidR="00CD6FFC">
              <w:rPr>
                <w:rFonts w:ascii="Arial Narrow" w:hAnsi="Arial Narrow"/>
                <w:sz w:val="22"/>
              </w:rPr>
              <w:t xml:space="preserve"> </w:t>
            </w:r>
          </w:p>
          <w:p w:rsidR="00DE5CF9" w:rsidRDefault="00DE5CF9">
            <w:pPr>
              <w:rPr>
                <w:rFonts w:ascii="Arial Narrow" w:hAnsi="Arial Narrow"/>
                <w:sz w:val="22"/>
              </w:rPr>
            </w:pPr>
          </w:p>
          <w:p w:rsidR="00DE5CF9" w:rsidRDefault="00F321B1">
            <w:pPr>
              <w:rPr>
                <w:rFonts w:ascii="Arial Narrow" w:hAnsi="Arial Narrow"/>
                <w:sz w:val="22"/>
              </w:rPr>
            </w:pPr>
            <w:r>
              <w:rPr>
                <w:rFonts w:ascii="Arial Narrow" w:hAnsi="Arial Narrow"/>
                <w:sz w:val="22"/>
              </w:rPr>
              <w:t xml:space="preserve">My favorite part of this process is the fact that it was a study done by a Purdue professor. </w:t>
            </w:r>
          </w:p>
        </w:tc>
      </w:tr>
    </w:tbl>
    <w:p w:rsidR="00CD6FFC" w:rsidRDefault="00CD6FFC">
      <w:pPr>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88"/>
      </w:tblGrid>
      <w:tr w:rsidR="00DE5CF9" w:rsidTr="002A3956">
        <w:trPr>
          <w:trHeight w:val="2105"/>
        </w:trPr>
        <w:tc>
          <w:tcPr>
            <w:tcW w:w="10188" w:type="dxa"/>
          </w:tcPr>
          <w:p w:rsidR="00DE5CF9" w:rsidRDefault="00DE5CF9" w:rsidP="00DE5CF9">
            <w:pPr>
              <w:rPr>
                <w:rFonts w:ascii="Arial Narrow" w:hAnsi="Arial Narrow"/>
                <w:b/>
                <w:bCs/>
                <w:sz w:val="22"/>
              </w:rPr>
            </w:pPr>
            <w:r>
              <w:rPr>
                <w:rFonts w:ascii="Arial Narrow" w:hAnsi="Arial Narrow"/>
                <w:b/>
                <w:bCs/>
                <w:sz w:val="22"/>
              </w:rPr>
              <w:t>Source(s):</w:t>
            </w:r>
          </w:p>
          <w:p w:rsidR="00DE5CF9" w:rsidRDefault="00DE5CF9" w:rsidP="00DE5CF9">
            <w:pPr>
              <w:rPr>
                <w:rFonts w:ascii="Arial Narrow" w:hAnsi="Arial Narrow"/>
                <w:b/>
                <w:bCs/>
                <w:sz w:val="22"/>
              </w:rPr>
            </w:pPr>
          </w:p>
          <w:p w:rsidR="00F321B1" w:rsidRPr="00F321B1" w:rsidRDefault="00F321B1" w:rsidP="00F321B1">
            <w:pPr>
              <w:rPr>
                <w:rFonts w:ascii="Arial Narrow" w:hAnsi="Arial Narrow"/>
                <w:bCs/>
                <w:sz w:val="22"/>
              </w:rPr>
            </w:pPr>
            <w:r w:rsidRPr="00F321B1">
              <w:rPr>
                <w:rFonts w:ascii="Arial Narrow" w:hAnsi="Arial Narrow"/>
                <w:bCs/>
                <w:sz w:val="22"/>
              </w:rPr>
              <w:t>INTEGRATING MST. (</w:t>
            </w:r>
            <w:proofErr w:type="spellStart"/>
            <w:r w:rsidRPr="00F321B1">
              <w:rPr>
                <w:rFonts w:ascii="Arial Narrow" w:hAnsi="Arial Narrow"/>
                <w:bCs/>
                <w:sz w:val="22"/>
              </w:rPr>
              <w:t>n.d.</w:t>
            </w:r>
            <w:proofErr w:type="spellEnd"/>
            <w:r w:rsidRPr="00F321B1">
              <w:rPr>
                <w:rFonts w:ascii="Arial Narrow" w:hAnsi="Arial Narrow"/>
                <w:bCs/>
                <w:sz w:val="22"/>
              </w:rPr>
              <w:t>). Retrieved November 13, 2016, from http://millisecondtechnologies.com/about-mst/integrating-mst/</w:t>
            </w:r>
          </w:p>
          <w:p w:rsidR="00F321B1" w:rsidRDefault="00F321B1" w:rsidP="00F321B1">
            <w:pPr>
              <w:rPr>
                <w:rFonts w:ascii="Arial Narrow" w:hAnsi="Arial Narrow"/>
                <w:bCs/>
                <w:sz w:val="22"/>
              </w:rPr>
            </w:pPr>
          </w:p>
          <w:p w:rsidR="00F321B1" w:rsidRPr="00F321B1" w:rsidRDefault="00F321B1" w:rsidP="00F321B1">
            <w:pPr>
              <w:rPr>
                <w:rFonts w:ascii="Arial Narrow" w:hAnsi="Arial Narrow"/>
                <w:bCs/>
                <w:sz w:val="22"/>
              </w:rPr>
            </w:pPr>
            <w:r w:rsidRPr="00F321B1">
              <w:rPr>
                <w:rFonts w:ascii="Arial Narrow" w:hAnsi="Arial Narrow"/>
                <w:bCs/>
                <w:sz w:val="22"/>
              </w:rPr>
              <w:t>Meyer, P., Parker, K., Zhu, T., Morgan, M., &amp; Applegate, B. (2016, May 31). The effect of a novel low temperature-short time (LTST) process to extend the shelf-life of fluid milk. Retrieved November 13, 2016, from http://springerplus.springeropen.com/art</w:t>
            </w:r>
            <w:r>
              <w:rPr>
                <w:rFonts w:ascii="Arial Narrow" w:hAnsi="Arial Narrow"/>
                <w:bCs/>
                <w:sz w:val="22"/>
              </w:rPr>
              <w:t>icles/10.1186/s40064-016-2250-1</w:t>
            </w:r>
          </w:p>
          <w:p w:rsidR="00F321B1" w:rsidRDefault="00F321B1" w:rsidP="00F321B1">
            <w:pPr>
              <w:rPr>
                <w:rFonts w:ascii="Arial Narrow" w:hAnsi="Arial Narrow"/>
                <w:bCs/>
                <w:sz w:val="22"/>
              </w:rPr>
            </w:pPr>
          </w:p>
          <w:p w:rsidR="00DE5CF9" w:rsidRPr="00F321B1" w:rsidRDefault="00F321B1" w:rsidP="00DE5CF9">
            <w:pPr>
              <w:rPr>
                <w:rFonts w:ascii="Arial Narrow" w:hAnsi="Arial Narrow"/>
                <w:bCs/>
                <w:sz w:val="22"/>
              </w:rPr>
            </w:pPr>
            <w:r w:rsidRPr="00F321B1">
              <w:rPr>
                <w:rFonts w:ascii="Arial Narrow" w:hAnsi="Arial Narrow"/>
                <w:bCs/>
                <w:sz w:val="22"/>
              </w:rPr>
              <w:t xml:space="preserve">Rapid, low-temperature process adds weeks to milk's shelf life. (2016, June 19). Retrieved November 13, 2016, from </w:t>
            </w:r>
            <w:r>
              <w:rPr>
                <w:rFonts w:ascii="Arial Narrow" w:hAnsi="Arial Narrow"/>
                <w:bCs/>
                <w:sz w:val="22"/>
              </w:rPr>
              <w:t>h</w:t>
            </w:r>
            <w:r w:rsidRPr="00F321B1">
              <w:rPr>
                <w:rFonts w:ascii="Arial Narrow" w:hAnsi="Arial Narrow"/>
                <w:bCs/>
                <w:sz w:val="22"/>
              </w:rPr>
              <w:t>ttps://www.purdue.edu/newsroom/releases/2016/Q3/rapid,-low-temperature-process-adds-weeks-to-milks-shelf-life.html</w:t>
            </w:r>
          </w:p>
        </w:tc>
      </w:tr>
    </w:tbl>
    <w:p w:rsidR="00CD6FFC" w:rsidRDefault="00CD6FFC">
      <w:pPr>
        <w:tabs>
          <w:tab w:val="left" w:pos="7380"/>
        </w:tabs>
        <w:rPr>
          <w:rFonts w:ascii="Arial Narrow" w:hAnsi="Arial Narrow"/>
          <w:sz w:val="22"/>
        </w:rPr>
      </w:pPr>
    </w:p>
    <w:sectPr w:rsidR="00CD6FFC">
      <w:headerReference w:type="default" r:id="rId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08" w:rsidRDefault="006D2408">
      <w:r>
        <w:separator/>
      </w:r>
    </w:p>
  </w:endnote>
  <w:endnote w:type="continuationSeparator" w:id="0">
    <w:p w:rsidR="006D2408" w:rsidRDefault="006D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08" w:rsidRDefault="006D2408">
      <w:r>
        <w:separator/>
      </w:r>
    </w:p>
  </w:footnote>
  <w:footnote w:type="continuationSeparator" w:id="0">
    <w:p w:rsidR="006D2408" w:rsidRDefault="006D2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A8D" w:rsidRDefault="00252A8D">
    <w:pPr>
      <w:pStyle w:val="Header"/>
      <w:jc w:val="center"/>
    </w:pPr>
    <w:r>
      <w:rPr>
        <w:b/>
        <w:bCs/>
        <w:sz w:val="22"/>
      </w:rPr>
      <w:t>ABE 201 – New Product/Process Review Report</w:t>
    </w:r>
  </w:p>
  <w:p w:rsidR="00252A8D" w:rsidRDefault="00252A8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A26BA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0B80C52"/>
    <w:multiLevelType w:val="hybridMultilevel"/>
    <w:tmpl w:val="AB685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1Njc3NjE3NjAyNTNQ0lEKTi0uzszPAykwrAUAWB6BjiwAAAA="/>
  </w:docVars>
  <w:rsids>
    <w:rsidRoot w:val="0075171D"/>
    <w:rsid w:val="00095E53"/>
    <w:rsid w:val="002268E0"/>
    <w:rsid w:val="00252A8D"/>
    <w:rsid w:val="002A3956"/>
    <w:rsid w:val="002B72D4"/>
    <w:rsid w:val="002C2682"/>
    <w:rsid w:val="00304697"/>
    <w:rsid w:val="0036469E"/>
    <w:rsid w:val="003858CA"/>
    <w:rsid w:val="00386403"/>
    <w:rsid w:val="003A307F"/>
    <w:rsid w:val="003C3FFD"/>
    <w:rsid w:val="0043694A"/>
    <w:rsid w:val="00485E2E"/>
    <w:rsid w:val="00521A50"/>
    <w:rsid w:val="00631FCD"/>
    <w:rsid w:val="006D2408"/>
    <w:rsid w:val="0075171D"/>
    <w:rsid w:val="00815585"/>
    <w:rsid w:val="00872E20"/>
    <w:rsid w:val="008B51CB"/>
    <w:rsid w:val="009774EC"/>
    <w:rsid w:val="009E5914"/>
    <w:rsid w:val="00A34CD0"/>
    <w:rsid w:val="00C349EB"/>
    <w:rsid w:val="00C41DF7"/>
    <w:rsid w:val="00CD6FFC"/>
    <w:rsid w:val="00DE5CF9"/>
    <w:rsid w:val="00F321B1"/>
    <w:rsid w:val="00F33F05"/>
    <w:rsid w:val="00F6566C"/>
    <w:rsid w:val="00F6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7BE69"/>
  <w15:docId w15:val="{944B167F-007E-46B7-9898-81721A00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jc w:val="center"/>
      <w:outlineLvl w:val="0"/>
    </w:pPr>
    <w:rPr>
      <w:rFonts w:ascii="Arial Narrow" w:hAnsi="Arial Narrow"/>
      <w:b/>
      <w:bCs/>
      <w:sz w:val="28"/>
    </w:rPr>
  </w:style>
  <w:style w:type="paragraph" w:styleId="Heading2">
    <w:name w:val="heading 2"/>
    <w:basedOn w:val="Normal"/>
    <w:next w:val="Normal"/>
    <w:qFormat/>
    <w:pPr>
      <w:keepNext/>
      <w:jc w:val="right"/>
      <w:outlineLvl w:val="1"/>
    </w:pPr>
    <w:rPr>
      <w:rFonts w:ascii="Arial Narrow" w:hAnsi="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style>
  <w:style w:type="character" w:styleId="PageNumber">
    <w:name w:val="page number"/>
    <w:basedOn w:val="DefaultParagraphFont"/>
  </w:style>
  <w:style w:type="paragraph" w:styleId="BodyText2">
    <w:name w:val="Body Text 2"/>
    <w:basedOn w:val="Normal"/>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Agricultural and Biological Engineering Department</vt:lpstr>
    </vt:vector>
  </TitlesOfParts>
  <Company>Purdue University</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and Biological Engineering Department</dc:title>
  <dc:creator>isenberg</dc:creator>
  <cp:lastModifiedBy>Kathryn Atherton</cp:lastModifiedBy>
  <cp:revision>5</cp:revision>
  <cp:lastPrinted>2001-11-08T15:28:00Z</cp:lastPrinted>
  <dcterms:created xsi:type="dcterms:W3CDTF">2014-08-25T14:23:00Z</dcterms:created>
  <dcterms:modified xsi:type="dcterms:W3CDTF">2016-11-13T19:47:00Z</dcterms:modified>
</cp:coreProperties>
</file>