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CF9" w:rsidRPr="00A82C1C" w:rsidRDefault="00A82C1C" w:rsidP="00DE5CF9">
      <w:pPr>
        <w:pStyle w:val="BodyText2"/>
        <w:jc w:val="right"/>
        <w:rPr>
          <w:rFonts w:ascii="Arial Narrow" w:hAnsi="Arial Narrow"/>
          <w:b/>
          <w:bCs/>
          <w:i/>
          <w:iCs/>
          <w:sz w:val="24"/>
          <w:szCs w:val="24"/>
        </w:rPr>
      </w:pPr>
      <w:r w:rsidRPr="00A82C1C">
        <w:rPr>
          <w:rFonts w:ascii="Arial Narrow" w:hAnsi="Arial Narrow"/>
          <w:b/>
          <w:bCs/>
          <w:i/>
          <w:iCs/>
          <w:sz w:val="24"/>
          <w:szCs w:val="24"/>
        </w:rPr>
        <w:t>Name: Kathryn Atherton</w:t>
      </w:r>
      <w:r w:rsidR="00DE5CF9" w:rsidRPr="00A82C1C">
        <w:rPr>
          <w:rFonts w:ascii="Arial Narrow" w:hAnsi="Arial Narrow"/>
          <w:b/>
          <w:bCs/>
          <w:i/>
          <w:iCs/>
          <w:sz w:val="24"/>
          <w:szCs w:val="24"/>
        </w:rPr>
        <w:t>___________________</w:t>
      </w:r>
    </w:p>
    <w:p w:rsidR="00DE5CF9" w:rsidRPr="00A82C1C" w:rsidRDefault="00DE5CF9">
      <w:pPr>
        <w:pStyle w:val="BodyText2"/>
        <w:jc w:val="both"/>
        <w:rPr>
          <w:rFonts w:ascii="Arial Narrow" w:hAnsi="Arial Narrow"/>
          <w:b/>
          <w:bCs/>
          <w:i/>
          <w:iCs/>
          <w:sz w:val="24"/>
          <w:szCs w:val="24"/>
        </w:rPr>
      </w:pPr>
    </w:p>
    <w:p w:rsidR="00CD6FFC" w:rsidRPr="00A82C1C" w:rsidRDefault="00CD6FFC">
      <w:pPr>
        <w:pStyle w:val="BodyText2"/>
        <w:jc w:val="both"/>
        <w:rPr>
          <w:rFonts w:ascii="Arial Narrow" w:hAnsi="Arial Narrow"/>
          <w:b/>
          <w:iCs/>
          <w:sz w:val="24"/>
          <w:szCs w:val="24"/>
          <w:u w:val="single"/>
        </w:rPr>
      </w:pPr>
      <w:r w:rsidRPr="00A82C1C">
        <w:rPr>
          <w:rFonts w:ascii="Arial Narrow" w:hAnsi="Arial Narrow"/>
          <w:b/>
          <w:bCs/>
          <w:i/>
          <w:iCs/>
          <w:sz w:val="24"/>
          <w:szCs w:val="24"/>
        </w:rPr>
        <w:t>Description</w:t>
      </w:r>
      <w:r w:rsidRPr="00A82C1C">
        <w:rPr>
          <w:rFonts w:ascii="Arial Narrow" w:hAnsi="Arial Narrow"/>
          <w:i/>
          <w:iCs/>
          <w:sz w:val="24"/>
          <w:szCs w:val="24"/>
        </w:rPr>
        <w:t xml:space="preserve">:  </w:t>
      </w:r>
      <w:r w:rsidR="003A307F" w:rsidRPr="00A82C1C">
        <w:rPr>
          <w:rFonts w:ascii="Arial Narrow" w:hAnsi="Arial Narrow"/>
          <w:i/>
          <w:iCs/>
          <w:sz w:val="24"/>
          <w:szCs w:val="24"/>
        </w:rPr>
        <w:t>Twice throughout the semester</w:t>
      </w:r>
      <w:r w:rsidR="00C349EB" w:rsidRPr="00A82C1C">
        <w:rPr>
          <w:rFonts w:ascii="Arial Narrow" w:hAnsi="Arial Narrow"/>
          <w:i/>
          <w:iCs/>
          <w:sz w:val="24"/>
          <w:szCs w:val="24"/>
        </w:rPr>
        <w:t>.</w:t>
      </w:r>
      <w:r w:rsidR="003A307F" w:rsidRPr="00A82C1C">
        <w:rPr>
          <w:rFonts w:ascii="Arial Narrow" w:hAnsi="Arial Narrow"/>
          <w:i/>
          <w:iCs/>
          <w:sz w:val="24"/>
          <w:szCs w:val="24"/>
        </w:rPr>
        <w:t xml:space="preserve"> Teams must meet </w:t>
      </w:r>
      <w:r w:rsidR="0043694A" w:rsidRPr="00A82C1C">
        <w:rPr>
          <w:rFonts w:ascii="Arial Narrow" w:hAnsi="Arial Narrow"/>
          <w:i/>
          <w:iCs/>
          <w:sz w:val="24"/>
          <w:szCs w:val="24"/>
        </w:rPr>
        <w:t>during the lab prep on Mondays</w:t>
      </w:r>
      <w:r w:rsidR="003A307F" w:rsidRPr="00A82C1C">
        <w:rPr>
          <w:rFonts w:ascii="Arial Narrow" w:hAnsi="Arial Narrow"/>
          <w:i/>
          <w:iCs/>
          <w:sz w:val="24"/>
          <w:szCs w:val="24"/>
        </w:rPr>
        <w:t xml:space="preserve"> and present their products to each other. Afterwards, the team must choose which report from the group should be presented</w:t>
      </w:r>
      <w:r w:rsidR="00C349EB" w:rsidRPr="00A82C1C">
        <w:rPr>
          <w:rFonts w:ascii="Arial Narrow" w:hAnsi="Arial Narrow"/>
          <w:i/>
          <w:iCs/>
          <w:sz w:val="24"/>
          <w:szCs w:val="24"/>
        </w:rPr>
        <w:t xml:space="preserve"> </w:t>
      </w:r>
      <w:r w:rsidR="003A307F" w:rsidRPr="00A82C1C">
        <w:rPr>
          <w:rFonts w:ascii="Arial Narrow" w:hAnsi="Arial Narrow"/>
          <w:i/>
          <w:iCs/>
          <w:sz w:val="24"/>
          <w:szCs w:val="24"/>
        </w:rPr>
        <w:t>in front of the whole class.</w:t>
      </w:r>
      <w:r w:rsidR="00C349EB" w:rsidRPr="00A82C1C">
        <w:rPr>
          <w:rFonts w:ascii="Arial Narrow" w:hAnsi="Arial Narrow"/>
          <w:i/>
          <w:iCs/>
          <w:sz w:val="24"/>
          <w:szCs w:val="24"/>
        </w:rPr>
        <w:t xml:space="preserve"> The presentation should include a Power Point Slide with information about the selected product or process.</w:t>
      </w:r>
      <w:r w:rsidR="003A307F" w:rsidRPr="00A82C1C">
        <w:rPr>
          <w:rFonts w:ascii="Arial Narrow" w:hAnsi="Arial Narrow"/>
          <w:i/>
          <w:iCs/>
          <w:sz w:val="24"/>
          <w:szCs w:val="24"/>
        </w:rPr>
        <w:t xml:space="preserve"> The team member who wrote the report will get extra credit points</w:t>
      </w:r>
      <w:r w:rsidR="00A34CD0" w:rsidRPr="00A82C1C">
        <w:rPr>
          <w:rFonts w:ascii="Arial Narrow" w:hAnsi="Arial Narrow"/>
          <w:i/>
          <w:iCs/>
          <w:sz w:val="24"/>
          <w:szCs w:val="24"/>
        </w:rPr>
        <w:t>,</w:t>
      </w:r>
      <w:r w:rsidR="003A307F" w:rsidRPr="00A82C1C">
        <w:rPr>
          <w:rFonts w:ascii="Arial Narrow" w:hAnsi="Arial Narrow"/>
          <w:i/>
          <w:iCs/>
          <w:sz w:val="24"/>
          <w:szCs w:val="24"/>
        </w:rPr>
        <w:t xml:space="preserve"> and will need to present</w:t>
      </w:r>
      <w:r w:rsidR="00A34CD0" w:rsidRPr="00A82C1C">
        <w:rPr>
          <w:rFonts w:ascii="Arial Narrow" w:hAnsi="Arial Narrow"/>
          <w:i/>
          <w:iCs/>
          <w:sz w:val="24"/>
          <w:szCs w:val="24"/>
        </w:rPr>
        <w:t xml:space="preserve"> their report</w:t>
      </w:r>
      <w:r w:rsidR="003A307F" w:rsidRPr="00A82C1C">
        <w:rPr>
          <w:rFonts w:ascii="Arial Narrow" w:hAnsi="Arial Narrow"/>
          <w:i/>
          <w:iCs/>
          <w:sz w:val="24"/>
          <w:szCs w:val="24"/>
        </w:rPr>
        <w:t xml:space="preserve"> to the whole class.  </w:t>
      </w:r>
      <w:r w:rsidR="00A34CD0" w:rsidRPr="00A82C1C">
        <w:rPr>
          <w:rFonts w:ascii="Arial Narrow" w:hAnsi="Arial Narrow"/>
          <w:i/>
          <w:iCs/>
          <w:sz w:val="24"/>
          <w:szCs w:val="24"/>
        </w:rPr>
        <w:t>After all of the</w:t>
      </w:r>
      <w:r w:rsidR="0036469E" w:rsidRPr="00A82C1C">
        <w:rPr>
          <w:rFonts w:ascii="Arial Narrow" w:hAnsi="Arial Narrow"/>
          <w:i/>
          <w:iCs/>
          <w:sz w:val="24"/>
          <w:szCs w:val="24"/>
        </w:rPr>
        <w:t xml:space="preserve"> class presentations, everyone will vote which team had the best report. Extra credit points will be assigned to the winning team. </w:t>
      </w:r>
      <w:r w:rsidR="00304697" w:rsidRPr="00A82C1C">
        <w:rPr>
          <w:rFonts w:ascii="Arial Narrow" w:hAnsi="Arial Narrow"/>
          <w:b/>
          <w:iCs/>
          <w:sz w:val="24"/>
          <w:szCs w:val="24"/>
          <w:u w:val="single"/>
        </w:rPr>
        <w:t>Everyone must turn</w:t>
      </w:r>
      <w:r w:rsidR="00815585" w:rsidRPr="00A82C1C">
        <w:rPr>
          <w:rFonts w:ascii="Arial Narrow" w:hAnsi="Arial Narrow"/>
          <w:b/>
          <w:iCs/>
          <w:sz w:val="24"/>
          <w:szCs w:val="24"/>
          <w:u w:val="single"/>
        </w:rPr>
        <w:t xml:space="preserve"> in a report during lab</w:t>
      </w:r>
      <w:r w:rsidR="00304697" w:rsidRPr="00A82C1C">
        <w:rPr>
          <w:rFonts w:ascii="Arial Narrow" w:hAnsi="Arial Narrow"/>
          <w:b/>
          <w:iCs/>
          <w:sz w:val="24"/>
          <w:szCs w:val="24"/>
          <w:u w:val="single"/>
        </w:rPr>
        <w:t>. Every group must select their favorite report to be presented in class on the above dates.</w:t>
      </w:r>
      <w:r w:rsidR="00815585" w:rsidRPr="00A82C1C">
        <w:rPr>
          <w:rFonts w:ascii="Arial Narrow" w:hAnsi="Arial Narrow"/>
          <w:b/>
          <w:iCs/>
          <w:sz w:val="24"/>
          <w:szCs w:val="24"/>
          <w:u w:val="single"/>
        </w:rPr>
        <w:t xml:space="preserve"> As engineers (and people), it is important to think and analyze things on your own, plagiarism will be reported. </w:t>
      </w:r>
      <w:r w:rsidR="009E5914" w:rsidRPr="00A82C1C">
        <w:rPr>
          <w:rFonts w:ascii="Arial Narrow" w:hAnsi="Arial Narrow"/>
          <w:b/>
          <w:iCs/>
          <w:sz w:val="24"/>
          <w:szCs w:val="24"/>
          <w:u w:val="single"/>
        </w:rPr>
        <w:t>Your sources must be included at the end of the report.</w:t>
      </w:r>
    </w:p>
    <w:p w:rsidR="00CD6FFC" w:rsidRPr="00A82C1C" w:rsidRDefault="00CD6FFC">
      <w:pPr>
        <w:pStyle w:val="BodyText2"/>
        <w:jc w:val="both"/>
        <w:rPr>
          <w:rFonts w:ascii="Arial Narrow" w:hAnsi="Arial Narrow"/>
          <w:sz w:val="24"/>
          <w:szCs w:val="24"/>
        </w:rPr>
      </w:pPr>
    </w:p>
    <w:p w:rsidR="00CD6FFC" w:rsidRPr="00A82C1C" w:rsidRDefault="00CD6FFC">
      <w:pPr>
        <w:pStyle w:val="BodyText2"/>
        <w:jc w:val="both"/>
        <w:rPr>
          <w:rFonts w:ascii="Arial Narrow" w:hAnsi="Arial Narrow"/>
          <w:sz w:val="24"/>
          <w:szCs w:val="24"/>
        </w:rPr>
      </w:pPr>
      <w:r w:rsidRPr="00A82C1C">
        <w:rPr>
          <w:rFonts w:ascii="Arial Narrow" w:hAnsi="Arial Narrow"/>
          <w:sz w:val="24"/>
          <w:szCs w:val="24"/>
        </w:rPr>
        <w:t xml:space="preserve">This </w:t>
      </w:r>
      <w:r w:rsidR="00304697" w:rsidRPr="00A82C1C">
        <w:rPr>
          <w:rFonts w:ascii="Arial Narrow" w:hAnsi="Arial Narrow"/>
          <w:sz w:val="24"/>
          <w:szCs w:val="24"/>
        </w:rPr>
        <w:t xml:space="preserve">report must highlight a new </w:t>
      </w:r>
      <w:proofErr w:type="spellStart"/>
      <w:r w:rsidR="00304697" w:rsidRPr="00A82C1C">
        <w:rPr>
          <w:rFonts w:ascii="Arial Narrow" w:hAnsi="Arial Narrow"/>
          <w:sz w:val="24"/>
          <w:szCs w:val="24"/>
        </w:rPr>
        <w:t>bioproduct</w:t>
      </w:r>
      <w:proofErr w:type="spellEnd"/>
      <w:r w:rsidR="00304697" w:rsidRPr="00A82C1C">
        <w:rPr>
          <w:rFonts w:ascii="Arial Narrow" w:hAnsi="Arial Narrow"/>
          <w:sz w:val="24"/>
          <w:szCs w:val="24"/>
        </w:rPr>
        <w:t xml:space="preserve">, bioprocess, food process, or food product. The key here is to choose something that has to do with bio/food-process engineering. </w:t>
      </w:r>
      <w:r w:rsidR="00815585" w:rsidRPr="00A82C1C">
        <w:rPr>
          <w:rFonts w:ascii="Arial Narrow" w:hAnsi="Arial Narrow"/>
          <w:sz w:val="24"/>
          <w:szCs w:val="24"/>
        </w:rPr>
        <w:t xml:space="preserve">A few examples will be presented before the reports are due. </w:t>
      </w:r>
      <w:r w:rsidR="00304697" w:rsidRPr="00A82C1C">
        <w:rPr>
          <w:rFonts w:ascii="Arial Narrow" w:hAnsi="Arial Narrow"/>
          <w:sz w:val="24"/>
          <w:szCs w:val="24"/>
        </w:rPr>
        <w:t xml:space="preserve"> </w:t>
      </w:r>
    </w:p>
    <w:p w:rsidR="00CD6FFC" w:rsidRPr="00A82C1C" w:rsidRDefault="00CD6FFC">
      <w:pPr>
        <w:pStyle w:val="BodyText"/>
        <w:rPr>
          <w:rFonts w:ascii="Arial Narrow" w:hAnsi="Arial Narrow"/>
          <w:szCs w:val="24"/>
        </w:rPr>
      </w:pPr>
    </w:p>
    <w:p w:rsidR="00DE5CF9" w:rsidRPr="00A82C1C" w:rsidRDefault="00DE5CF9">
      <w:pPr>
        <w:pStyle w:val="BodyText"/>
        <w:rPr>
          <w:rFonts w:ascii="Arial Narrow" w:hAnsi="Arial Narrow"/>
          <w:szCs w:val="24"/>
        </w:rPr>
      </w:pPr>
    </w:p>
    <w:p w:rsidR="00CD6FFC" w:rsidRPr="00A82C1C" w:rsidRDefault="00CD6FFC">
      <w:pPr>
        <w:pStyle w:val="BodyText"/>
        <w:rPr>
          <w:rFonts w:ascii="Arial Narrow" w:hAnsi="Arial Narrow"/>
          <w:szCs w:val="24"/>
        </w:rPr>
      </w:pPr>
    </w:p>
    <w:p w:rsidR="00CD6FFC" w:rsidRPr="00A82C1C" w:rsidRDefault="00386403">
      <w:pPr>
        <w:rPr>
          <w:rFonts w:ascii="Arial Narrow" w:hAnsi="Arial Narrow"/>
          <w:szCs w:val="24"/>
        </w:rPr>
      </w:pPr>
      <w:r w:rsidRPr="00A82C1C">
        <w:rPr>
          <w:rFonts w:ascii="Arial Narrow" w:hAnsi="Arial Narrow"/>
          <w:b/>
          <w:bCs/>
          <w:noProof/>
          <w:szCs w:val="24"/>
        </w:rPr>
        <mc:AlternateContent>
          <mc:Choice Requires="wps">
            <w:drawing>
              <wp:anchor distT="0" distB="0" distL="114300" distR="114300" simplePos="0" relativeHeight="251658240" behindDoc="0" locked="0" layoutInCell="1" allowOverlap="1">
                <wp:simplePos x="0" y="0"/>
                <wp:positionH relativeFrom="column">
                  <wp:posOffset>447675</wp:posOffset>
                </wp:positionH>
                <wp:positionV relativeFrom="paragraph">
                  <wp:posOffset>147320</wp:posOffset>
                </wp:positionV>
                <wp:extent cx="2647950"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DFF5" id="Line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1.6pt" to="243.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r6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"/>
            </w:pict>
          </mc:Fallback>
        </mc:AlternateContent>
      </w:r>
      <w:r w:rsidR="009E5914" w:rsidRPr="00A82C1C">
        <w:rPr>
          <w:rFonts w:ascii="Arial Narrow" w:hAnsi="Arial Narrow"/>
          <w:b/>
          <w:bCs/>
          <w:szCs w:val="24"/>
        </w:rPr>
        <w:t xml:space="preserve"> </w:t>
      </w:r>
      <w:r w:rsidR="00DE5CF9" w:rsidRPr="00A82C1C">
        <w:rPr>
          <w:rFonts w:ascii="Arial Narrow" w:hAnsi="Arial Narrow"/>
          <w:b/>
          <w:bCs/>
          <w:szCs w:val="24"/>
        </w:rPr>
        <w:t>Topic</w:t>
      </w:r>
      <w:r w:rsidR="00CD6FFC" w:rsidRPr="00A82C1C">
        <w:rPr>
          <w:rFonts w:ascii="Arial Narrow" w:hAnsi="Arial Narrow"/>
          <w:b/>
          <w:bCs/>
          <w:szCs w:val="24"/>
        </w:rPr>
        <w:t>:</w:t>
      </w:r>
      <w:r w:rsidR="00CD6FFC" w:rsidRPr="00A82C1C">
        <w:rPr>
          <w:rFonts w:ascii="Arial Narrow" w:hAnsi="Arial Narrow"/>
          <w:szCs w:val="24"/>
        </w:rPr>
        <w:tab/>
      </w:r>
      <w:r w:rsidR="009E5914" w:rsidRPr="00A82C1C">
        <w:rPr>
          <w:rFonts w:ascii="Arial Narrow" w:hAnsi="Arial Narrow"/>
          <w:szCs w:val="24"/>
        </w:rPr>
        <w:t xml:space="preserve"> </w:t>
      </w:r>
      <w:r w:rsidR="008D5986" w:rsidRPr="00A82C1C">
        <w:rPr>
          <w:rFonts w:ascii="Arial Narrow" w:hAnsi="Arial Narrow"/>
          <w:szCs w:val="24"/>
        </w:rPr>
        <w:t xml:space="preserve">Eli Lilly and Company’s Advanced Tissue Sarcoma Drug: </w:t>
      </w:r>
      <w:proofErr w:type="spellStart"/>
      <w:r w:rsidR="008D5986" w:rsidRPr="00A82C1C">
        <w:rPr>
          <w:rFonts w:ascii="Arial Narrow" w:hAnsi="Arial Narrow"/>
          <w:szCs w:val="24"/>
        </w:rPr>
        <w:t>Olaratumab</w:t>
      </w:r>
      <w:proofErr w:type="spellEnd"/>
      <w:r w:rsidR="009E5914" w:rsidRPr="00A82C1C">
        <w:rPr>
          <w:rFonts w:ascii="Arial Narrow" w:hAnsi="Arial Narrow"/>
          <w:szCs w:val="24"/>
        </w:rPr>
        <w:t xml:space="preserve"> </w:t>
      </w:r>
      <w:r w:rsidR="00CD6FFC" w:rsidRPr="00A82C1C">
        <w:rPr>
          <w:rFonts w:ascii="Arial Narrow" w:hAnsi="Arial Narrow"/>
          <w:szCs w:val="24"/>
        </w:rPr>
        <w:tab/>
      </w:r>
    </w:p>
    <w:p w:rsidR="00DE5CF9" w:rsidRPr="00A82C1C" w:rsidRDefault="00DE5CF9">
      <w:pPr>
        <w:rPr>
          <w:rFonts w:ascii="Arial Narrow" w:hAnsi="Arial Narrow"/>
          <w:szCs w:val="24"/>
        </w:rPr>
      </w:pPr>
    </w:p>
    <w:p w:rsidR="00CD6FFC" w:rsidRPr="00A82C1C" w:rsidRDefault="00CD6FFC">
      <w:pPr>
        <w:rPr>
          <w:rFonts w:ascii="Arial Narrow" w:hAnsi="Arial Narrow"/>
          <w:szCs w:val="24"/>
        </w:rPr>
      </w:pPr>
    </w:p>
    <w:tbl>
      <w:tblPr>
        <w:tblW w:w="100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8"/>
      </w:tblGrid>
      <w:tr w:rsidR="00CD6FFC" w:rsidRPr="00A82C1C" w:rsidTr="00DE5CF9">
        <w:trPr>
          <w:trHeight w:val="3082"/>
        </w:trPr>
        <w:tc>
          <w:tcPr>
            <w:tcW w:w="10098" w:type="dxa"/>
          </w:tcPr>
          <w:p w:rsidR="00CD6FFC" w:rsidRPr="00A82C1C" w:rsidRDefault="009E5914">
            <w:pPr>
              <w:rPr>
                <w:rFonts w:ascii="Arial Narrow" w:hAnsi="Arial Narrow"/>
                <w:b/>
                <w:bCs/>
                <w:szCs w:val="24"/>
              </w:rPr>
            </w:pPr>
            <w:r w:rsidRPr="00A82C1C">
              <w:rPr>
                <w:rFonts w:ascii="Arial Narrow" w:hAnsi="Arial Narrow"/>
                <w:b/>
                <w:bCs/>
                <w:szCs w:val="24"/>
              </w:rPr>
              <w:t>Summary in your own words</w:t>
            </w:r>
            <w:r w:rsidR="00CD6FFC" w:rsidRPr="00A82C1C">
              <w:rPr>
                <w:rFonts w:ascii="Arial Narrow" w:hAnsi="Arial Narrow"/>
                <w:b/>
                <w:bCs/>
                <w:szCs w:val="24"/>
              </w:rPr>
              <w:t xml:space="preserve">:  </w:t>
            </w:r>
          </w:p>
          <w:p w:rsidR="00DE5CF9" w:rsidRPr="00A82C1C" w:rsidRDefault="00DE5CF9">
            <w:pPr>
              <w:rPr>
                <w:rFonts w:ascii="Arial Narrow" w:hAnsi="Arial Narrow"/>
                <w:bCs/>
                <w:szCs w:val="24"/>
              </w:rPr>
            </w:pPr>
          </w:p>
          <w:p w:rsidR="00DE5CF9" w:rsidRPr="00A82C1C" w:rsidRDefault="008D5986">
            <w:pPr>
              <w:rPr>
                <w:rFonts w:ascii="Arial Narrow" w:hAnsi="Arial Narrow"/>
                <w:bCs/>
                <w:szCs w:val="24"/>
              </w:rPr>
            </w:pPr>
            <w:proofErr w:type="spellStart"/>
            <w:r w:rsidRPr="00A82C1C">
              <w:rPr>
                <w:rFonts w:ascii="Arial Narrow" w:hAnsi="Arial Narrow"/>
                <w:bCs/>
                <w:szCs w:val="24"/>
              </w:rPr>
              <w:t>Olaratumab</w:t>
            </w:r>
            <w:proofErr w:type="spellEnd"/>
            <w:r w:rsidRPr="00A82C1C">
              <w:rPr>
                <w:rFonts w:ascii="Arial Narrow" w:hAnsi="Arial Narrow"/>
                <w:bCs/>
                <w:szCs w:val="24"/>
              </w:rPr>
              <w:t xml:space="preserve"> is Eli Lilly and Company’s drug that has received a recommendation from the European Medicines Agency’s Committee for Medicinal Products for Human Use to allow the company to market the drug</w:t>
            </w:r>
            <w:r w:rsidR="001C5DFF" w:rsidRPr="00A82C1C">
              <w:rPr>
                <w:rFonts w:ascii="Arial Narrow" w:hAnsi="Arial Narrow"/>
                <w:bCs/>
                <w:szCs w:val="24"/>
              </w:rPr>
              <w:t xml:space="preserve"> to be used with doxorubicin</w:t>
            </w:r>
            <w:r w:rsidRPr="00A82C1C">
              <w:rPr>
                <w:rFonts w:ascii="Arial Narrow" w:hAnsi="Arial Narrow"/>
                <w:bCs/>
                <w:szCs w:val="24"/>
              </w:rPr>
              <w:t xml:space="preserve"> for treating adults with advanced soft tissue sarcoma in the European Union. The drug is currently in Phase 3 of studying; the estimated completion date is February 2019. The U.S. Food and Drug Administration is also currently reviewing the drug. </w:t>
            </w:r>
          </w:p>
        </w:tc>
      </w:tr>
    </w:tbl>
    <w:p w:rsidR="00CD6FFC" w:rsidRPr="00A82C1C" w:rsidRDefault="00CD6FFC">
      <w:pPr>
        <w:rPr>
          <w:rFonts w:ascii="Arial Narrow" w:hAnsi="Arial Narrow"/>
          <w:szCs w:val="24"/>
        </w:rPr>
      </w:pPr>
    </w:p>
    <w:tbl>
      <w:tblPr>
        <w:tblW w:w="103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8"/>
      </w:tblGrid>
      <w:tr w:rsidR="00CD6FFC" w:rsidRPr="00A82C1C" w:rsidTr="00DE5CF9">
        <w:trPr>
          <w:trHeight w:val="2965"/>
        </w:trPr>
        <w:tc>
          <w:tcPr>
            <w:tcW w:w="10308" w:type="dxa"/>
          </w:tcPr>
          <w:p w:rsidR="00DE5CF9" w:rsidRPr="00A82C1C" w:rsidRDefault="009E5914" w:rsidP="009E5914">
            <w:pPr>
              <w:rPr>
                <w:rFonts w:ascii="Arial Narrow" w:hAnsi="Arial Narrow"/>
                <w:b/>
                <w:bCs/>
                <w:szCs w:val="24"/>
              </w:rPr>
            </w:pPr>
            <w:r w:rsidRPr="00A82C1C">
              <w:rPr>
                <w:rFonts w:ascii="Arial Narrow" w:hAnsi="Arial Narrow"/>
                <w:b/>
                <w:bCs/>
                <w:szCs w:val="24"/>
              </w:rPr>
              <w:t xml:space="preserve">How is this new and </w:t>
            </w:r>
            <w:proofErr w:type="gramStart"/>
            <w:r w:rsidRPr="00A82C1C">
              <w:rPr>
                <w:rFonts w:ascii="Arial Narrow" w:hAnsi="Arial Narrow"/>
                <w:b/>
                <w:bCs/>
                <w:szCs w:val="24"/>
              </w:rPr>
              <w:t>innovative?</w:t>
            </w:r>
            <w:r w:rsidR="00CD6FFC" w:rsidRPr="00A82C1C">
              <w:rPr>
                <w:rFonts w:ascii="Arial Narrow" w:hAnsi="Arial Narrow"/>
                <w:b/>
                <w:bCs/>
                <w:szCs w:val="24"/>
              </w:rPr>
              <w:t>:</w:t>
            </w:r>
            <w:proofErr w:type="gramEnd"/>
            <w:r w:rsidR="0075171D" w:rsidRPr="00A82C1C">
              <w:rPr>
                <w:rFonts w:ascii="Arial Narrow" w:hAnsi="Arial Narrow"/>
                <w:b/>
                <w:bCs/>
                <w:szCs w:val="24"/>
              </w:rPr>
              <w:t xml:space="preserve"> </w:t>
            </w:r>
          </w:p>
          <w:p w:rsidR="00DE5CF9" w:rsidRPr="00A82C1C" w:rsidRDefault="00DE5CF9" w:rsidP="009E5914">
            <w:pPr>
              <w:rPr>
                <w:rFonts w:ascii="Arial Narrow" w:hAnsi="Arial Narrow"/>
                <w:b/>
                <w:bCs/>
                <w:szCs w:val="24"/>
              </w:rPr>
            </w:pPr>
          </w:p>
          <w:p w:rsidR="00DE5CF9" w:rsidRPr="00A82C1C" w:rsidRDefault="008D5986" w:rsidP="0056452D">
            <w:pPr>
              <w:rPr>
                <w:rFonts w:ascii="Arial Narrow" w:hAnsi="Arial Narrow"/>
                <w:szCs w:val="24"/>
              </w:rPr>
            </w:pPr>
            <w:r w:rsidRPr="00A82C1C">
              <w:rPr>
                <w:rFonts w:ascii="Arial Narrow" w:hAnsi="Arial Narrow"/>
                <w:bCs/>
                <w:szCs w:val="24"/>
              </w:rPr>
              <w:t xml:space="preserve">This is new and innovative because of the nature of sarcomas. </w:t>
            </w:r>
            <w:r w:rsidR="001C5DFF" w:rsidRPr="00A82C1C">
              <w:rPr>
                <w:rFonts w:ascii="Arial Narrow" w:hAnsi="Arial Narrow"/>
                <w:bCs/>
                <w:szCs w:val="24"/>
              </w:rPr>
              <w:t xml:space="preserve">They are a rare and complex type of cancer, with many different types. This makes the disease hard to diagnose and treat, and there have not been any new drugs for soft tissue sarcoma that have improved survival rates of patients. </w:t>
            </w:r>
          </w:p>
        </w:tc>
      </w:tr>
    </w:tbl>
    <w:p w:rsidR="00CD6FFC" w:rsidRPr="00A82C1C" w:rsidRDefault="00CD6FFC">
      <w:pPr>
        <w:rPr>
          <w:rFonts w:ascii="Arial Narrow" w:hAnsi="Arial Narrow"/>
          <w:szCs w:val="24"/>
        </w:rPr>
      </w:pPr>
    </w:p>
    <w:tbl>
      <w:tblPr>
        <w:tblW w:w="102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3"/>
      </w:tblGrid>
      <w:tr w:rsidR="00CD6FFC" w:rsidRPr="00A82C1C" w:rsidTr="00DE5CF9">
        <w:trPr>
          <w:trHeight w:val="50"/>
        </w:trPr>
        <w:tc>
          <w:tcPr>
            <w:tcW w:w="10203" w:type="dxa"/>
          </w:tcPr>
          <w:p w:rsidR="00CD6FFC" w:rsidRPr="00A82C1C" w:rsidRDefault="00DE5CF9">
            <w:pPr>
              <w:rPr>
                <w:rFonts w:ascii="Arial Narrow" w:hAnsi="Arial Narrow"/>
                <w:b/>
                <w:bCs/>
                <w:szCs w:val="24"/>
              </w:rPr>
            </w:pPr>
            <w:r w:rsidRPr="00A82C1C">
              <w:rPr>
                <w:rFonts w:ascii="Arial Narrow" w:hAnsi="Arial Narrow"/>
                <w:b/>
                <w:bCs/>
                <w:szCs w:val="24"/>
              </w:rPr>
              <w:t>Critical analysis (environmental impact, shortcomings, replacement of other products, market size)</w:t>
            </w:r>
            <w:r w:rsidR="00CD6FFC" w:rsidRPr="00A82C1C">
              <w:rPr>
                <w:rFonts w:ascii="Arial Narrow" w:hAnsi="Arial Narrow"/>
                <w:b/>
                <w:bCs/>
                <w:szCs w:val="24"/>
              </w:rPr>
              <w:t xml:space="preserve">: </w:t>
            </w:r>
          </w:p>
          <w:p w:rsidR="00DE5CF9" w:rsidRPr="00A82C1C" w:rsidRDefault="00DE5CF9">
            <w:pPr>
              <w:rPr>
                <w:rFonts w:ascii="Arial Narrow" w:hAnsi="Arial Narrow"/>
                <w:b/>
                <w:bCs/>
                <w:szCs w:val="24"/>
              </w:rPr>
            </w:pPr>
          </w:p>
          <w:p w:rsidR="00DE5CF9" w:rsidRPr="00A82C1C" w:rsidRDefault="001C5DFF">
            <w:pPr>
              <w:rPr>
                <w:rFonts w:ascii="Arial Narrow" w:hAnsi="Arial Narrow"/>
                <w:bCs/>
                <w:szCs w:val="24"/>
              </w:rPr>
            </w:pPr>
            <w:r w:rsidRPr="00A82C1C">
              <w:rPr>
                <w:rFonts w:ascii="Arial Narrow" w:hAnsi="Arial Narrow"/>
                <w:bCs/>
                <w:szCs w:val="24"/>
              </w:rPr>
              <w:t xml:space="preserve">The treatment of </w:t>
            </w:r>
            <w:proofErr w:type="spellStart"/>
            <w:r w:rsidRPr="00A82C1C">
              <w:rPr>
                <w:rFonts w:ascii="Arial Narrow" w:hAnsi="Arial Narrow"/>
                <w:bCs/>
                <w:szCs w:val="24"/>
              </w:rPr>
              <w:t>olaratumab</w:t>
            </w:r>
            <w:proofErr w:type="spellEnd"/>
            <w:r w:rsidRPr="00A82C1C">
              <w:rPr>
                <w:rFonts w:ascii="Arial Narrow" w:hAnsi="Arial Narrow"/>
                <w:bCs/>
                <w:szCs w:val="24"/>
              </w:rPr>
              <w:t xml:space="preserve"> in combination with doxorubicin does increase the survival of soft tissue sarcoma patients by an average of 11.8 months, nearly double the survival time with just doxorubicin. However, </w:t>
            </w:r>
            <w:r w:rsidR="0056452D" w:rsidRPr="00A82C1C">
              <w:rPr>
                <w:rFonts w:ascii="Arial Narrow" w:hAnsi="Arial Narrow"/>
                <w:bCs/>
                <w:szCs w:val="24"/>
              </w:rPr>
              <w:t xml:space="preserve">extra </w:t>
            </w:r>
            <w:r w:rsidRPr="00A82C1C">
              <w:rPr>
                <w:rFonts w:ascii="Arial Narrow" w:hAnsi="Arial Narrow"/>
                <w:bCs/>
                <w:szCs w:val="24"/>
              </w:rPr>
              <w:lastRenderedPageBreak/>
              <w:t xml:space="preserve">months of survival </w:t>
            </w:r>
            <w:r w:rsidR="0056452D" w:rsidRPr="00A82C1C">
              <w:rPr>
                <w:rFonts w:ascii="Arial Narrow" w:hAnsi="Arial Narrow"/>
                <w:bCs/>
                <w:szCs w:val="24"/>
              </w:rPr>
              <w:t>with a disease is hardly an improvement in a patient’s experience, especially since the side effects of the drugs in combination, which include nausea, vomiting, diarrhea, and mucositis, were more frequent than the doxorubicin alone. Although the drug does improve a patient’s prognosis, it does not improve the quality of life of the patient during their extra time.</w:t>
            </w:r>
          </w:p>
        </w:tc>
      </w:tr>
    </w:tbl>
    <w:p w:rsidR="00CD6FFC" w:rsidRPr="00A82C1C" w:rsidRDefault="00CD6FFC">
      <w:pPr>
        <w:pStyle w:val="Header"/>
        <w:tabs>
          <w:tab w:val="clear" w:pos="4320"/>
          <w:tab w:val="clear" w:pos="8640"/>
        </w:tabs>
        <w:rPr>
          <w:rFonts w:ascii="Arial Narrow" w:hAnsi="Arial Narrow"/>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CD6FFC" w:rsidRPr="00A82C1C" w:rsidTr="00DE5CF9">
        <w:trPr>
          <w:trHeight w:val="2105"/>
        </w:trPr>
        <w:tc>
          <w:tcPr>
            <w:tcW w:w="10188" w:type="dxa"/>
          </w:tcPr>
          <w:p w:rsidR="00CD6FFC" w:rsidRPr="00A82C1C" w:rsidRDefault="00DE5CF9">
            <w:pPr>
              <w:rPr>
                <w:rFonts w:ascii="Arial Narrow" w:hAnsi="Arial Narrow"/>
                <w:szCs w:val="24"/>
              </w:rPr>
            </w:pPr>
            <w:r w:rsidRPr="00A82C1C">
              <w:rPr>
                <w:rFonts w:ascii="Arial Narrow" w:hAnsi="Arial Narrow"/>
                <w:b/>
                <w:bCs/>
                <w:szCs w:val="24"/>
              </w:rPr>
              <w:t>Additional comments</w:t>
            </w:r>
            <w:r w:rsidR="00CD6FFC" w:rsidRPr="00A82C1C">
              <w:rPr>
                <w:rFonts w:ascii="Arial Narrow" w:hAnsi="Arial Narrow"/>
                <w:b/>
                <w:bCs/>
                <w:szCs w:val="24"/>
              </w:rPr>
              <w:t>:</w:t>
            </w:r>
            <w:r w:rsidR="00CD6FFC" w:rsidRPr="00A82C1C">
              <w:rPr>
                <w:rFonts w:ascii="Arial Narrow" w:hAnsi="Arial Narrow"/>
                <w:szCs w:val="24"/>
              </w:rPr>
              <w:t xml:space="preserve"> </w:t>
            </w:r>
          </w:p>
          <w:p w:rsidR="00DE5CF9" w:rsidRPr="00A82C1C" w:rsidRDefault="00DE5CF9">
            <w:pPr>
              <w:rPr>
                <w:rFonts w:ascii="Arial Narrow" w:hAnsi="Arial Narrow"/>
                <w:szCs w:val="24"/>
              </w:rPr>
            </w:pPr>
          </w:p>
          <w:p w:rsidR="00DE5CF9" w:rsidRPr="00A82C1C" w:rsidRDefault="0056452D">
            <w:pPr>
              <w:rPr>
                <w:rFonts w:ascii="Arial Narrow" w:hAnsi="Arial Narrow"/>
                <w:szCs w:val="24"/>
              </w:rPr>
            </w:pPr>
            <w:r w:rsidRPr="00A82C1C">
              <w:rPr>
                <w:rFonts w:ascii="Arial Narrow" w:hAnsi="Arial Narrow"/>
                <w:szCs w:val="24"/>
              </w:rPr>
              <w:t>The drug works by binding to a growth factor receptor expressed in a tumor to block ligands from binding to the receptor an</w:t>
            </w:r>
            <w:bookmarkStart w:id="0" w:name="_GoBack"/>
            <w:bookmarkEnd w:id="0"/>
            <w:r w:rsidRPr="00A82C1C">
              <w:rPr>
                <w:rFonts w:ascii="Arial Narrow" w:hAnsi="Arial Narrow"/>
                <w:szCs w:val="24"/>
              </w:rPr>
              <w:t>d allowing for cancer metastasis. The drug is given intravenously.</w:t>
            </w:r>
          </w:p>
        </w:tc>
      </w:tr>
    </w:tbl>
    <w:p w:rsidR="00CD6FFC" w:rsidRPr="00A82C1C" w:rsidRDefault="00CD6FFC">
      <w:pPr>
        <w:rPr>
          <w:rFonts w:ascii="Arial Narrow" w:hAnsi="Arial Narrow"/>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DE5CF9" w:rsidRPr="00A82C1C" w:rsidTr="002A3956">
        <w:trPr>
          <w:trHeight w:val="2105"/>
        </w:trPr>
        <w:tc>
          <w:tcPr>
            <w:tcW w:w="10188" w:type="dxa"/>
          </w:tcPr>
          <w:p w:rsidR="00DE5CF9" w:rsidRPr="00A82C1C" w:rsidRDefault="00DE5CF9" w:rsidP="00DE5CF9">
            <w:pPr>
              <w:rPr>
                <w:rFonts w:ascii="Arial Narrow" w:hAnsi="Arial Narrow"/>
                <w:b/>
                <w:bCs/>
                <w:szCs w:val="24"/>
              </w:rPr>
            </w:pPr>
            <w:r w:rsidRPr="00A82C1C">
              <w:rPr>
                <w:rFonts w:ascii="Arial Narrow" w:hAnsi="Arial Narrow"/>
                <w:b/>
                <w:bCs/>
                <w:szCs w:val="24"/>
              </w:rPr>
              <w:t>Source(s):</w:t>
            </w:r>
          </w:p>
          <w:p w:rsidR="00DE5CF9" w:rsidRPr="00A82C1C" w:rsidRDefault="00DE5CF9" w:rsidP="00DE5CF9">
            <w:pPr>
              <w:rPr>
                <w:rFonts w:ascii="Arial Narrow" w:hAnsi="Arial Narrow"/>
                <w:b/>
                <w:bCs/>
                <w:szCs w:val="24"/>
              </w:rPr>
            </w:pPr>
          </w:p>
          <w:p w:rsidR="00A82C1C" w:rsidRPr="00A82C1C" w:rsidRDefault="00A82C1C" w:rsidP="00A82C1C">
            <w:pPr>
              <w:rPr>
                <w:rFonts w:ascii="Arial Narrow" w:hAnsi="Arial Narrow"/>
                <w:szCs w:val="24"/>
              </w:rPr>
            </w:pPr>
            <w:r w:rsidRPr="00A82C1C">
              <w:rPr>
                <w:rFonts w:ascii="Arial Narrow" w:hAnsi="Arial Narrow"/>
                <w:szCs w:val="24"/>
              </w:rPr>
              <w:t xml:space="preserve">A Phase III Study of Doxorubicin with </w:t>
            </w:r>
            <w:proofErr w:type="spellStart"/>
            <w:r w:rsidRPr="00A82C1C">
              <w:rPr>
                <w:rFonts w:ascii="Arial Narrow" w:hAnsi="Arial Narrow"/>
                <w:szCs w:val="24"/>
              </w:rPr>
              <w:t>Olaratumab</w:t>
            </w:r>
            <w:proofErr w:type="spellEnd"/>
            <w:r w:rsidRPr="00A82C1C">
              <w:rPr>
                <w:rFonts w:ascii="Arial Narrow" w:hAnsi="Arial Narrow"/>
                <w:szCs w:val="24"/>
              </w:rPr>
              <w:t xml:space="preserve"> or Placebo in. (</w:t>
            </w:r>
            <w:proofErr w:type="spellStart"/>
            <w:r w:rsidRPr="00A82C1C">
              <w:rPr>
                <w:rFonts w:ascii="Arial Narrow" w:hAnsi="Arial Narrow"/>
                <w:szCs w:val="24"/>
              </w:rPr>
              <w:t>n.d.</w:t>
            </w:r>
            <w:proofErr w:type="spellEnd"/>
            <w:r w:rsidRPr="00A82C1C">
              <w:rPr>
                <w:rFonts w:ascii="Arial Narrow" w:hAnsi="Arial Narrow"/>
                <w:szCs w:val="24"/>
              </w:rPr>
              <w:t xml:space="preserve">). Retrieved September 17, 2016, from https://www.mskcc.org/cancer-care/clinical-trials/15-271 </w:t>
            </w:r>
          </w:p>
          <w:p w:rsidR="00DE5CF9" w:rsidRPr="00A82C1C" w:rsidRDefault="00DE5CF9" w:rsidP="00DE5CF9">
            <w:pPr>
              <w:rPr>
                <w:rFonts w:ascii="Arial Narrow" w:hAnsi="Arial Narrow"/>
                <w:b/>
                <w:bCs/>
                <w:szCs w:val="24"/>
              </w:rPr>
            </w:pPr>
          </w:p>
          <w:p w:rsidR="00A82C1C" w:rsidRPr="00A82C1C" w:rsidRDefault="00A82C1C" w:rsidP="00A82C1C">
            <w:pPr>
              <w:rPr>
                <w:rFonts w:ascii="Arial Narrow" w:hAnsi="Arial Narrow"/>
                <w:szCs w:val="24"/>
              </w:rPr>
            </w:pPr>
            <w:r w:rsidRPr="00A82C1C">
              <w:rPr>
                <w:rFonts w:ascii="Arial Narrow" w:hAnsi="Arial Narrow"/>
                <w:szCs w:val="24"/>
              </w:rPr>
              <w:t xml:space="preserve">A Study of Doxorubicin Plus </w:t>
            </w:r>
            <w:proofErr w:type="spellStart"/>
            <w:r w:rsidRPr="00A82C1C">
              <w:rPr>
                <w:rFonts w:ascii="Arial Narrow" w:hAnsi="Arial Narrow"/>
                <w:szCs w:val="24"/>
              </w:rPr>
              <w:t>Olaratumab</w:t>
            </w:r>
            <w:proofErr w:type="spellEnd"/>
            <w:r w:rsidRPr="00A82C1C">
              <w:rPr>
                <w:rFonts w:ascii="Arial Narrow" w:hAnsi="Arial Narrow"/>
                <w:szCs w:val="24"/>
              </w:rPr>
              <w:t xml:space="preserve"> (LY3012207) in Participants </w:t>
            </w:r>
            <w:proofErr w:type="gramStart"/>
            <w:r w:rsidRPr="00A82C1C">
              <w:rPr>
                <w:rFonts w:ascii="Arial Narrow" w:hAnsi="Arial Narrow"/>
                <w:szCs w:val="24"/>
              </w:rPr>
              <w:t>With</w:t>
            </w:r>
            <w:proofErr w:type="gramEnd"/>
            <w:r w:rsidRPr="00A82C1C">
              <w:rPr>
                <w:rFonts w:ascii="Arial Narrow" w:hAnsi="Arial Narrow"/>
                <w:szCs w:val="24"/>
              </w:rPr>
              <w:t xml:space="preserve"> Advanced or Metastatic Soft Tissue Sarcoma (ANNOUNCE). (2016, September 16). Retrieved September 17, 2016, from https://clinicaltrials.gov/ct2/show/NCT02451943?term=olaratumab </w:t>
            </w:r>
          </w:p>
          <w:p w:rsidR="00A82C1C" w:rsidRPr="00A82C1C" w:rsidRDefault="00A82C1C" w:rsidP="00DE5CF9">
            <w:pPr>
              <w:rPr>
                <w:rFonts w:ascii="Arial Narrow" w:hAnsi="Arial Narrow"/>
                <w:b/>
                <w:bCs/>
                <w:szCs w:val="24"/>
              </w:rPr>
            </w:pPr>
          </w:p>
          <w:p w:rsidR="00A82C1C" w:rsidRPr="00A82C1C" w:rsidRDefault="00A82C1C" w:rsidP="00A82C1C">
            <w:pPr>
              <w:rPr>
                <w:rFonts w:ascii="Arial Narrow" w:hAnsi="Arial Narrow"/>
                <w:szCs w:val="24"/>
              </w:rPr>
            </w:pPr>
            <w:r w:rsidRPr="00A82C1C">
              <w:rPr>
                <w:rFonts w:ascii="Arial Narrow" w:hAnsi="Arial Narrow"/>
                <w:szCs w:val="24"/>
              </w:rPr>
              <w:t xml:space="preserve">Eli Lilly and Company. (2016, September 16). CHMP Recommends Approval of Lilly's </w:t>
            </w:r>
            <w:proofErr w:type="spellStart"/>
            <w:r w:rsidRPr="00A82C1C">
              <w:rPr>
                <w:rFonts w:ascii="Arial Narrow" w:hAnsi="Arial Narrow"/>
                <w:szCs w:val="24"/>
              </w:rPr>
              <w:t>Olaratumab</w:t>
            </w:r>
            <w:proofErr w:type="spellEnd"/>
            <w:r w:rsidRPr="00A82C1C">
              <w:rPr>
                <w:rFonts w:ascii="Arial Narrow" w:hAnsi="Arial Narrow"/>
                <w:szCs w:val="24"/>
              </w:rPr>
              <w:t xml:space="preserve">, in Combination with Doxorubicin, for Advanced Soft Tissue Sarcoma. Retrieved September 17, 2016, from http://www.prnewswire.com/news-releases/chmp-recommends-approval-of-lillys-olaratumab-in-combination-with-doxorubicin-for-advanced-soft-tissue-sarcoma-300329369.html </w:t>
            </w:r>
          </w:p>
          <w:p w:rsidR="00A82C1C" w:rsidRPr="00A82C1C" w:rsidRDefault="00A82C1C" w:rsidP="00DE5CF9">
            <w:pPr>
              <w:rPr>
                <w:rFonts w:ascii="Arial Narrow" w:hAnsi="Arial Narrow"/>
                <w:b/>
                <w:bCs/>
                <w:szCs w:val="24"/>
              </w:rPr>
            </w:pPr>
          </w:p>
          <w:p w:rsidR="00A82C1C" w:rsidRPr="00A82C1C" w:rsidRDefault="00A82C1C" w:rsidP="00A82C1C">
            <w:pPr>
              <w:rPr>
                <w:rFonts w:ascii="Arial Narrow" w:hAnsi="Arial Narrow"/>
                <w:szCs w:val="24"/>
              </w:rPr>
            </w:pPr>
            <w:r w:rsidRPr="00A82C1C">
              <w:rPr>
                <w:rFonts w:ascii="Arial Narrow" w:hAnsi="Arial Narrow"/>
                <w:szCs w:val="24"/>
              </w:rPr>
              <w:t xml:space="preserve">Lilly Oncology Pipeline | Lilly USA. (2016, April). Retrieved September 17, 2016, from http://www.lillyoncologypipeline.com/molecule/pdgfr-alpha-antibody/overview </w:t>
            </w:r>
          </w:p>
          <w:p w:rsidR="00DE5CF9" w:rsidRPr="00A82C1C" w:rsidRDefault="00DE5CF9" w:rsidP="00DE5CF9">
            <w:pPr>
              <w:rPr>
                <w:rFonts w:ascii="Arial Narrow" w:hAnsi="Arial Narrow"/>
                <w:b/>
                <w:bCs/>
                <w:szCs w:val="24"/>
              </w:rPr>
            </w:pPr>
          </w:p>
          <w:p w:rsidR="00A82C1C" w:rsidRPr="00A82C1C" w:rsidRDefault="00A82C1C" w:rsidP="00A82C1C">
            <w:pPr>
              <w:rPr>
                <w:rFonts w:ascii="Arial Narrow" w:hAnsi="Arial Narrow"/>
                <w:szCs w:val="24"/>
              </w:rPr>
            </w:pPr>
            <w:proofErr w:type="spellStart"/>
            <w:r w:rsidRPr="00A82C1C">
              <w:rPr>
                <w:rFonts w:ascii="Arial Narrow" w:hAnsi="Arial Narrow"/>
                <w:szCs w:val="24"/>
              </w:rPr>
              <w:t>Scheler</w:t>
            </w:r>
            <w:proofErr w:type="spellEnd"/>
            <w:r w:rsidRPr="00A82C1C">
              <w:rPr>
                <w:rFonts w:ascii="Arial Narrow" w:hAnsi="Arial Narrow"/>
                <w:szCs w:val="24"/>
              </w:rPr>
              <w:t xml:space="preserve">, S., </w:t>
            </w:r>
            <w:proofErr w:type="spellStart"/>
            <w:r w:rsidRPr="00A82C1C">
              <w:rPr>
                <w:rFonts w:ascii="Arial Narrow" w:hAnsi="Arial Narrow"/>
                <w:szCs w:val="24"/>
              </w:rPr>
              <w:t>Degendorfer</w:t>
            </w:r>
            <w:proofErr w:type="spellEnd"/>
            <w:r w:rsidRPr="00A82C1C">
              <w:rPr>
                <w:rFonts w:ascii="Arial Narrow" w:hAnsi="Arial Narrow"/>
                <w:szCs w:val="24"/>
              </w:rPr>
              <w:t xml:space="preserve">, H., </w:t>
            </w:r>
            <w:proofErr w:type="spellStart"/>
            <w:r w:rsidRPr="00A82C1C">
              <w:rPr>
                <w:rFonts w:ascii="Arial Narrow" w:hAnsi="Arial Narrow"/>
                <w:szCs w:val="24"/>
              </w:rPr>
              <w:t>Raneburger</w:t>
            </w:r>
            <w:proofErr w:type="spellEnd"/>
            <w:r w:rsidRPr="00A82C1C">
              <w:rPr>
                <w:rFonts w:ascii="Arial Narrow" w:hAnsi="Arial Narrow"/>
                <w:szCs w:val="24"/>
              </w:rPr>
              <w:t xml:space="preserve">, J., Schwarz, F., &amp; Ag, S. (2013, August 1). Patent WO2013110644A1 - Pharmaceutical composition containing crystalline </w:t>
            </w:r>
            <w:proofErr w:type="spellStart"/>
            <w:r w:rsidRPr="00A82C1C">
              <w:rPr>
                <w:rFonts w:ascii="Arial Narrow" w:hAnsi="Arial Narrow"/>
                <w:szCs w:val="24"/>
              </w:rPr>
              <w:t>sorafenib</w:t>
            </w:r>
            <w:proofErr w:type="spellEnd"/>
            <w:r w:rsidRPr="00A82C1C">
              <w:rPr>
                <w:rFonts w:ascii="Arial Narrow" w:hAnsi="Arial Narrow"/>
                <w:szCs w:val="24"/>
              </w:rPr>
              <w:t xml:space="preserve"> </w:t>
            </w:r>
            <w:proofErr w:type="spellStart"/>
            <w:r w:rsidRPr="00A82C1C">
              <w:rPr>
                <w:rFonts w:ascii="Arial Narrow" w:hAnsi="Arial Narrow"/>
                <w:szCs w:val="24"/>
              </w:rPr>
              <w:t>tosylate</w:t>
            </w:r>
            <w:proofErr w:type="spellEnd"/>
            <w:r w:rsidRPr="00A82C1C">
              <w:rPr>
                <w:rFonts w:ascii="Arial Narrow" w:hAnsi="Arial Narrow"/>
                <w:szCs w:val="24"/>
              </w:rPr>
              <w:t xml:space="preserve">. Retrieved September 17, 2016, from https://www.google.com/patents/WO2013110644A1?cl=en </w:t>
            </w:r>
          </w:p>
          <w:p w:rsidR="00A82C1C" w:rsidRPr="00A82C1C" w:rsidRDefault="00A82C1C" w:rsidP="00DE5CF9">
            <w:pPr>
              <w:rPr>
                <w:rFonts w:ascii="Arial Narrow" w:hAnsi="Arial Narrow"/>
                <w:b/>
                <w:bCs/>
                <w:szCs w:val="24"/>
              </w:rPr>
            </w:pPr>
          </w:p>
          <w:p w:rsidR="00DE5CF9" w:rsidRPr="00A82C1C" w:rsidRDefault="00A82C1C" w:rsidP="00DE5CF9">
            <w:pPr>
              <w:rPr>
                <w:rFonts w:ascii="Arial Narrow" w:hAnsi="Arial Narrow"/>
                <w:szCs w:val="24"/>
              </w:rPr>
            </w:pPr>
            <w:r w:rsidRPr="00A82C1C">
              <w:rPr>
                <w:rFonts w:ascii="Arial Narrow" w:hAnsi="Arial Narrow"/>
                <w:szCs w:val="24"/>
              </w:rPr>
              <w:t xml:space="preserve">Tap, W. D., MD, Jones, R. L., MD, Van Tine, B. A., MD, Chmielowski, B., MD, Elias, A. D., MD, Adkins, D., MD, . . . Schwartz, G. K., MD. (2016, July 30). </w:t>
            </w:r>
            <w:proofErr w:type="spellStart"/>
            <w:r w:rsidRPr="00A82C1C">
              <w:rPr>
                <w:rFonts w:ascii="Arial Narrow" w:hAnsi="Arial Narrow"/>
                <w:szCs w:val="24"/>
              </w:rPr>
              <w:t>Olaratumab</w:t>
            </w:r>
            <w:proofErr w:type="spellEnd"/>
            <w:r w:rsidRPr="00A82C1C">
              <w:rPr>
                <w:rFonts w:ascii="Arial Narrow" w:hAnsi="Arial Narrow"/>
                <w:szCs w:val="24"/>
              </w:rPr>
              <w:t xml:space="preserve"> and doxorubicin versus doxorubicin alone for treatment of soft-tissue sarcoma: An open-label phase 1b and </w:t>
            </w:r>
            <w:proofErr w:type="spellStart"/>
            <w:r w:rsidRPr="00A82C1C">
              <w:rPr>
                <w:rFonts w:ascii="Arial Narrow" w:hAnsi="Arial Narrow"/>
                <w:szCs w:val="24"/>
              </w:rPr>
              <w:t>randomised</w:t>
            </w:r>
            <w:proofErr w:type="spellEnd"/>
            <w:r w:rsidRPr="00A82C1C">
              <w:rPr>
                <w:rFonts w:ascii="Arial Narrow" w:hAnsi="Arial Narrow"/>
                <w:szCs w:val="24"/>
              </w:rPr>
              <w:t xml:space="preserve"> phase 2 trial [Abstract]. </w:t>
            </w:r>
            <w:r w:rsidRPr="00A82C1C">
              <w:rPr>
                <w:rFonts w:ascii="Arial Narrow" w:hAnsi="Arial Narrow"/>
                <w:i/>
                <w:iCs/>
                <w:szCs w:val="24"/>
              </w:rPr>
              <w:t>The Lancet,</w:t>
            </w:r>
            <w:r w:rsidRPr="00A82C1C">
              <w:rPr>
                <w:rFonts w:ascii="Arial Narrow" w:hAnsi="Arial Narrow"/>
                <w:szCs w:val="24"/>
              </w:rPr>
              <w:t xml:space="preserve"> </w:t>
            </w:r>
            <w:r w:rsidRPr="00A82C1C">
              <w:rPr>
                <w:rFonts w:ascii="Arial Narrow" w:hAnsi="Arial Narrow"/>
                <w:i/>
                <w:iCs/>
                <w:szCs w:val="24"/>
              </w:rPr>
              <w:t>388</w:t>
            </w:r>
            <w:r w:rsidRPr="00A82C1C">
              <w:rPr>
                <w:rFonts w:ascii="Arial Narrow" w:hAnsi="Arial Narrow"/>
                <w:szCs w:val="24"/>
              </w:rPr>
              <w:t xml:space="preserve">(10043), 488-497. http://dx.doi.org/10.1016/S0140-6736(16)30587-6 </w:t>
            </w:r>
          </w:p>
        </w:tc>
      </w:tr>
    </w:tbl>
    <w:p w:rsidR="00CD6FFC" w:rsidRPr="00A82C1C" w:rsidRDefault="00CD6FFC">
      <w:pPr>
        <w:tabs>
          <w:tab w:val="left" w:pos="7380"/>
        </w:tabs>
        <w:rPr>
          <w:rFonts w:ascii="Arial Narrow" w:hAnsi="Arial Narrow"/>
          <w:szCs w:val="24"/>
        </w:rPr>
      </w:pPr>
    </w:p>
    <w:sectPr w:rsidR="00CD6FFC" w:rsidRPr="00A82C1C">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549" w:rsidRDefault="004F1549">
      <w:r>
        <w:separator/>
      </w:r>
    </w:p>
  </w:endnote>
  <w:endnote w:type="continuationSeparator" w:id="0">
    <w:p w:rsidR="004F1549" w:rsidRDefault="004F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549" w:rsidRDefault="004F1549">
      <w:r>
        <w:separator/>
      </w:r>
    </w:p>
  </w:footnote>
  <w:footnote w:type="continuationSeparator" w:id="0">
    <w:p w:rsidR="004F1549" w:rsidRDefault="004F1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585" w:rsidRDefault="00815585">
    <w:pPr>
      <w:pStyle w:val="Header"/>
      <w:jc w:val="center"/>
    </w:pPr>
    <w:r>
      <w:rPr>
        <w:b/>
        <w:bCs/>
        <w:sz w:val="22"/>
      </w:rPr>
      <w:t xml:space="preserve">ABE 201 – New Product/Process </w:t>
    </w:r>
    <w:r w:rsidR="00F33F05">
      <w:rPr>
        <w:b/>
        <w:bCs/>
        <w:sz w:val="22"/>
      </w:rPr>
      <w:t>Review</w:t>
    </w:r>
    <w:r>
      <w:rPr>
        <w:b/>
        <w:bCs/>
        <w:sz w:val="22"/>
      </w:rPr>
      <w:t xml:space="preserve"> Report</w:t>
    </w:r>
  </w:p>
  <w:p w:rsidR="00815585" w:rsidRDefault="0081558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A26BA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0B80C52"/>
    <w:multiLevelType w:val="hybridMultilevel"/>
    <w:tmpl w:val="AB685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1D"/>
    <w:rsid w:val="00095E53"/>
    <w:rsid w:val="001C5DFF"/>
    <w:rsid w:val="002268E0"/>
    <w:rsid w:val="002A3956"/>
    <w:rsid w:val="002B72D4"/>
    <w:rsid w:val="002C2682"/>
    <w:rsid w:val="00304697"/>
    <w:rsid w:val="0036469E"/>
    <w:rsid w:val="003858CA"/>
    <w:rsid w:val="00386403"/>
    <w:rsid w:val="003A307F"/>
    <w:rsid w:val="003C3FFD"/>
    <w:rsid w:val="0043694A"/>
    <w:rsid w:val="00485E2E"/>
    <w:rsid w:val="004F1549"/>
    <w:rsid w:val="00521A50"/>
    <w:rsid w:val="0056452D"/>
    <w:rsid w:val="00631FCD"/>
    <w:rsid w:val="0075171D"/>
    <w:rsid w:val="00815585"/>
    <w:rsid w:val="00872E20"/>
    <w:rsid w:val="008D5986"/>
    <w:rsid w:val="009774EC"/>
    <w:rsid w:val="009E5914"/>
    <w:rsid w:val="00A34CD0"/>
    <w:rsid w:val="00A82C1C"/>
    <w:rsid w:val="00C349EB"/>
    <w:rsid w:val="00C41DF7"/>
    <w:rsid w:val="00CD6FFC"/>
    <w:rsid w:val="00DE5CF9"/>
    <w:rsid w:val="00F33F05"/>
    <w:rsid w:val="00F6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30D51"/>
  <w15:docId w15:val="{944B167F-007E-46B7-9898-81721A00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jc w:val="center"/>
      <w:outlineLvl w:val="0"/>
    </w:pPr>
    <w:rPr>
      <w:rFonts w:ascii="Arial Narrow" w:hAnsi="Arial Narrow"/>
      <w:b/>
      <w:bCs/>
      <w:sz w:val="28"/>
    </w:rPr>
  </w:style>
  <w:style w:type="paragraph" w:styleId="Heading2">
    <w:name w:val="heading 2"/>
    <w:basedOn w:val="Normal"/>
    <w:next w:val="Normal"/>
    <w:qFormat/>
    <w:pPr>
      <w:keepNext/>
      <w:jc w:val="right"/>
      <w:outlineLvl w:val="1"/>
    </w:pPr>
    <w:rPr>
      <w:rFonts w:ascii="Arial Narrow" w:hAnsi="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style>
  <w:style w:type="character" w:styleId="PageNumber">
    <w:name w:val="page number"/>
    <w:basedOn w:val="DefaultParagraphFont"/>
  </w:style>
  <w:style w:type="paragraph" w:styleId="BodyText2">
    <w:name w:val="Body Text 2"/>
    <w:basedOn w:val="Normal"/>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109">
      <w:bodyDiv w:val="1"/>
      <w:marLeft w:val="0"/>
      <w:marRight w:val="0"/>
      <w:marTop w:val="0"/>
      <w:marBottom w:val="0"/>
      <w:divBdr>
        <w:top w:val="none" w:sz="0" w:space="0" w:color="auto"/>
        <w:left w:val="none" w:sz="0" w:space="0" w:color="auto"/>
        <w:bottom w:val="none" w:sz="0" w:space="0" w:color="auto"/>
        <w:right w:val="none" w:sz="0" w:space="0" w:color="auto"/>
      </w:divBdr>
      <w:divsChild>
        <w:div w:id="10497424">
          <w:marLeft w:val="0"/>
          <w:marRight w:val="0"/>
          <w:marTop w:val="0"/>
          <w:marBottom w:val="0"/>
          <w:divBdr>
            <w:top w:val="none" w:sz="0" w:space="0" w:color="auto"/>
            <w:left w:val="none" w:sz="0" w:space="0" w:color="auto"/>
            <w:bottom w:val="none" w:sz="0" w:space="0" w:color="auto"/>
            <w:right w:val="none" w:sz="0" w:space="0" w:color="auto"/>
          </w:divBdr>
        </w:div>
      </w:divsChild>
    </w:div>
    <w:div w:id="145442924">
      <w:bodyDiv w:val="1"/>
      <w:marLeft w:val="0"/>
      <w:marRight w:val="0"/>
      <w:marTop w:val="0"/>
      <w:marBottom w:val="0"/>
      <w:divBdr>
        <w:top w:val="none" w:sz="0" w:space="0" w:color="auto"/>
        <w:left w:val="none" w:sz="0" w:space="0" w:color="auto"/>
        <w:bottom w:val="none" w:sz="0" w:space="0" w:color="auto"/>
        <w:right w:val="none" w:sz="0" w:space="0" w:color="auto"/>
      </w:divBdr>
      <w:divsChild>
        <w:div w:id="2144997504">
          <w:marLeft w:val="0"/>
          <w:marRight w:val="0"/>
          <w:marTop w:val="0"/>
          <w:marBottom w:val="0"/>
          <w:divBdr>
            <w:top w:val="none" w:sz="0" w:space="0" w:color="auto"/>
            <w:left w:val="none" w:sz="0" w:space="0" w:color="auto"/>
            <w:bottom w:val="none" w:sz="0" w:space="0" w:color="auto"/>
            <w:right w:val="none" w:sz="0" w:space="0" w:color="auto"/>
          </w:divBdr>
        </w:div>
      </w:divsChild>
    </w:div>
    <w:div w:id="704134207">
      <w:bodyDiv w:val="1"/>
      <w:marLeft w:val="0"/>
      <w:marRight w:val="0"/>
      <w:marTop w:val="0"/>
      <w:marBottom w:val="0"/>
      <w:divBdr>
        <w:top w:val="none" w:sz="0" w:space="0" w:color="auto"/>
        <w:left w:val="none" w:sz="0" w:space="0" w:color="auto"/>
        <w:bottom w:val="none" w:sz="0" w:space="0" w:color="auto"/>
        <w:right w:val="none" w:sz="0" w:space="0" w:color="auto"/>
      </w:divBdr>
      <w:divsChild>
        <w:div w:id="285938123">
          <w:marLeft w:val="0"/>
          <w:marRight w:val="0"/>
          <w:marTop w:val="0"/>
          <w:marBottom w:val="0"/>
          <w:divBdr>
            <w:top w:val="none" w:sz="0" w:space="0" w:color="auto"/>
            <w:left w:val="none" w:sz="0" w:space="0" w:color="auto"/>
            <w:bottom w:val="none" w:sz="0" w:space="0" w:color="auto"/>
            <w:right w:val="none" w:sz="0" w:space="0" w:color="auto"/>
          </w:divBdr>
        </w:div>
      </w:divsChild>
    </w:div>
    <w:div w:id="1172646746">
      <w:bodyDiv w:val="1"/>
      <w:marLeft w:val="0"/>
      <w:marRight w:val="0"/>
      <w:marTop w:val="0"/>
      <w:marBottom w:val="0"/>
      <w:divBdr>
        <w:top w:val="none" w:sz="0" w:space="0" w:color="auto"/>
        <w:left w:val="none" w:sz="0" w:space="0" w:color="auto"/>
        <w:bottom w:val="none" w:sz="0" w:space="0" w:color="auto"/>
        <w:right w:val="none" w:sz="0" w:space="0" w:color="auto"/>
      </w:divBdr>
      <w:divsChild>
        <w:div w:id="894051199">
          <w:marLeft w:val="0"/>
          <w:marRight w:val="0"/>
          <w:marTop w:val="0"/>
          <w:marBottom w:val="0"/>
          <w:divBdr>
            <w:top w:val="none" w:sz="0" w:space="0" w:color="auto"/>
            <w:left w:val="none" w:sz="0" w:space="0" w:color="auto"/>
            <w:bottom w:val="none" w:sz="0" w:space="0" w:color="auto"/>
            <w:right w:val="none" w:sz="0" w:space="0" w:color="auto"/>
          </w:divBdr>
        </w:div>
      </w:divsChild>
    </w:div>
    <w:div w:id="1593902019">
      <w:bodyDiv w:val="1"/>
      <w:marLeft w:val="0"/>
      <w:marRight w:val="0"/>
      <w:marTop w:val="0"/>
      <w:marBottom w:val="0"/>
      <w:divBdr>
        <w:top w:val="none" w:sz="0" w:space="0" w:color="auto"/>
        <w:left w:val="none" w:sz="0" w:space="0" w:color="auto"/>
        <w:bottom w:val="none" w:sz="0" w:space="0" w:color="auto"/>
        <w:right w:val="none" w:sz="0" w:space="0" w:color="auto"/>
      </w:divBdr>
      <w:divsChild>
        <w:div w:id="1195508972">
          <w:marLeft w:val="0"/>
          <w:marRight w:val="0"/>
          <w:marTop w:val="0"/>
          <w:marBottom w:val="0"/>
          <w:divBdr>
            <w:top w:val="none" w:sz="0" w:space="0" w:color="auto"/>
            <w:left w:val="none" w:sz="0" w:space="0" w:color="auto"/>
            <w:bottom w:val="none" w:sz="0" w:space="0" w:color="auto"/>
            <w:right w:val="none" w:sz="0" w:space="0" w:color="auto"/>
          </w:divBdr>
        </w:div>
      </w:divsChild>
    </w:div>
    <w:div w:id="2122146414">
      <w:bodyDiv w:val="1"/>
      <w:marLeft w:val="0"/>
      <w:marRight w:val="0"/>
      <w:marTop w:val="0"/>
      <w:marBottom w:val="0"/>
      <w:divBdr>
        <w:top w:val="none" w:sz="0" w:space="0" w:color="auto"/>
        <w:left w:val="none" w:sz="0" w:space="0" w:color="auto"/>
        <w:bottom w:val="none" w:sz="0" w:space="0" w:color="auto"/>
        <w:right w:val="none" w:sz="0" w:space="0" w:color="auto"/>
      </w:divBdr>
      <w:divsChild>
        <w:div w:id="38896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Agricultural and Biological Engineering Department</vt:lpstr>
    </vt:vector>
  </TitlesOfParts>
  <Company>Purdue University</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and Biological Engineering Department</dc:title>
  <dc:creator>isenberg</dc:creator>
  <cp:lastModifiedBy>Kathryn Atherton</cp:lastModifiedBy>
  <cp:revision>2</cp:revision>
  <cp:lastPrinted>2001-11-08T15:28:00Z</cp:lastPrinted>
  <dcterms:created xsi:type="dcterms:W3CDTF">2016-09-17T17:42:00Z</dcterms:created>
  <dcterms:modified xsi:type="dcterms:W3CDTF">2016-09-17T17:42:00Z</dcterms:modified>
</cp:coreProperties>
</file>