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Agricultural &amp; Biological Engineering</w:t>
      </w:r>
    </w:p>
    <w:p w:rsidR="00000000" w:rsidDel="00000000" w:rsidP="00000000" w:rsidRDefault="00000000" w:rsidRPr="00000000" w14:paraId="00000001">
      <w:pPr>
        <w:spacing w:after="200"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West Lafayette, IN 47907</w:t>
      </w:r>
    </w:p>
    <w:p w:rsidR="00000000" w:rsidDel="00000000" w:rsidP="00000000" w:rsidRDefault="00000000" w:rsidRPr="00000000" w14:paraId="00000002">
      <w:pPr>
        <w:spacing w:after="20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Dr. Abigail Engelberth</w:t>
      </w:r>
    </w:p>
    <w:p w:rsidR="00000000" w:rsidDel="00000000" w:rsidP="00000000" w:rsidRDefault="00000000" w:rsidRPr="00000000" w14:paraId="00000003">
      <w:pPr>
        <w:spacing w:after="20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Kathryn Atherton, Matt Muskat, Alex Smith, Holly Spiritoso</w:t>
      </w:r>
    </w:p>
    <w:p w:rsidR="00000000" w:rsidDel="00000000" w:rsidP="00000000" w:rsidRDefault="00000000" w:rsidRPr="00000000" w14:paraId="00000004">
      <w:pPr>
        <w:spacing w:after="20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February 12, 2018</w:t>
      </w:r>
    </w:p>
    <w:p w:rsidR="00000000" w:rsidDel="00000000" w:rsidP="00000000" w:rsidRDefault="00000000" w:rsidRPr="00000000" w14:paraId="00000005">
      <w:pPr>
        <w:spacing w:after="200"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Subject: Pump Configuration and Flow Through a Pipe</w:t>
      </w:r>
      <w:r w:rsidDel="00000000" w:rsidR="00000000" w:rsidRPr="00000000">
        <w:rPr>
          <w:rtl w:val="0"/>
        </w:rPr>
      </w:r>
    </w:p>
    <w:p w:rsidR="00000000" w:rsidDel="00000000" w:rsidP="00000000" w:rsidRDefault="00000000" w:rsidRPr="00000000" w14:paraId="00000006">
      <w:pPr>
        <w:spacing w:after="0" w:line="360"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Processes related to biological materials commonly use pumping-piping systems as a way of transport between machinery and other processing areas. The purpose of a pump is to discharge a pressure that will overcome the pressure of the piping system, in order to allow the fluid to flow at a desired flow rate (Milnes, n.d.).  Centrifugal pumps, the type of pumps used in this study, have a rotating impeller that creates a large flow rate and pressure discharge (Geankoplis, 2003).  Having the correct pumping-piping system is very important in obtaining high efficiency within these processes, which can be represented with a characteristic curve. Pump configuration is a key factor in making a successful pumping-piping system, due to its effect on the flow rate the pump produces. The configuration of a pump-piping system (single, series, and parallel), in combination with the calculation of pressure drop was studied in this work. Four different piping sizes were used in order to analyze the different  pressures of a piping system. Multiple trials of this experiment were completed in order to compare the results with theoretical models to determine the efficiency of a centrifugal pumping-piping system. </w:t>
      </w:r>
      <w:r w:rsidDel="00000000" w:rsidR="00000000" w:rsidRPr="00000000">
        <w:rPr>
          <w:rtl w:val="0"/>
        </w:rPr>
      </w:r>
    </w:p>
    <w:p w:rsidR="00000000" w:rsidDel="00000000" w:rsidP="00000000" w:rsidRDefault="00000000" w:rsidRPr="00000000" w14:paraId="00000007">
      <w:pPr>
        <w:spacing w:after="0" w:line="360"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lab was completed using a piping system connected to two centrifugal pumps. Water was allowed to circulate through different paths of piping while the pressure was analyzed for each path. Paths were altered using the valves in the system. First we switched pump configurations then we found which had the highest flow range. Then we looked at pressure drop with different pipe diameters. </w:t>
      </w:r>
      <w:r w:rsidDel="00000000" w:rsidR="00000000" w:rsidRPr="00000000">
        <w:rPr>
          <w:rFonts w:ascii="Times New Roman" w:cs="Times New Roman" w:eastAsia="Times New Roman" w:hAnsi="Times New Roman"/>
          <w:rtl w:val="0"/>
        </w:rPr>
        <w:t xml:space="preserve">Pipes</w:t>
      </w:r>
      <w:r w:rsidDel="00000000" w:rsidR="00000000" w:rsidRPr="00000000">
        <w:rPr>
          <w:rFonts w:ascii="Times New Roman" w:cs="Times New Roman" w:eastAsia="Times New Roman" w:hAnsi="Times New Roman"/>
          <w:rtl w:val="0"/>
        </w:rPr>
        <w:t xml:space="preserve"> diameters used in the lab were 1”, ¾”, ½”, and ½” coiled. The configuration could be switched between a single pump, two pumps in parallel, and two pumps in series which influenced the pressure of the water flow. Figures 3 and 4 show the design of the flow lab apparatus along with measurements. Figure 3 represents the front view while Figure 4 represents the back side and back overhead view. </w:t>
      </w:r>
      <w:r w:rsidDel="00000000" w:rsidR="00000000" w:rsidRPr="00000000">
        <w:rPr>
          <w:rtl w:val="0"/>
        </w:rPr>
      </w:r>
    </w:p>
    <w:p w:rsidR="00000000" w:rsidDel="00000000" w:rsidP="00000000" w:rsidRDefault="00000000" w:rsidRPr="00000000" w14:paraId="00000008">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obtained from varying the pump configurations can be found in Table 1. The single pump configuration pressure drop data was converted to head loss and was plotted against the square of the volumetric flow rate to obtain the pump-specific constants a and b (Figure X). These values were used to create the theoretical characteristic curves for each pump configuration: single pump (Equation 1), two pumps in series (Equation 2), and two pumps in parallel (Equation 3).</w:t>
      </w:r>
    </w:p>
    <w:p w:rsidR="00000000" w:rsidDel="00000000" w:rsidP="00000000" w:rsidRDefault="00000000" w:rsidRPr="00000000" w14:paraId="00000009">
      <w:pPr>
        <w:spacing w:line="36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Δh = 24.838 - 0.0869Q</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b w:val="1"/>
          <w:rtl w:val="0"/>
        </w:rPr>
        <w:t xml:space="preserve">   [2] </w:t>
      </w:r>
      <w:r w:rsidDel="00000000" w:rsidR="00000000" w:rsidRPr="00000000">
        <w:rPr>
          <w:rFonts w:ascii="Times New Roman" w:cs="Times New Roman" w:eastAsia="Times New Roman" w:hAnsi="Times New Roman"/>
          <w:rtl w:val="0"/>
        </w:rPr>
        <w:t xml:space="preserve">Δh = 49.676 - 0.1738Q</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b w:val="1"/>
          <w:vertAlign w:val="superscript"/>
          <w:rtl w:val="0"/>
        </w:rPr>
        <w:t xml:space="preserve"> </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b w:val="1"/>
          <w:rtl w:val="0"/>
        </w:rPr>
        <w:t xml:space="preserve">[3] </w:t>
      </w:r>
      <w:r w:rsidDel="00000000" w:rsidR="00000000" w:rsidRPr="00000000">
        <w:rPr>
          <w:rFonts w:ascii="Times New Roman" w:cs="Times New Roman" w:eastAsia="Times New Roman" w:hAnsi="Times New Roman"/>
          <w:rtl w:val="0"/>
        </w:rPr>
        <w:t xml:space="preserve">Δh = 24.838 - 0.04345Q</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tl w:val="0"/>
        </w:rPr>
      </w:r>
    </w:p>
    <w:p w:rsidR="00000000" w:rsidDel="00000000" w:rsidP="00000000" w:rsidRDefault="00000000" w:rsidRPr="00000000" w14:paraId="0000000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equations were plotted alongside the raw data in Figure 1 to compare the theoretical and actual characteristic curves.</w:t>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90988" cy="230118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090988" cy="23011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00"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 Characteristic curves for single (blue), series (green) and parallel (orange) pump configurations. Solid lines show the raw data trends and dotted lines represent the theoretical curves.</w:t>
      </w:r>
      <w:r w:rsidDel="00000000" w:rsidR="00000000" w:rsidRPr="00000000">
        <w:rPr>
          <w:rtl w:val="0"/>
        </w:rPr>
      </w:r>
    </w:p>
    <w:p w:rsidR="00000000" w:rsidDel="00000000" w:rsidP="00000000" w:rsidRDefault="00000000" w:rsidRPr="00000000" w14:paraId="0000000D">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theoretical curves for the single pump and series pump configurations are relatively accurate when compared with the data, the parallel pump configuration shows that the pumps should be able to produce a much higher maximum flow rate than the data suggests. </w:t>
      </w:r>
      <w:r w:rsidDel="00000000" w:rsidR="00000000" w:rsidRPr="00000000">
        <w:rPr>
          <w:rFonts w:ascii="Times New Roman" w:cs="Times New Roman" w:eastAsia="Times New Roman" w:hAnsi="Times New Roman"/>
          <w:rtl w:val="0"/>
        </w:rPr>
        <w:t xml:space="preserve">This may be due to troubles in the system configuration that inhibits the pumps to efficiently receive maximum capacity flow rates</w:t>
      </w:r>
      <w:r w:rsidDel="00000000" w:rsidR="00000000" w:rsidRPr="00000000">
        <w:rPr>
          <w:rFonts w:ascii="Times New Roman" w:cs="Times New Roman" w:eastAsia="Times New Roman" w:hAnsi="Times New Roman"/>
          <w:rtl w:val="0"/>
        </w:rPr>
        <w:t xml:space="preserve">.The configuration curves are different due to the management of flow. Two pumps in series cannot increase the maximum flow rate, as only one pump acts on the fluid at a time. However, together, the pumps increase the amount of pressure in the system. Conversely, two pumps in parallel can increase the maximum flow rate because both pumps act on the fluid simultaneously and then combine flows. This configuration cannot increase the pressure in the system as the total flow volume is divided between the two pumps. Pumps in series should be used when the system requires that the fluid be moved a great distance while pumps in parallel should be used when the system requires the fluid be moved at a high flow rate. </w:t>
      </w:r>
    </w:p>
    <w:p w:rsidR="00000000" w:rsidDel="00000000" w:rsidP="00000000" w:rsidRDefault="00000000" w:rsidRPr="00000000" w14:paraId="0000000E">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parallel pump configuration creates the largest range of flow rate, it was chosen as the ideal configuration to test the pressure drop due to friction between various pipe sizes. The data was used to calculate the Reynolds number and the friction factor, and the latter was calculated using both the experimental pressure drop data and constant situational values (e.g. pipe diameter, pipe roughness, Reynolds number). For each pipe diameter, the friction factors and Reynolds numbers were plotted against each other (Figure 2). The differences between Figure 2A and Figure 2B are due to the experimental values used in calculating the friction factor which create more variable error than the constant values used in the Colebrook equation.  </w:t>
      </w:r>
    </w:p>
    <w:p w:rsidR="00000000" w:rsidDel="00000000" w:rsidP="00000000" w:rsidRDefault="00000000" w:rsidRPr="00000000" w14:paraId="0000000F">
      <w:pPr>
        <w:spacing w:line="360" w:lineRule="auto"/>
        <w:ind w:firstLine="720"/>
        <w:contextualSpacing w:val="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2876550</wp:posOffset>
            </wp:positionH>
            <wp:positionV relativeFrom="paragraph">
              <wp:posOffset>123825</wp:posOffset>
            </wp:positionV>
            <wp:extent cx="3492103" cy="1966913"/>
            <wp:effectExtent b="0" l="0" r="0" t="0"/>
            <wp:wrapSquare wrapText="bothSides" distB="114300" distT="114300" distL="114300" distR="114300"/>
            <wp:docPr id="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492103" cy="19669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-228599</wp:posOffset>
            </wp:positionH>
            <wp:positionV relativeFrom="paragraph">
              <wp:posOffset>304800</wp:posOffset>
            </wp:positionV>
            <wp:extent cx="3185308" cy="1785938"/>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185308" cy="1785938"/>
                    </a:xfrm>
                    <a:prstGeom prst="rect"/>
                    <a:ln/>
                  </pic:spPr>
                </pic:pic>
              </a:graphicData>
            </a:graphic>
          </wp:anchor>
        </w:drawing>
      </w:r>
    </w:p>
    <w:p w:rsidR="00000000" w:rsidDel="00000000" w:rsidP="00000000" w:rsidRDefault="00000000" w:rsidRPr="00000000" w14:paraId="00000010">
      <w:pPr>
        <w:spacing w:line="360" w:lineRule="auto"/>
        <w:ind w:firstLine="72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00" w:line="360" w:lineRule="auto"/>
        <w:ind w:firstLine="72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 Moody diagrams of the friction factor plotted against the Reynolds number. Figure 2A uses the friction factor calculated from experimental data and Figure 2B uses the friction factor calculated from the Colebrook equation. See the appendix for a semi-log plot of Figure 2A which better displays the friction factor values less than 1.</w:t>
      </w:r>
    </w:p>
    <w:p w:rsidR="00000000" w:rsidDel="00000000" w:rsidP="00000000" w:rsidRDefault="00000000" w:rsidRPr="00000000" w14:paraId="00000012">
      <w:pPr>
        <w:spacing w:after="0" w:line="360"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data from both parts of the experiment were used to determine the best pump and pipe combination for  two given hypothetical situations. As the first requires a high volumetric flow rate of 1300 gallons per hour with a small head loss distance of 5 feet, only the parallel pump configuration would be able to handle this situation. Additionally, when using the Bernoulli equation, a pressure drop between 2.20 and 2.69 psi was calculated for this situation depending on the pipe size. Only the 1” pipe size will allow for a pressure drop this small, according to the experimental data obtained. The second situation requires a low volumetric flow of 260 gallons per hour with a head loss of 13 feet. It was found that a single pump could handle this situation. Using the Bernoulli equation found that a pressure drop between 5.67 and 6.17 psi would occur in this situation. Either the 1” or the 3/4” pipe sizes would allow for this pressure drop, but the 3/4” pipe size is recommended because it has a smaller friction factor and thus produces less friction losses in the system.</w:t>
      </w:r>
      <w:r w:rsidDel="00000000" w:rsidR="00000000" w:rsidRPr="00000000">
        <w:rPr>
          <w:rtl w:val="0"/>
        </w:rPr>
      </w:r>
    </w:p>
    <w:p w:rsidR="00000000" w:rsidDel="00000000" w:rsidP="00000000" w:rsidRDefault="00000000" w:rsidRPr="00000000" w14:paraId="0000001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This work was intended to find the characteristic curves for single, series, and parallel pump configurations, along with the pressure drop and friction factor of four different pipe sizes. After empirical and theoretical characterizations of pipe configurations,</w:t>
      </w:r>
      <w:r w:rsidDel="00000000" w:rsidR="00000000" w:rsidRPr="00000000">
        <w:rPr>
          <w:rFonts w:ascii="Times New Roman" w:cs="Times New Roman" w:eastAsia="Times New Roman" w:hAnsi="Times New Roman"/>
          <w:rtl w:val="0"/>
        </w:rPr>
        <w:t xml:space="preserve"> it was found that pumps in series can increase the pressure in the system to pump a fluid over a greater distance, but pumps in series do not increase volumetric flow rate. Pumps in parallel do not increase the pressure, but parallel pumps can move the fluid at an increased flow rate. Single pump configurations have the lowest pressure drop and the lowest maximum volumetric flow rate, but in a system where neither high pressure nor large flow rate is needed, it would be more energy efficient. Pipe diameter has an effect on the frictional losses (the larger the diameter, the greater the frictional loss), but it also decreases flow rate with increasing diameter.  In a system where efficiency is favored over flow rate, small pipes would be preferred.</w:t>
      </w:r>
    </w:p>
    <w:p w:rsidR="00000000" w:rsidDel="00000000" w:rsidP="00000000" w:rsidRDefault="00000000" w:rsidRPr="00000000" w14:paraId="0000001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360" w:lineRule="auto"/>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A : Figures </w:t>
      </w:r>
    </w:p>
    <w:p w:rsidR="00000000" w:rsidDel="00000000" w:rsidP="00000000" w:rsidRDefault="00000000" w:rsidRPr="00000000" w14:paraId="00000018">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1750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114300</wp:posOffset>
            </wp:positionV>
            <wp:extent cx="5367338" cy="4093732"/>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367338" cy="4093732"/>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-57149</wp:posOffset>
                </wp:positionH>
                <wp:positionV relativeFrom="paragraph">
                  <wp:posOffset>10991850</wp:posOffset>
                </wp:positionV>
                <wp:extent cx="5943600" cy="428213"/>
                <wp:effectExtent b="0" l="0" r="0" t="0"/>
                <wp:wrapSquare wrapText="bothSides" distB="114300" distT="114300" distL="114300" distR="114300"/>
                <wp:docPr id="1" name=""/>
                <a:graphic>
                  <a:graphicData uri="http://schemas.microsoft.com/office/word/2010/wordprocessingShape">
                    <wps:wsp>
                      <wps:cNvSpPr/>
                      <wps:cNvPr id="2" name="Shape 2"/>
                      <wps:spPr>
                        <a:xfrm>
                          <a:off x="1362075" y="2390775"/>
                          <a:ext cx="6591300" cy="457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Figure 1. Visualization of the flow lab front view.</w:t>
                            </w: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-57149</wp:posOffset>
                </wp:positionH>
                <wp:positionV relativeFrom="paragraph">
                  <wp:posOffset>10991850</wp:posOffset>
                </wp:positionV>
                <wp:extent cx="5943600" cy="42821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943600" cy="428213"/>
                        </a:xfrm>
                        <a:prstGeom prst="rect"/>
                        <a:ln/>
                      </pic:spPr>
                    </pic:pic>
                  </a:graphicData>
                </a:graphic>
              </wp:anchor>
            </w:drawing>
          </mc:Fallback>
        </mc:AlternateContent>
      </w:r>
    </w:p>
    <w:p w:rsidR="00000000" w:rsidDel="00000000" w:rsidP="00000000" w:rsidRDefault="00000000" w:rsidRPr="00000000" w14:paraId="00000019">
      <w:pPr>
        <w:spacing w:line="36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2776538" cy="4183073"/>
            <wp:effectExtent b="0" l="0" r="0" t="0"/>
            <wp:docPr id="7" name="image16.png"/>
            <a:graphic>
              <a:graphicData uri="http://schemas.openxmlformats.org/drawingml/2006/picture">
                <pic:pic>
                  <pic:nvPicPr>
                    <pic:cNvPr id="0" name="image16.png"/>
                    <pic:cNvPicPr preferRelativeResize="0"/>
                  </pic:nvPicPr>
                  <pic:blipFill>
                    <a:blip r:embed="rId12"/>
                    <a:srcRect b="9116" l="39743" r="35897" t="25641"/>
                    <a:stretch>
                      <a:fillRect/>
                    </a:stretch>
                  </pic:blipFill>
                  <pic:spPr>
                    <a:xfrm>
                      <a:off x="0" y="0"/>
                      <a:ext cx="2776538" cy="4183073"/>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5943600" cy="3340100"/>
            <wp:effectExtent b="0" l="0" r="0" t="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B: Nomenclature</w:t>
      </w:r>
    </w:p>
    <w:p w:rsidR="00000000" w:rsidDel="00000000" w:rsidP="00000000" w:rsidRDefault="00000000" w:rsidRPr="00000000" w14:paraId="0000001D">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C : References </w:t>
      </w:r>
    </w:p>
    <w:p w:rsidR="00000000" w:rsidDel="00000000" w:rsidP="00000000" w:rsidRDefault="00000000" w:rsidRPr="00000000" w14:paraId="0000002E">
      <w:pP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Geankoplis, C. (2010). Transport Processes and Separation Process Principles. Upper Saddle </w:t>
      </w:r>
    </w:p>
    <w:p w:rsidR="00000000" w:rsidDel="00000000" w:rsidP="00000000" w:rsidRDefault="00000000" w:rsidRPr="00000000" w14:paraId="00000030">
      <w:pPr>
        <w:spacing w:line="3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River, NJ: Prentice Hall, pg 147. </w:t>
      </w:r>
    </w:p>
    <w:p w:rsidR="00000000" w:rsidDel="00000000" w:rsidP="00000000" w:rsidRDefault="00000000" w:rsidRPr="00000000" w14:paraId="0000003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Milnes, Mathew. “The Mathematics of Pumping Water”. </w:t>
      </w:r>
      <w:r w:rsidDel="00000000" w:rsidR="00000000" w:rsidRPr="00000000">
        <w:rPr>
          <w:rFonts w:ascii="Times New Roman" w:cs="Times New Roman" w:eastAsia="Times New Roman" w:hAnsi="Times New Roman"/>
          <w:i w:val="1"/>
          <w:rtl w:val="0"/>
        </w:rPr>
        <w:t xml:space="preserve">The Royal Academy of Engineering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pg 1. </w:t>
      </w:r>
      <w:hyperlink r:id="rId15">
        <w:r w:rsidDel="00000000" w:rsidR="00000000" w:rsidRPr="00000000">
          <w:rPr>
            <w:rFonts w:ascii="Times New Roman" w:cs="Times New Roman" w:eastAsia="Times New Roman" w:hAnsi="Times New Roman"/>
            <w:color w:val="1155cc"/>
            <w:u w:val="single"/>
            <w:rtl w:val="0"/>
          </w:rPr>
          <w:t xml:space="preserve">https://www.raeng.org.uk/publications/other/17-pumping-water</w:t>
        </w:r>
      </w:hyperlink>
      <w:r w:rsidDel="00000000" w:rsidR="00000000" w:rsidRPr="00000000">
        <w:rPr>
          <w:rFonts w:ascii="Times New Roman" w:cs="Times New Roman" w:eastAsia="Times New Roman" w:hAnsi="Times New Roman"/>
          <w:rtl w:val="0"/>
        </w:rPr>
        <w:t xml:space="preserve">. February 2, 2018. </w:t>
      </w:r>
    </w:p>
    <w:p w:rsidR="00000000" w:rsidDel="00000000" w:rsidP="00000000" w:rsidRDefault="00000000" w:rsidRPr="00000000" w14:paraId="0000003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D: Sample Calculations </w:t>
      </w:r>
    </w:p>
    <w:p w:rsidR="00000000" w:rsidDel="00000000" w:rsidP="00000000" w:rsidRDefault="00000000" w:rsidRPr="00000000" w14:paraId="0000003B">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line="360" w:lineRule="auto"/>
        <w:contextualSpacing w:val="0"/>
        <w:rPr>
          <w:rFonts w:ascii="Times New Roman" w:cs="Times New Roman" w:eastAsia="Times New Roman" w:hAnsi="Times New Roman"/>
          <w:b w:val="1"/>
        </w:rPr>
      </w:pPr>
      <w:r w:rsidDel="00000000" w:rsidR="00000000" w:rsidRPr="00000000">
        <w:rPr>
          <w:rtl w:val="0"/>
        </w:rPr>
      </w:r>
    </w:p>
    <w:sectPr>
      <w:head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8.png"/><Relationship Id="rId13" Type="http://schemas.openxmlformats.org/officeDocument/2006/relationships/image" Target="media/image14.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hyperlink" Target="https://www.raeng.org.uk/publications/other/17-pumping-water" TargetMode="External"/><Relationship Id="rId14" Type="http://schemas.openxmlformats.org/officeDocument/2006/relationships/image" Target="media/image17.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