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MFR and PFR in Series</w:t>
      </w:r>
    </w:p>
    <w:p w:rsidR="00000000" w:rsidDel="00000000" w:rsidP="00000000" w:rsidRDefault="00000000" w:rsidRPr="00000000" w14:paraId="00000001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Configuration A: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MFR --&gt; PFR</w:t>
      </w:r>
    </w:p>
    <w:p w:rsidR="00000000" w:rsidDel="00000000" w:rsidP="00000000" w:rsidRDefault="00000000" w:rsidRPr="00000000" w14:paraId="0000000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Configuration B: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PFR --&gt; MFR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For zero order, first order, second order reactions, which configuration has better conversion?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Zero Order: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No difference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First Order: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No difference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/kC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/1+kτ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ln(C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τ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Kτ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ln(C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e</w:t>
      </w:r>
      <w:r w:rsidDel="00000000" w:rsidR="00000000" w:rsidRPr="00000000">
        <w:rPr>
          <w:vertAlign w:val="superscript"/>
          <w:rtl w:val="0"/>
        </w:rPr>
        <w:t xml:space="preserve">kτp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/e</w:t>
      </w:r>
      <w:r w:rsidDel="00000000" w:rsidR="00000000" w:rsidRPr="00000000">
        <w:rPr>
          <w:vertAlign w:val="superscript"/>
          <w:rtl w:val="0"/>
        </w:rPr>
        <w:t xml:space="preserve">kτp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/e</w:t>
      </w:r>
      <w:r w:rsidDel="00000000" w:rsidR="00000000" w:rsidRPr="00000000">
        <w:rPr>
          <w:vertAlign w:val="superscript"/>
          <w:rtl w:val="0"/>
        </w:rPr>
        <w:t xml:space="preserve">kτp</w:t>
      </w:r>
      <w:r w:rsidDel="00000000" w:rsidR="00000000" w:rsidRPr="00000000">
        <w:rPr>
          <w:rtl w:val="0"/>
        </w:rPr>
        <w:t xml:space="preserve">(1+kτ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Second Order: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Configuration matters.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Solve for performance equations. Solve for intermediate concentration and outlet concentration one by one. Extent of reaction is present in solving for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Two MFRs in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Put smaller or larger first? Or does it matter?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Smaller first to minimize drop. Operates at outlet concentration. Stepwise job. Higher reaction, higher concentration, higher reaction rates.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Mean Residence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bar</w:t>
      </w:r>
      <w:r w:rsidDel="00000000" w:rsidR="00000000" w:rsidRPr="00000000">
        <w:rPr>
          <w:rtl w:val="0"/>
        </w:rPr>
        <w:t xml:space="preserve"> = </w:t>
      </w:r>
      <w:commentRangeStart w:id="1"/>
      <w:commentRangeStart w:id="2"/>
      <w:r w:rsidDel="00000000" w:rsidR="00000000" w:rsidRPr="00000000">
        <w:rPr>
          <w:rtl w:val="0"/>
        </w:rPr>
        <w:t xml:space="preserve">τ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∫tCdt/∫Cdt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= ∫Cdt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= C/∫Cdt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 Dispersion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Pulse input, as passes through reactor, particles spread out throughout reactor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Depending on “craziness” of particles, dispersion may be large or small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What if reactor is PFR?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They come out at the same time (tau). They move at the same speed.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In reality: Reynold’s Number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</w:r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Fick’s Law of Binary Diffusion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D/uVL = dimensionless group characterizing the spread in the whole vessel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ryn Atherton" w:id="1" w:date="2017-10-30T17:09:12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ideal</w:t>
      </w:r>
    </w:p>
  </w:comment>
  <w:comment w:author="Kathryn Atherton" w:id="2" w:date="2017-10-30T17:10:12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of performance of ideal reactor. comparing the non-ideal performance (MRT) to the ideal tau</w:t>
      </w:r>
    </w:p>
  </w:comment>
  <w:comment w:author="Kathryn Atherton" w:id="3" w:date="2017-10-30T17:15:09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materials move from higher concentration to lower concentration</w:t>
      </w:r>
    </w:p>
  </w:comment>
  <w:comment w:author="Kathryn Atherton" w:id="4" w:date="2017-10-30T17:15:52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= -D dC/dx</w:t>
      </w:r>
    </w:p>
  </w:comment>
  <w:comment w:author="Kathryn Atherton" w:id="5" w:date="2017-10-30T17:16:14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= flux, D = diffusion constant</w:t>
      </w:r>
    </w:p>
  </w:comment>
  <w:comment w:author="Kathryn Atherton" w:id="6" w:date="2017-10-30T17:16:28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units: mol/Area*time</w:t>
      </w:r>
    </w:p>
  </w:comment>
  <w:comment w:author="Kathryn Atherton" w:id="7" w:date="2017-10-30T17:17:28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units: m^2/s</w:t>
      </w:r>
    </w:p>
  </w:comment>
  <w:comment w:author="Kathryn Atherton" w:id="8" w:date="2017-10-30T17:17:50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Law: dC/dt = D d^2C/dX^2</w:t>
      </w:r>
    </w:p>
  </w:comment>
  <w:comment w:author="Kathryn Atherton" w:id="0" w:date="2017-10-30T16:45:24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that it is dependent on the taus, not on the order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