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Pores - reaction at walls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 - Out = Rxn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Homogeneous: -r = -1/V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Heterogeneous: -r = -1/S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’’ = -1S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k’’C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-r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k * V = k’’ * 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k *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 = k’’ * 2πrL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 = 2k’’/r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(-D dC/dx)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-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(-D dC/dx)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2πrΔxk’’C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Δx --&gt; 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/dx - 2k’’/Dr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/dx - k/D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0;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k/D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/dx -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mx</w:t>
      </w:r>
      <w:r w:rsidDel="00000000" w:rsidR="00000000" w:rsidRPr="00000000">
        <w:rPr>
          <w:rtl w:val="0"/>
        </w:rPr>
        <w:t xml:space="preserve"> +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Boundary conditions: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X = 0: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X = L: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/dx =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-mL</w:t>
      </w:r>
      <w:r w:rsidDel="00000000" w:rsidR="00000000" w:rsidRPr="00000000">
        <w:rPr>
          <w:rtl w:val="0"/>
        </w:rPr>
        <w:t xml:space="preserve">/(e</w:t>
      </w:r>
      <w:r w:rsidDel="00000000" w:rsidR="00000000" w:rsidRPr="00000000">
        <w:rPr>
          <w:vertAlign w:val="superscript"/>
          <w:rtl w:val="0"/>
        </w:rPr>
        <w:t xml:space="preserve">mL</w:t>
      </w:r>
      <w:r w:rsidDel="00000000" w:rsidR="00000000" w:rsidRPr="00000000">
        <w:rPr>
          <w:rtl w:val="0"/>
        </w:rPr>
        <w:t xml:space="preserve">+e</w:t>
      </w:r>
      <w:r w:rsidDel="00000000" w:rsidR="00000000" w:rsidRPr="00000000">
        <w:rPr>
          <w:vertAlign w:val="superscript"/>
          <w:rtl w:val="0"/>
        </w:rPr>
        <w:t xml:space="preserve">-mL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vertAlign w:val="superscript"/>
          <w:rtl w:val="0"/>
        </w:rPr>
        <w:t xml:space="preserve">mL</w:t>
      </w:r>
      <w:r w:rsidDel="00000000" w:rsidR="00000000" w:rsidRPr="00000000">
        <w:rPr>
          <w:rtl w:val="0"/>
        </w:rPr>
        <w:t xml:space="preserve">/(e</w:t>
      </w:r>
      <w:r w:rsidDel="00000000" w:rsidR="00000000" w:rsidRPr="00000000">
        <w:rPr>
          <w:vertAlign w:val="superscript"/>
          <w:rtl w:val="0"/>
        </w:rPr>
        <w:t xml:space="preserve">mL</w:t>
      </w:r>
      <w:r w:rsidDel="00000000" w:rsidR="00000000" w:rsidRPr="00000000">
        <w:rPr>
          <w:rtl w:val="0"/>
        </w:rPr>
        <w:t xml:space="preserve">+e</w:t>
      </w:r>
      <w:r w:rsidDel="00000000" w:rsidR="00000000" w:rsidRPr="00000000">
        <w:rPr>
          <w:vertAlign w:val="superscript"/>
          <w:rtl w:val="0"/>
        </w:rPr>
        <w:t xml:space="preserve">-mL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(e</w:t>
      </w:r>
      <w:r w:rsidDel="00000000" w:rsidR="00000000" w:rsidRPr="00000000">
        <w:rPr>
          <w:vertAlign w:val="superscript"/>
          <w:rtl w:val="0"/>
        </w:rPr>
        <w:t xml:space="preserve">m(L-x)</w:t>
      </w:r>
      <w:r w:rsidDel="00000000" w:rsidR="00000000" w:rsidRPr="00000000">
        <w:rPr>
          <w:rtl w:val="0"/>
        </w:rPr>
        <w:t xml:space="preserve">+ e</w:t>
      </w:r>
      <w:r w:rsidDel="00000000" w:rsidR="00000000" w:rsidRPr="00000000">
        <w:rPr>
          <w:vertAlign w:val="superscript"/>
          <w:rtl w:val="0"/>
        </w:rPr>
        <w:t xml:space="preserve">-m(L-x)</w:t>
      </w:r>
      <w:r w:rsidDel="00000000" w:rsidR="00000000" w:rsidRPr="00000000">
        <w:rPr>
          <w:rtl w:val="0"/>
        </w:rPr>
        <w:t xml:space="preserve">)/(e</w:t>
      </w:r>
      <w:r w:rsidDel="00000000" w:rsidR="00000000" w:rsidRPr="00000000">
        <w:rPr>
          <w:vertAlign w:val="superscript"/>
          <w:rtl w:val="0"/>
        </w:rPr>
        <w:t xml:space="preserve">mL</w:t>
      </w:r>
      <w:r w:rsidDel="00000000" w:rsidR="00000000" w:rsidRPr="00000000">
        <w:rPr>
          <w:rtl w:val="0"/>
        </w:rPr>
        <w:t xml:space="preserve"> + e</w:t>
      </w:r>
      <w:r w:rsidDel="00000000" w:rsidR="00000000" w:rsidRPr="00000000">
        <w:rPr>
          <w:vertAlign w:val="superscript"/>
          <w:rtl w:val="0"/>
        </w:rPr>
        <w:t xml:space="preserve">-mL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cosh(m(L-x))/cosh(mL)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Concentration when moving into the pore decreases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Profile depends 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mL (Thiele modulus)</w:t>
      </w:r>
    </w:p>
    <w:p w:rsidR="00000000" w:rsidDel="00000000" w:rsidP="00000000" w:rsidRDefault="00000000" w:rsidRPr="00000000" w14:paraId="0000001F">
      <w:pPr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&lt; 0.4,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~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diffuses faster than reacts or short pore with slow reaction, not much diffusion resistance</w:t>
      </w:r>
    </w:p>
    <w:p w:rsidR="00000000" w:rsidDel="00000000" w:rsidP="00000000" w:rsidRDefault="00000000" w:rsidRPr="00000000" w14:paraId="00000020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Effectiveness factor: ξ = Actual Reaction Rate/Full Reaction Rate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&lt; 0.4, ξ = 1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&gt; 4, ξ = 1/M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ξ = C</w:t>
      </w:r>
      <w:r w:rsidDel="00000000" w:rsidR="00000000" w:rsidRPr="00000000">
        <w:rPr>
          <w:vertAlign w:val="subscript"/>
          <w:rtl w:val="0"/>
        </w:rPr>
        <w:t xml:space="preserve">A,average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dx/L*C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tanh(mL)/mL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Proper Measure of Particle Size: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L*sqrt(k/D)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 = volume of particle/exterior surface available for reactant penetration)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Flat plate: L = AL/2A = 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/2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Cylinder: L =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L/2πRL = </w:t>
      </w:r>
      <w:r w:rsidDel="00000000" w:rsidR="00000000" w:rsidRPr="00000000">
        <w:rPr>
          <w:rtl w:val="0"/>
        </w:rPr>
        <w:t xml:space="preserve">R/2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Sphere: L = 4/3πR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/4πR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R/3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Reaction Rate effectiveness factor changes depending on geometry</w:t>
      </w:r>
    </w:p>
    <w:p w:rsidR="00000000" w:rsidDel="00000000" w:rsidP="00000000" w:rsidRDefault="00000000" w:rsidRPr="00000000" w14:paraId="0000002D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Knowing M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, determine ξ (graph), then determine reaction rate ξkC</w:t>
      </w:r>
      <w:r w:rsidDel="00000000" w:rsidR="00000000" w:rsidRPr="00000000">
        <w:rPr>
          <w:vertAlign w:val="subscript"/>
          <w:rtl w:val="0"/>
        </w:rPr>
        <w:t xml:space="preserve">A</w:t>
      </w:r>
    </w:p>
    <w:p w:rsidR="00000000" w:rsidDel="00000000" w:rsidP="00000000" w:rsidRDefault="00000000" w:rsidRPr="00000000" w14:paraId="0000002E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2-01T17:52:3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L*sqrt(k/D)</w:t>
      </w:r>
    </w:p>
  </w:comment>
  <w:comment w:author="Kathryn Atherton" w:id="1" w:date="2017-12-01T18:02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