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PFR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axial mixing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Concentration changes with position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Radially homogeneous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Steady state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𝜏 = V/v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VC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XAf</w:t>
      </w:r>
      <w:r w:rsidDel="00000000" w:rsidR="00000000" w:rsidRPr="00000000">
        <w:rPr>
          <w:rtl w:val="0"/>
        </w:rPr>
        <w:t xml:space="preserve">-1/r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-∫</w:t>
      </w:r>
      <w:r w:rsidDel="00000000" w:rsidR="00000000" w:rsidRPr="00000000">
        <w:rPr>
          <w:b w:val="1"/>
          <w:vertAlign w:val="subscript"/>
          <w:rtl w:val="0"/>
        </w:rPr>
        <w:t xml:space="preserve">CA0</w:t>
      </w:r>
      <w:r w:rsidDel="00000000" w:rsidR="00000000" w:rsidRPr="00000000">
        <w:rPr>
          <w:b w:val="1"/>
          <w:vertAlign w:val="superscript"/>
          <w:rtl w:val="0"/>
        </w:rPr>
        <w:t xml:space="preserve">CA</w:t>
      </w:r>
      <w:r w:rsidDel="00000000" w:rsidR="00000000" w:rsidRPr="00000000">
        <w:rPr>
          <w:b w:val="1"/>
          <w:rtl w:val="0"/>
        </w:rPr>
        <w:t xml:space="preserve"> -1/r</w:t>
      </w:r>
      <w:r w:rsidDel="00000000" w:rsidR="00000000" w:rsidRPr="00000000">
        <w:rPr>
          <w:b w:val="1"/>
          <w:vertAlign w:val="subscript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dC</w:t>
      </w:r>
      <w:r w:rsidDel="00000000" w:rsidR="00000000" w:rsidRPr="00000000">
        <w:rPr>
          <w:b w:val="1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(performance equation for PFR)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MFR-reaction rate homogeneous throughout geometry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MFR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F</w:t>
      </w:r>
      <w:r w:rsidDel="00000000" w:rsidR="00000000" w:rsidRPr="00000000">
        <w:rPr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- 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V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(1 -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𝜏 = V/v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-C/-r (performance equation for MFR)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76350"/>
            <wp:effectExtent b="0" l="0" r="0" t="0"/>
            <wp:docPr descr="IMG_4939.JPG" id="1" name="image2.jpg"/>
            <a:graphic>
              <a:graphicData uri="http://schemas.openxmlformats.org/drawingml/2006/picture">
                <pic:pic>
                  <pic:nvPicPr>
                    <pic:cNvPr descr="IMG_4939.JPG" id="0" name="image2.jpg"/>
                    <pic:cNvPicPr preferRelativeResize="0"/>
                  </pic:nvPicPr>
                  <pic:blipFill>
                    <a:blip r:embed="rId6"/>
                    <a:srcRect b="41586" l="3525" r="0" t="423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/𝜏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: always greater than 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As reaction order is increased, the ratio increases, 𝜏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gets better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Constant density assumption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flow rate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System that changes density, volume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Expansion factor: ε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XA=1</w:t>
      </w:r>
      <w:r w:rsidDel="00000000" w:rsidR="00000000" w:rsidRPr="00000000">
        <w:rPr>
          <w:rtl w:val="0"/>
        </w:rPr>
        <w:t xml:space="preserve"> - V</w:t>
      </w:r>
      <w:r w:rsidDel="00000000" w:rsidR="00000000" w:rsidRPr="00000000">
        <w:rPr>
          <w:vertAlign w:val="subscript"/>
          <w:rtl w:val="0"/>
        </w:rPr>
        <w:t xml:space="preserve">XA = 0</w:t>
      </w:r>
      <w:r w:rsidDel="00000000" w:rsidR="00000000" w:rsidRPr="00000000">
        <w:rPr>
          <w:rtl w:val="0"/>
        </w:rPr>
        <w:t xml:space="preserve">/ V</w:t>
      </w:r>
      <w:r w:rsidDel="00000000" w:rsidR="00000000" w:rsidRPr="00000000">
        <w:rPr>
          <w:vertAlign w:val="subscript"/>
          <w:rtl w:val="0"/>
        </w:rPr>
        <w:t xml:space="preserve">XA=0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V = 120 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Order: 2nd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-r = kC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</w:t>
      </w:r>
      <w:r w:rsidDel="00000000" w:rsidR="00000000" w:rsidRPr="00000000">
        <w:rPr>
          <w:vertAlign w:val="subscript"/>
          <w:rtl w:val="0"/>
        </w:rPr>
        <w:t xml:space="preserve">C0</w:t>
      </w:r>
      <w:r w:rsidDel="00000000" w:rsidR="00000000" w:rsidRPr="00000000">
        <w:rPr>
          <w:vertAlign w:val="superscript"/>
          <w:rtl w:val="0"/>
        </w:rPr>
        <w:t xml:space="preserve">C </w:t>
      </w:r>
      <w:r w:rsidDel="00000000" w:rsidR="00000000" w:rsidRPr="00000000">
        <w:rPr>
          <w:rtl w:val="0"/>
        </w:rPr>
        <w:t xml:space="preserve">dC/r (plug above equation into r)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 = 600 L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OUtlet concentration of species A?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Second order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𝜏 = V/q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k𝜏 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1 -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Nth Order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MFR: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k𝜏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PFR: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(n-1)C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k𝜏 = 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  <w:t xml:space="preserve"> - 1 = 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  <w:t xml:space="preserve"> - 1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N≠1, assume ε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