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Graph of 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measures ratio of intrinsic reaction rate vs. mass transport) tells the concentration changes over the pores of the reactant.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Going up the y axis, the 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decreases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What is a strong vs. weak pore?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Reaction constant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 of pore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Diffusion rate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&lt; 0.4,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~= C</w:t>
      </w:r>
      <w:r w:rsidDel="00000000" w:rsidR="00000000" w:rsidRPr="00000000">
        <w:rPr>
          <w:vertAlign w:val="subscript"/>
          <w:rtl w:val="0"/>
        </w:rPr>
        <w:t xml:space="preserve">As</w:t>
      </w:r>
      <w:r w:rsidDel="00000000" w:rsidR="00000000" w:rsidRPr="00000000">
        <w:rPr>
          <w:rtl w:val="0"/>
        </w:rPr>
        <w:t xml:space="preserve">, ξ = 1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&gt; 4, ξ ~= 1/M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As</w:t>
      </w:r>
      <w:r w:rsidDel="00000000" w:rsidR="00000000" w:rsidRPr="00000000">
        <w:rPr>
          <w:rtl w:val="0"/>
        </w:rPr>
        <w:t xml:space="preserve"> = (e</w:t>
      </w:r>
      <w:r w:rsidDel="00000000" w:rsidR="00000000" w:rsidRPr="00000000">
        <w:rPr>
          <w:vertAlign w:val="superscript"/>
          <w:rtl w:val="0"/>
        </w:rPr>
        <w:t xml:space="preserve">m(L-x)</w:t>
      </w:r>
      <w:r w:rsidDel="00000000" w:rsidR="00000000" w:rsidRPr="00000000">
        <w:rPr>
          <w:rtl w:val="0"/>
        </w:rPr>
        <w:t xml:space="preserve"> + e</w:t>
      </w:r>
      <w:r w:rsidDel="00000000" w:rsidR="00000000" w:rsidRPr="00000000">
        <w:rPr>
          <w:vertAlign w:val="superscript"/>
          <w:rtl w:val="0"/>
        </w:rPr>
        <w:t xml:space="preserve">-m(L-x)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/(e</w:t>
      </w:r>
      <w:r w:rsidDel="00000000" w:rsidR="00000000" w:rsidRPr="00000000">
        <w:rPr>
          <w:vertAlign w:val="superscript"/>
          <w:rtl w:val="0"/>
        </w:rPr>
        <w:t xml:space="preserve">mL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+ e</w:t>
      </w:r>
      <w:r w:rsidDel="00000000" w:rsidR="00000000" w:rsidRPr="00000000">
        <w:rPr>
          <w:vertAlign w:val="superscript"/>
          <w:rtl w:val="0"/>
        </w:rPr>
        <w:t xml:space="preserve">-mL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 = sqrt(k/D)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mL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ξ = C</w:t>
      </w:r>
      <w:r w:rsidDel="00000000" w:rsidR="00000000" w:rsidRPr="00000000">
        <w:rPr>
          <w:vertAlign w:val="subscript"/>
          <w:rtl w:val="0"/>
        </w:rPr>
        <w:t xml:space="preserve">A,avg</w:t>
      </w:r>
      <w:r w:rsidDel="00000000" w:rsidR="00000000" w:rsidRPr="00000000">
        <w:rPr>
          <w:rtl w:val="0"/>
        </w:rPr>
        <w:t xml:space="preserve"> / C</w:t>
      </w:r>
      <w:r w:rsidDel="00000000" w:rsidR="00000000" w:rsidRPr="00000000">
        <w:rPr>
          <w:vertAlign w:val="subscript"/>
          <w:rtl w:val="0"/>
        </w:rPr>
        <w:t xml:space="preserve">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/L dx / C</w:t>
      </w:r>
      <w:r w:rsidDel="00000000" w:rsidR="00000000" w:rsidRPr="00000000">
        <w:rPr>
          <w:vertAlign w:val="subscript"/>
          <w:rtl w:val="0"/>
        </w:rPr>
        <w:t xml:space="preserve">Ax</w:t>
      </w:r>
      <w:r w:rsidDel="00000000" w:rsidR="00000000" w:rsidRPr="00000000">
        <w:rPr>
          <w:rtl w:val="0"/>
        </w:rPr>
        <w:t xml:space="preserve"> = tanh(mL)/mL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 size for geometries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Flat plate: L = thickness/2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Cylinder: L = radius/2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Sphere: L = radius/3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Use L to determine 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Use 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to determine ξ (effectiveness factor)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ξ = Actual Rxn Rate/Full Rxn Rate (range = [0,1])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ξ for different geometries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Flat plate: tanh(M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)/M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Cylinder: use chart/graph to find value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Sphere: 1/M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* 1/tanh(3*M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) * 1/3*M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Bessel Function: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y/dx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x dy/dx + (x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)y = 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BRING YOUR OWN GRAPH SO YOU DON’T HAVE TO DO THIS BS (figure 18.6)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&lt; 0.4: resistance-free regime, ξ = 1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&gt; 4, strong pore diffusion resistance regime, ξ =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 = ξ * 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Reaction Rates(First Order) shows how to convert k to k’ to k’’ to k’’’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PFR model with packed bed catalytic reactor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Impact of diffusion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Packing of solid inside reactor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fV/q = ∫dC/-ξkC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fV/q = 1/-ξk * ln(1-X)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X = 1 - e</w:t>
      </w:r>
      <w:r w:rsidDel="00000000" w:rsidR="00000000" w:rsidRPr="00000000">
        <w:rPr>
          <w:vertAlign w:val="superscript"/>
          <w:rtl w:val="0"/>
        </w:rPr>
        <w:t xml:space="preserve">-ξkfV/q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MFR model with packed bed catalytic reactor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-C/-r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-C/kC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X = kτ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/1+kτ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X = (ξkfV/q) / (1 + ξkfV/q)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1 - X = ∫(1-X)Edt = ∫e</w:t>
      </w:r>
      <w:r w:rsidDel="00000000" w:rsidR="00000000" w:rsidRPr="00000000">
        <w:rPr>
          <w:vertAlign w:val="superscript"/>
          <w:rtl w:val="0"/>
        </w:rPr>
        <w:t xml:space="preserve">-kT</w:t>
      </w:r>
      <w:r w:rsidDel="00000000" w:rsidR="00000000" w:rsidRPr="00000000">
        <w:rPr>
          <w:rtl w:val="0"/>
        </w:rPr>
        <w:t xml:space="preserve">Edt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∫CEdt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