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10/26/2017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SPAN 24100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Espronceda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¿Cómo presenta el poeta el carácter del capitán pirata?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Presenta el carácter del capitán pirata como poderoso y sin mierda.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valores pone de manifiesto el estribillo &lt;&lt;Que es mi barco mi tesoro...&gt;&gt;?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Pone valor en la libertad, su barco, el viento, y el mar.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dice el pirata acerca de los reyes (v. 35 - 40)?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pirata dice que no tienen poder sobre él y que él no tiene mierda de los reyes.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¿Cómo reacciona el pirata ante la muerte?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pirata reía ante la muerte.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es el efecto poético producido por la penúltima estrofa (v. 86 - 93)?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efecto es que se puede interpretar que se ha terminado su propia vida.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es la visión social presentada en el poema?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visión social presentada en el poema es una de escapismo. El poema describe la vida de un pirata que no quiere vivir en la sociedad; el quisiera morir antes de vivir bajo del poder de alguien otro. El pirata quiere escapar y ser su propio jefe.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