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6y0rw6"/>
        <w:spacing w:line="360" w:lineRule="auto"/>
        <w:jc w:val="center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TCE 3100-</w:t>
      </w:r>
      <w:r>
        <w:rPr>
          <w:rFonts w:ascii="微软雅黑" w:hAnsi="微软雅黑" w:eastAsia="微软雅黑" w:cs="微软雅黑"/>
          <w:sz w:val="44"/>
        </w:rPr>
        <w:t>TSF</w:t>
      </w:r>
      <w:r>
        <w:rPr>
          <w:rFonts w:ascii="微软雅黑" w:hAnsi="微软雅黑" w:eastAsia="微软雅黑" w:cs="微软雅黑"/>
          <w:sz w:val="44"/>
        </w:rPr>
        <w:t xml:space="preserve"> 三 AZ部署方案</w:t>
      </w:r>
    </w:p>
    <w:p>
      <w:pPr>
        <w:rPr>
          <w:rFonts w:ascii="微软雅黑" w:hAnsi="微软雅黑" w:eastAsia="微软雅黑" w:cs="微软雅黑"/>
        </w:rPr>
      </w:pPr>
    </w:p>
    <w:p>
      <w:pPr>
        <w:pStyle w:val="n0n7w2"/>
        <w:spacing w:line="240" w:lineRule="auto"/>
        <w:rPr>
          <w:rFonts w:ascii="微软雅黑" w:hAnsi="微软雅黑" w:eastAsia="微软雅黑" w:cs="微软雅黑"/>
          <w:sz w:val="36"/>
        </w:rPr>
      </w:pPr>
      <w:r>
        <w:rPr>
          <w:rFonts w:ascii="微软雅黑" w:hAnsi="微软雅黑" w:eastAsia="微软雅黑" w:cs="微软雅黑"/>
          <w:color w:val="000000"/>
          <w:sz w:val="36"/>
        </w:rPr>
        <w:t>0. 简述</w:t>
      </w:r>
    </w:p>
    <w:p>
      <w:pPr>
        <w:pStyle w:val="mhyagk"/>
        <w:spacing w:line="360" w:lineRule="auto"/>
        <w:ind w:firstLine="48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000000"/>
          <w:sz w:val="24"/>
        </w:rPr>
        <w:t>此文档的目标如下：</w:t>
      </w:r>
    </w:p>
    <w:p>
      <w:pPr>
        <w:pStyle w:val="mhyagk"/>
        <w:numPr>
          <w:ilvl w:val="0"/>
          <w:numId w:val="1"/>
        </w:numPr>
        <w:spacing w:line="360" w:lineRule="auto"/>
        <w:ind w:left="1200" w:hanging="36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给出 TSF 产品组件的三 AZ部署架构</w:t>
      </w:r>
    </w:p>
    <w:p>
      <w:pPr>
        <w:pStyle w:val="mhyagk"/>
        <w:numPr>
          <w:ilvl w:val="0"/>
          <w:numId w:val="1"/>
        </w:numPr>
        <w:spacing w:line="360" w:lineRule="auto"/>
        <w:ind w:left="1200" w:hanging="36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输出三 AZ部署操作步骤</w:t>
      </w:r>
    </w:p>
    <w:p>
      <w:pPr>
        <w:pStyle w:val="mhyagk"/>
        <w:numPr>
          <w:ilvl w:val="0"/>
          <w:numId w:val="1"/>
        </w:numPr>
        <w:spacing w:line="360" w:lineRule="auto"/>
        <w:ind w:left="1200" w:hanging="36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000000"/>
          <w:sz w:val="24"/>
        </w:rPr>
        <w:t>我们如何一步一步去达成目标</w:t>
      </w:r>
    </w:p>
    <w:p>
      <w:pPr>
        <w:pStyle w:val="mhyagk"/>
        <w:spacing w:line="360" w:lineRule="auto"/>
        <w:ind w:firstLine="48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000000"/>
          <w:sz w:val="24"/>
        </w:rPr>
        <w:t>组织方式：</w:t>
      </w:r>
    </w:p>
    <w:p>
      <w:pPr>
        <w:pStyle w:val="mhyagk"/>
        <w:numPr>
          <w:ilvl w:val="0"/>
          <w:numId w:val="2"/>
        </w:numPr>
        <w:spacing w:line="360" w:lineRule="auto"/>
        <w:ind w:left="1200" w:hanging="36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先介绍 TSF 产品的组件构成和服务级别</w:t>
      </w:r>
    </w:p>
    <w:p>
      <w:pPr>
        <w:pStyle w:val="mhyagk"/>
        <w:numPr>
          <w:ilvl w:val="0"/>
          <w:numId w:val="2"/>
        </w:numPr>
        <w:spacing w:line="360" w:lineRule="auto"/>
        <w:ind w:left="1200" w:hanging="360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结合产品组件服务级别，输出三 AZ部署架构</w:t>
      </w:r>
    </w:p>
    <w:p>
      <w:pPr>
        <w:pStyle w:val="n0n7w2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一、基本概念</w:t>
      </w:r>
    </w:p>
    <w:p>
      <w:pPr>
        <w:pStyle w:val="mhyagk"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TSF产品支持在多个region及zone部署，此表对各个组件服务级别进行描述</w:t>
      </w:r>
    </w:p>
    <w:tbl>
      <w:tblPr>
        <w:tblStyle w:val="gukjvl"/>
        <w:tblInd w:w="0" w:type="dxa"/>
        <w:tblLayout w:type="fixed"/>
      </w:tblPr>
      <w:tblGrid>
        <w:gridCol w:w="1200"/>
        <w:gridCol w:w="1200"/>
        <w:gridCol w:w="11385"/>
      </w:tblGrid>
      <w:tr>
        <w:trPr>
          <w:trHeight w:val="420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ZH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EN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Describe</w:t>
            </w:r>
          </w:p>
        </w:tc>
      </w:tr>
      <w:tr>
        <w:trPr>
          <w:trHeight w:val="540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全局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global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覆盖所有region</w:t>
            </w:r>
          </w:p>
        </w:tc>
      </w:tr>
      <w:tr>
        <w:trPr>
          <w:trHeight w:val="345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地域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region下至少有一个zone</w:t>
            </w:r>
          </w:p>
        </w:tc>
      </w:tr>
      <w:tr>
        <w:trPr>
          <w:trHeight w:val="510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可用区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az/zone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zone是idc的逻辑集合，zone至少包含有一个idc</w:t>
            </w:r>
          </w:p>
        </w:tc>
      </w:tr>
      <w:tr>
        <w:trPr>
          <w:trHeight w:val="510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物理机房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idc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实际的物理机属性应包含特定region特定zone特定idc</w:t>
            </w:r>
          </w:p>
        </w:tc>
      </w:tr>
      <w:tr>
        <w:trPr>
          <w:trHeight w:val="345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*主AZ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通常为region内第一个az</w:t>
            </w:r>
          </w:p>
        </w:tc>
      </w:tr>
      <w:tr>
        <w:trPr>
          <w:trHeight w:val="420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*备AZ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通常为region内第二个az</w:t>
            </w:r>
          </w:p>
        </w:tc>
      </w:tr>
      <w:tr>
        <w:trPr>
          <w:trHeight w:val="345"/>
        </w:trPr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*其他AZ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1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除region内主az和备sz外，其他的az</w:t>
            </w:r>
          </w:p>
        </w:tc>
      </w:tr>
    </w:tbl>
    <w:p>
      <w:pPr>
        <w:pStyle w:val="n0n7w2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color w:val="000000"/>
        </w:rPr>
        <w:t>二、产品组件（Components）</w:t>
      </w:r>
    </w:p>
    <w:p>
      <w:pPr>
        <w:pStyle w:val="mhyagk"/>
        <w:spacing w:line="360" w:lineRule="auto"/>
        <w:ind w:firstLineChars="200"/>
        <w:rPr>
          <w:rFonts w:ascii="微软雅黑" w:hAnsi="微软雅黑" w:eastAsia="微软雅黑" w:cs="微软雅黑"/>
          <w:color w:val="000000"/>
          <w:sz w:val="24"/>
        </w:rPr>
      </w:pPr>
      <w:r>
        <w:rPr>
          <w:rFonts w:ascii="微软雅黑" w:hAnsi="微软雅黑" w:eastAsia="微软雅黑" w:cs="微软雅黑"/>
          <w:color w:val="000000"/>
          <w:sz w:val="24"/>
        </w:rPr>
        <w:t>TSF 管控服务是 Region 级别，每个 AZ 都启动相同的副本数；生产节点组件是 Region 级别，跨 AZ 部署。</w:t>
      </w:r>
    </w:p>
    <w:p>
      <w:pPr>
        <w:pStyle w:val="txtzvu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2.1 镜像/容器（Images/Pods）</w:t>
      </w:r>
    </w:p>
    <w:p>
      <w:pPr>
        <w:snapToGri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TSF 产品各镜像/容器/组件服务级别和部署数量说明表</w:t>
      </w:r>
    </w:p>
    <w:tbl>
      <w:tblPr>
        <w:tblStyle w:val="gukjvl"/>
        <w:tblInd w:w="0" w:type="dxa"/>
        <w:tblLayout w:type="fixed"/>
      </w:tblPr>
      <w:tblGrid>
        <w:gridCol w:w="1817"/>
        <w:gridCol w:w="742"/>
        <w:gridCol w:w="468"/>
        <w:gridCol w:w="371"/>
        <w:gridCol w:w="390"/>
        <w:gridCol w:w="429"/>
        <w:gridCol w:w="439"/>
        <w:gridCol w:w="468"/>
        <w:gridCol w:w="3908"/>
      </w:tblGrid>
      <w:tr>
        <w:trPr>
          <w:trHeight w:val="510"/>
        </w:trPr>
        <w:tc>
          <w:tcPr>
            <w:tcW w:w="1817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Component</w:t>
            </w:r>
          </w:p>
        </w:tc>
        <w:tc>
          <w:tcPr>
            <w:tcW w:w="742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Level</w:t>
            </w:r>
          </w:p>
        </w:tc>
        <w:tc>
          <w:tcPr>
            <w:tcW w:w="122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Region1</w:t>
            </w:r>
          </w:p>
        </w:tc>
        <w:tc>
          <w:tcPr>
            <w:tcW w:w="1336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Region2~n</w:t>
            </w:r>
          </w:p>
        </w:tc>
        <w:tc>
          <w:tcPr>
            <w:tcW w:w="390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Describe</w:t>
            </w:r>
          </w:p>
        </w:tc>
      </w:tr>
      <w:tr>
        <w:trPr>
          <w:trHeight w:val="345"/>
        </w:trPr>
        <w:tc>
          <w:tcPr>
            <w:tcW w:w="1817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742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390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</w:tr>
      <w:tr>
        <w:trPr>
          <w:trHeight w:val="375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ocloud-tsf-manager-dispatch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ocloud-tsf-manager-operation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tcloud-tsf-alarm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告警规则管理及相应告警能力</w:t>
            </w: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rPr/>
            </w:pPr>
            <w:r>
              <w:rPr>
                <w:sz w:val="21"/>
              </w:rPr>
              <w:t>tcloud-tsf-analyst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数据分析模块</w:t>
            </w: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tcloud-tsf-apm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业务日志、调用链信息、依赖拓扑图、请求相关统计数据相关管理和页面操作</w:t>
            </w: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sz w:val="21"/>
              </w:rPr>
              <w:t>tcloud-tsf-auth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服务鉴权，基于服务的鉴权和基于</w:t>
            </w:r>
            <w:r>
              <w:rPr>
                <w:rFonts w:ascii="Calibri" w:hAnsi="Calibri" w:eastAsia="Calibri" w:cs="Calibri"/>
                <w:color w:val="000000"/>
                <w:sz w:val="21"/>
              </w:rPr>
              <w:t>tag</w:t>
            </w: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的鉴权规则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tcloud-tsf-dcfg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应用配置、全局配置相关管理和页面操作</w:t>
            </w: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tcloud-tsf-dispatch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控制台相关请求和回复内容统一接入转发层，根据不同操作，转发请求给控制台相应业务微服务模块</w:t>
            </w: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tcloud-tsf-event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熔断事件模块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tcloud-tsf-gateway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微服务网关模块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tcloud-tsf-metrics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微服务运行端点信息辅助模块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tcloud-tsf-monitor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统计调用链数据上报到时序数据库相关能力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tcloud-tsf-ms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微服务列表页面和微服务详情等相关管理和页面操作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tcloud-tsf-nameserver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名字服务，</w:t>
            </w:r>
            <w:r>
              <w:rPr>
                <w:rFonts w:ascii="Calibri" w:hAnsi="Calibri" w:eastAsia="Calibri" w:cs="Calibri"/>
                <w:color w:val="000000"/>
                <w:sz w:val="21"/>
              </w:rPr>
              <w:t>APIGW</w:t>
            </w: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产品</w:t>
            </w:r>
            <w:r>
              <w:rPr>
                <w:rFonts w:ascii="Calibri" w:hAnsi="Calibri" w:eastAsia="Calibri" w:cs="Calibri"/>
                <w:color w:val="000000"/>
                <w:sz w:val="21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对接使用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tcloud-tsf-privilege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模块权限管理及相应能力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tcloud-tsf-ratelimit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服务限流规则管理及相应能力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tcloud-tsf-record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页面操作记录管理及相应能力</w:t>
            </w: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tcloud-tsf-resource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资源管理、应用生命周期管理能力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tcloud-tsf-route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tcloud-tsf-scalable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弹性伸缩规则管理及相应能力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tcloud-tsf-template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>
          <w:trHeight w:val="420"/>
        </w:trPr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/>
            </w:pPr>
            <w:r>
              <w:rPr>
                <w:sz w:val="21"/>
              </w:rPr>
              <w:t>tcloud-tsf-token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用户</w:t>
            </w:r>
            <w:r>
              <w:rPr>
                <w:rFonts w:ascii="Calibri" w:hAnsi="Calibri" w:eastAsia="Calibri" w:cs="Calibri"/>
                <w:color w:val="000000"/>
                <w:sz w:val="21"/>
              </w:rPr>
              <w:t xml:space="preserve"> token </w:t>
            </w:r>
            <w:r>
              <w:rPr>
                <w:rFonts w:ascii="微软雅黑" w:hAnsi="微软雅黑" w:eastAsia="微软雅黑" w:cs="微软雅黑"/>
                <w:color w:val="000000"/>
                <w:sz w:val="21"/>
              </w:rPr>
              <w:t>管理及相应能力</w:t>
            </w: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sz w:val="21"/>
              </w:rPr>
              <w:t>tcloud-tsf-tx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 xml:space="preserve">ocloud-tsf-mesh-apiserver 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ocloud-tsf-mesh-pilot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ocloud-tsf-mesh-mixs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ocloud-tsf-master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ocloud-tsf-masterapi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ocloud-tsf-license-server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ocloud-tsf-repository-access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sz w:val="21"/>
              </w:rPr>
            </w:pPr>
            <w:r>
              <w:rPr>
                <w:rFonts w:ascii="微软雅黑" w:hAnsi="微软雅黑" w:eastAsia="微软雅黑" w:cs="微软雅黑"/>
              </w:rPr>
              <w:t>ocloud-tsf-repository-server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ocloud-tsf-task-access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ocloud-tsf-task-server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ocloud-tsf-task-trigger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tcloud-tsf-task-console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tcloud-tsf-task-ops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/>
        <w:tc>
          <w:tcPr>
            <w:tcW w:w="18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snapToGrid w:val="false"/>
              <w:spacing w:line="240" w:lineRule="auto"/>
              <w:rPr/>
            </w:pPr>
            <w:r>
              <w:rPr>
                <w:rFonts w:ascii="Menlo" w:hAnsi="Menlo" w:eastAsia="Menlo" w:cs="Menlo"/>
                <w:b w:val="false"/>
                <w:color w:val="CE9178"/>
                <w:sz w:val="27"/>
                <w:shd w:val="clear" w:color="auto" w:fill="1E1E1E"/>
              </w:rPr>
              <w:t>ocloud-tsf-consul-access</w:t>
            </w:r>
          </w:p>
        </w:tc>
        <w:tc>
          <w:tcPr>
            <w:tcW w:w="7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37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4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3</w:t>
            </w:r>
          </w:p>
        </w:tc>
        <w:tc>
          <w:tcPr>
            <w:tcW w:w="4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9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</w:tbl>
    <w:p>
      <w:pPr>
        <w:numPr/>
        <w:rPr/>
      </w:pPr>
      <w:r>
        <w:rPr/>
        <w:t>性能考虑，需要3个副本</w:t>
      </w:r>
    </w:p>
    <w:p>
      <w:pPr>
        <w:pStyle w:val="txtzvu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2.2 数据库组件（Databases）</w:t>
      </w:r>
    </w:p>
    <w:p>
      <w:pPr>
        <w:snapToGri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TSF 产品数据库（非完整）组件服务级别和部署数量说明表</w:t>
      </w:r>
    </w:p>
    <w:tbl>
      <w:tblPr>
        <w:tblStyle w:val="gukjvl"/>
        <w:tblInd w:w="0" w:type="dxa"/>
        <w:tblLayout w:type="fixed"/>
      </w:tblPr>
      <w:tblGrid>
        <w:gridCol w:w="3390"/>
        <w:gridCol w:w="1200"/>
        <w:gridCol w:w="690"/>
        <w:gridCol w:w="615"/>
        <w:gridCol w:w="720"/>
        <w:gridCol w:w="675"/>
        <w:gridCol w:w="645"/>
        <w:gridCol w:w="705"/>
        <w:gridCol w:w="5130"/>
      </w:tblGrid>
      <w:tr>
        <w:trPr>
          <w:trHeight w:val="510"/>
        </w:trPr>
        <w:tc>
          <w:tcPr>
            <w:tcW w:w="339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Component</w:t>
            </w:r>
          </w:p>
        </w:tc>
        <w:tc>
          <w:tcPr>
            <w:tcW w:w="12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Level</w:t>
            </w:r>
          </w:p>
        </w:tc>
        <w:tc>
          <w:tcPr>
            <w:tcW w:w="202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Region1</w:t>
            </w:r>
          </w:p>
        </w:tc>
        <w:tc>
          <w:tcPr>
            <w:tcW w:w="202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Region2~n</w:t>
            </w:r>
          </w:p>
        </w:tc>
        <w:tc>
          <w:tcPr>
            <w:tcW w:w="513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Describe</w:t>
            </w:r>
          </w:p>
        </w:tc>
      </w:tr>
      <w:tr>
        <w:trPr>
          <w:trHeight w:val="345"/>
        </w:trPr>
        <w:tc>
          <w:tcPr>
            <w:tcW w:w="339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12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513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</w:tr>
      <w:tr>
        <w:trPr/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dbsql-tsf-backend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/>
              <w:t>1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>
          <w:trHeight w:val="420"/>
        </w:trPr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mhyagk"/>
              <w:snapToGrid w:val="false"/>
              <w:jc w:val="left"/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dbsql-tsf-dts-backend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/>
              <w:t>1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>
          <w:trHeight w:val="435"/>
        </w:trPr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mhyagk"/>
              <w:snapToGrid w:val="false"/>
              <w:jc w:val="left"/>
              <w:rPr/>
            </w:pPr>
            <w:r>
              <w:rPr>
                <w:rFonts w:ascii="微软雅黑" w:hAnsi="微软雅黑" w:eastAsia="微软雅黑" w:cs="微软雅黑"/>
                <w:color w:val="000000"/>
                <w:sz w:val="20"/>
                <w:shd w:val="clear" w:color="auto" w:fill="FFFFFF"/>
              </w:rPr>
              <w:t>dbsql-tsf-task-backend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/>
              <w:t>1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  <w:tr>
        <w:trPr>
          <w:trHeight w:val="435"/>
        </w:trPr>
        <w:tc>
          <w:tcPr>
            <w:tcW w:w="33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......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5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</w:tbl>
    <w:p>
      <w:pPr>
        <w:pStyle w:val="txtzvu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2.3 云API/预设数据组件（Yunapi/Preset）</w:t>
      </w:r>
    </w:p>
    <w:p>
      <w:pPr>
        <w:snapToGri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CKAFKA 产品云API/预设数据组件（Yunapi/Preset）组件服务级别和部署数量说明表</w:t>
      </w:r>
    </w:p>
    <w:tbl>
      <w:tblPr>
        <w:tblStyle w:val="gukjvl"/>
        <w:tblInd w:w="0" w:type="dxa"/>
        <w:tblLayout w:type="fixed"/>
      </w:tblPr>
      <w:tblGrid>
        <w:gridCol w:w="3150"/>
        <w:gridCol w:w="1200"/>
        <w:gridCol w:w="690"/>
        <w:gridCol w:w="615"/>
        <w:gridCol w:w="720"/>
        <w:gridCol w:w="705"/>
        <w:gridCol w:w="645"/>
        <w:gridCol w:w="705"/>
        <w:gridCol w:w="5445"/>
      </w:tblGrid>
      <w:tr>
        <w:trPr>
          <w:trHeight w:val="510"/>
        </w:trPr>
        <w:tc>
          <w:tcPr>
            <w:tcW w:w="315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Component</w:t>
            </w:r>
          </w:p>
        </w:tc>
        <w:tc>
          <w:tcPr>
            <w:tcW w:w="12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Level</w:t>
            </w:r>
          </w:p>
        </w:tc>
        <w:tc>
          <w:tcPr>
            <w:tcW w:w="202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Region1</w:t>
            </w:r>
          </w:p>
        </w:tc>
        <w:tc>
          <w:tcPr>
            <w:tcW w:w="20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Region2~n</w:t>
            </w:r>
          </w:p>
        </w:tc>
        <w:tc>
          <w:tcPr>
            <w:tcW w:w="544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Describe</w:t>
            </w:r>
          </w:p>
        </w:tc>
      </w:tr>
      <w:tr>
        <w:trPr>
          <w:trHeight w:val="345"/>
        </w:trPr>
        <w:tc>
          <w:tcPr>
            <w:tcW w:w="315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12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MAZ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SAZ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  <w:r>
              <w:rPr/>
              <w:t>OAZ</w:t>
            </w:r>
          </w:p>
        </w:tc>
        <w:tc>
          <w:tcPr>
            <w:tcW w:w="544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</w:tr>
      <w:tr>
        <w:trPr>
          <w:trHeight w:val="54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sz w:val="22"/>
              </w:rPr>
              <w:t>yunapi-tsf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5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yunapi接口组件</w:t>
            </w:r>
          </w:p>
        </w:tc>
      </w:tr>
      <w:tr>
        <w:trPr>
          <w:trHeight w:val="510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>
                <w:rFonts w:ascii="微软雅黑" w:hAnsi="微软雅黑" w:eastAsia="微软雅黑" w:cs="微软雅黑"/>
                <w:sz w:val="22"/>
              </w:rPr>
              <w:t>preset-tsf-cam-ocloud-tsf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5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运营端 tsf cam权限管理预设数据集</w:t>
            </w:r>
          </w:p>
        </w:tc>
      </w:tr>
      <w:tr>
        <w:trPr/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微软雅黑" w:hAnsi="微软雅黑" w:eastAsia="微软雅黑" w:cs="微软雅黑"/>
                <w:sz w:val="22"/>
              </w:rPr>
              <w:t>preset-tsf-cam-tcloud-tsf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region</w:t>
            </w: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1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color w:val="D9D9D9"/>
              </w:rPr>
            </w:pPr>
            <w:r>
              <w:rPr>
                <w:color w:val="D9D9D9"/>
              </w:rPr>
              <w:t>0</w:t>
            </w:r>
          </w:p>
        </w:tc>
        <w:tc>
          <w:tcPr>
            <w:tcW w:w="5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租户端 tsf cam权限管理预设数据集</w:t>
            </w:r>
          </w:p>
        </w:tc>
      </w:tr>
      <w:tr>
        <w:trPr>
          <w:trHeight w:val="345"/>
        </w:trPr>
        <w:tc>
          <w:tcPr>
            <w:tcW w:w="31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  <w:r>
              <w:rPr/>
              <w:t>......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54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</w:tr>
    </w:tbl>
    <w:p>
      <w:pPr>
        <w:pStyle w:val="txtzvu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2.4 生产组件（Products）</w:t>
      </w:r>
    </w:p>
    <w:p>
      <w:pPr>
        <w:snapToGrid/>
        <w:jc w:val="lef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TSF 产品各生产组件包服务级别和部署数量说明表</w:t>
      </w:r>
    </w:p>
    <w:tbl>
      <w:tblPr>
        <w:tblStyle w:val="gukjvl"/>
        <w:tblInd w:w="0" w:type="dxa"/>
        <w:tblLayout w:type="fixed"/>
      </w:tblPr>
      <w:tblGrid>
        <w:gridCol w:w="2790"/>
        <w:gridCol w:w="1140"/>
        <w:gridCol w:w="720"/>
        <w:gridCol w:w="645"/>
        <w:gridCol w:w="675"/>
        <w:gridCol w:w="660"/>
        <w:gridCol w:w="675"/>
        <w:gridCol w:w="720"/>
        <w:gridCol w:w="6000"/>
      </w:tblGrid>
      <w:tr>
        <w:trPr>
          <w:trHeight w:val="510"/>
        </w:trPr>
        <w:tc>
          <w:tcPr>
            <w:tcW w:w="279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Component</w:t>
            </w:r>
          </w:p>
        </w:tc>
        <w:tc>
          <w:tcPr>
            <w:tcW w:w="11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Level</w:t>
            </w:r>
          </w:p>
        </w:tc>
        <w:tc>
          <w:tcPr>
            <w:tcW w:w="204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Region1</w:t>
            </w:r>
          </w:p>
        </w:tc>
        <w:tc>
          <w:tcPr>
            <w:tcW w:w="205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Region2~n</w:t>
            </w:r>
          </w:p>
        </w:tc>
        <w:tc>
          <w:tcPr>
            <w:tcW w:w="60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Describe</w:t>
            </w:r>
          </w:p>
        </w:tc>
      </w:tr>
      <w:tr>
        <w:trPr>
          <w:trHeight w:val="345"/>
        </w:trPr>
        <w:tc>
          <w:tcPr>
            <w:tcW w:w="279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11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MAZ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SAZ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OAZ</w:t>
            </w:r>
          </w:p>
        </w:tc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MAZ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SAZ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pStyle w:val="mhyagk"/>
              <w:rPr/>
            </w:pPr>
            <w:r>
              <w:rPr/>
              <w:t>OAZ</w:t>
            </w:r>
          </w:p>
        </w:tc>
        <w:tc>
          <w:tcPr>
            <w:tcW w:w="60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E9E9E9"/>
          </w:tcPr>
          <w:p>
            <w:pPr>
              <w:rPr/>
            </w:pPr>
          </w:p>
        </w:tc>
      </w:tr>
      <w:tr>
        <w:trPr>
          <w:trHeight w:val="510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</w:tcPr>
          <w:p>
            <w:pPr>
              <w:pStyle w:val="mhyagk"/>
              <w:rPr/>
            </w:pPr>
            <w:r>
              <w:rPr>
                <w:sz w:val="21"/>
              </w:rPr>
              <w:t>tsf-consul-server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region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公共生产组件，用于部署多个运营端生产组件</w:t>
            </w:r>
          </w:p>
        </w:tc>
      </w:tr>
      <w:tr>
        <w:trPr>
          <w:trHeight w:val="420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tsf-es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region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3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3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3</w:t>
            </w:r>
          </w:p>
        </w:tc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</w:p>
        </w:tc>
      </w:tr>
      <w:tr>
        <w:trPr>
          <w:trHeight w:val="930"/>
        </w:trPr>
        <w:tc>
          <w:tcPr>
            <w:tcW w:w="27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tsf-ctsdb</w:t>
            </w:r>
          </w:p>
        </w:tc>
        <w:tc>
          <w:tcPr>
            <w:tcW w:w="1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region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3</w:t>
            </w:r>
          </w:p>
        </w:tc>
        <w:tc>
          <w:tcPr>
            <w:tcW w:w="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3</w:t>
            </w: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  <w:r>
              <w:rPr/>
              <w:t>3</w:t>
            </w:r>
          </w:p>
        </w:tc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/>
            </w:pPr>
          </w:p>
        </w:tc>
        <w:tc>
          <w:tcPr>
            <w:tcW w:w="60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mhyagk"/>
              <w:rPr/>
            </w:pPr>
          </w:p>
        </w:tc>
      </w:tr>
    </w:tbl>
    <w:p>
      <w:pPr>
        <w:snapToGrid/>
        <w:jc w:val="left"/>
        <w:rPr>
          <w:rFonts w:ascii="微软雅黑" w:hAnsi="微软雅黑" w:eastAsia="微软雅黑" w:cs="微软雅黑"/>
          <w:color w:val="000000"/>
          <w:sz w:val="36"/>
        </w:rPr>
      </w:pPr>
    </w:p>
    <w:p>
      <w:pPr>
        <w:pStyle w:val="n0n7w2"/>
        <w:spacing w:line="240" w:lineRule="auto"/>
        <w:rPr>
          <w:rFonts w:ascii="微软雅黑" w:hAnsi="微软雅黑" w:eastAsia="微软雅黑" w:cs="微软雅黑"/>
          <w:color w:val="000000"/>
          <w:sz w:val="36"/>
        </w:rPr>
      </w:pPr>
      <w:r>
        <w:rPr>
          <w:rFonts w:ascii="微软雅黑" w:hAnsi="微软雅黑" w:eastAsia="微软雅黑" w:cs="微软雅黑"/>
          <w:color w:val="000000"/>
          <w:sz w:val="36"/>
        </w:rPr>
        <w:t>三、三AZ部署架构图（</w:t>
      </w:r>
      <w:r>
        <w:rPr>
          <w:rFonts w:ascii="微软雅黑" w:hAnsi="微软雅黑" w:eastAsia="微软雅黑" w:cs="微软雅黑"/>
          <w:color w:val="000000"/>
          <w:sz w:val="36"/>
        </w:rPr>
        <w:t>D</w:t>
      </w:r>
      <w:r>
        <w:rPr>
          <w:rFonts w:ascii="微软雅黑" w:hAnsi="微软雅黑" w:eastAsia="微软雅黑" w:cs="微软雅黑"/>
          <w:sz w:val="36"/>
        </w:rPr>
        <w:t>iagram</w:t>
      </w:r>
      <w:r>
        <w:rPr>
          <w:rFonts w:ascii="微软雅黑" w:hAnsi="微软雅黑" w:eastAsia="微软雅黑" w:cs="微软雅黑"/>
          <w:color w:val="000000"/>
          <w:sz w:val="36"/>
        </w:rPr>
        <w:t>）</w:t>
      </w:r>
    </w:p>
    <w:p>
      <w:pPr>
        <w:pStyle w:val="txtzvu"/>
        <w:jc w:val="left"/>
        <w:rPr/>
      </w:pPr>
      <w:r>
        <w:rPr>
          <w:rFonts w:ascii="微软雅黑" w:hAnsi="微软雅黑" w:eastAsia="微软雅黑" w:cs="微软雅黑"/>
          <w:color w:val="000000"/>
        </w:rPr>
        <w:t>3.0 TSF 多AZ 部署架构图</w:t>
      </w:r>
    </w:p>
    <w:p>
      <w:pPr>
        <w:snapToGrid w:val="false"/>
        <w:rPr>
          <w:color w:val="FF0000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hd w:val="clear" w:color="auto" w:fill="FFFFFF"/>
        </w:rPr>
        <w:t>1.consul 3+3+3</w:t>
      </w:r>
    </w:p>
    <w:p>
      <w:pPr>
        <w:snapToGrid w:val="false"/>
        <w:rPr>
          <w:color w:val="FF0000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hd w:val="clear" w:color="auto" w:fill="FFFFFF"/>
        </w:rPr>
        <w:t>2.es</w:t>
      </w:r>
    </w:p>
    <w:p>
      <w:pPr>
        <w:snapToGrid w:val="false"/>
        <w:rPr>
          <w:color w:val="FF0000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hd w:val="clear" w:color="auto" w:fill="FFFFFF"/>
        </w:rPr>
        <w:t>datanode 3+3+3</w:t>
      </w:r>
    </w:p>
    <w:p>
      <w:pPr>
        <w:snapToGrid w:val="false"/>
        <w:rPr>
          <w:color w:val="FF0000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hd w:val="clear" w:color="auto" w:fill="FFFFFF"/>
        </w:rPr>
        <w:t>master 3+3+3</w:t>
      </w:r>
    </w:p>
    <w:p>
      <w:pPr>
        <w:snapToGrid w:val="false"/>
        <w:rPr>
          <w:color w:val="FF0000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hd w:val="clear" w:color="auto" w:fill="FFFFFF"/>
        </w:rPr>
        <w:t>zen.minimum_master_nodes=5</w:t>
      </w:r>
    </w:p>
    <w:p>
      <w:pPr>
        <w:pStyle w:val="mhyagk"/>
        <w:rPr>
          <w:color w:val="FF0000"/>
          <w:shd w:val="clear" w:color="auto" w:fill="FFFFFF"/>
        </w:rPr>
      </w:pPr>
      <w:r>
        <w:rPr>
          <w:rFonts w:ascii="微软雅黑" w:hAnsi="微软雅黑" w:eastAsia="微软雅黑" w:cs="微软雅黑"/>
          <w:color w:val="FF0000"/>
          <w:shd w:val="clear" w:color="auto" w:fill="FFFFFF"/>
        </w:rPr>
        <w:t>3.ctsdb 3+3+3</w:t>
      </w:r>
    </w:p>
    <w:p>
      <w:pPr>
        <w:snapToGrid/>
        <w:jc w:val="left"/>
        <w:rPr>
          <w:rFonts w:ascii="微软雅黑" w:hAnsi="微软雅黑" w:eastAsia="微软雅黑" w:cs="微软雅黑"/>
          <w:color w:val="000000"/>
        </w:rPr>
      </w:pPr>
      <w:r>
        <w:rPr/>
        <w:drawing>
          <wp:inline distT="0" distB="0" distL="0" distR="0">
            <wp:extent cx="5722620" cy="6420114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21600000">
                      <a:off x="0" y="0"/>
                      <a:ext cx="5722620" cy="64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xtzvu"/>
        <w:jc w:val="left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3.1 管控组件</w:t>
      </w:r>
    </w:p>
    <w:tbl>
      <w:tblPr>
        <w:tblStyle w:val="gukjvl"/>
        <w:tblInd w:w="428" w:type="dxa"/>
        <w:tblLayout w:type="fixed"/>
      </w:tblPr>
      <w:tblGrid>
        <w:gridCol w:w="2550"/>
        <w:gridCol w:w="4650"/>
        <w:gridCol w:w="2580"/>
        <w:gridCol w:w="4020"/>
      </w:tblGrid>
      <w:tr>
        <w:trPr>
          <w:trHeight w:val="420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组件名称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功能描述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资源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是否 AZ 高可用</w:t>
            </w:r>
          </w:p>
        </w:tc>
      </w:tr>
      <w:tr>
        <w:trPr>
          <w:trHeight w:val="767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ocloud-manager-dispatch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运营端后台的网关路由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ocloud-manager-operation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运营端的后台操作镜像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tsf-dispatch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控制台相关请求和回复内容统一接入转发层，根据不同操作，转发请求给控制台相应业务微服务模块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mhyagk"/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tsf-resource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资源管理、应用生命周期管理能力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8C16G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tsf-auth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服务鉴权，基于服务的鉴权和基于tag的鉴权规则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tsf-analyst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数据分析模块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tsf-dcfg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应用配置、全局配置相关管理和页面操作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tsf-apm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业务日志、调用链信息、依赖拓扑图、请求相关统计数据相关管理和页面操作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tsf-ms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微服务列表页面和微服务详情等相关管理和页面操作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tsf-alarm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告警规则管理及相应告警能力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tsf-event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熔断事件模块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tsf-metrics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微服务运行端点信息辅助模块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tsf-monitor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统计调用链数据上报到时序数据库相关能力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tsf-nameserver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名字服务，APIGW产品 对接使用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tsf-route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服务路由规则管理及相应能力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tsf-ratelimit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服务限流规则管理及相应能力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tsf-scalable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弹性伸缩规则管理及相应能力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tsf-template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项目编排，脚手架代码框架生成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tsf-gateway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微服务网关模块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tsf-privilege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模块权限管理及相应能力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>
          <w:trHeight w:val="435"/>
        </w:trPr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tsf-record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页面操作记录管理及相应能力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4C8G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  <w:tr>
        <w:trPr/>
        <w:tc>
          <w:tcPr>
            <w:tcW w:w="25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tsf-token</w:t>
            </w:r>
          </w:p>
        </w:tc>
        <w:tc>
          <w:tcPr>
            <w:tcW w:w="4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用户 token 管理及相应能力</w:t>
            </w:r>
          </w:p>
        </w:tc>
        <w:tc>
          <w:tcPr>
            <w:tcW w:w="25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>2副本 POD</w:t>
            </w:r>
          </w:p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18"/>
              </w:rPr>
              <w:t xml:space="preserve">  8C16G</w:t>
            </w:r>
          </w:p>
        </w:tc>
        <w:tc>
          <w:tcPr>
            <w:tcW w:w="4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</w:tr>
    </w:tbl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txtzvu"/>
        <w:jc w:val="left"/>
        <w:rPr/>
      </w:pPr>
      <w:r>
        <w:rPr/>
        <w:t>3.2 生产组件部署架构</w:t>
      </w:r>
    </w:p>
    <w:tbl>
      <w:tblPr>
        <w:tblStyle w:val="gukjvl"/>
        <w:tblInd w:w="8" w:type="dxa"/>
        <w:tblLayout w:type="fixed"/>
      </w:tblPr>
      <w:tblGrid>
        <w:gridCol w:w="1860"/>
        <w:gridCol w:w="1350"/>
        <w:gridCol w:w="1200"/>
        <w:gridCol w:w="1740"/>
        <w:gridCol w:w="1200"/>
        <w:gridCol w:w="1710"/>
        <w:gridCol w:w="1050"/>
        <w:gridCol w:w="3960"/>
      </w:tblGrid>
      <w:tr>
        <w:trPr>
          <w:trHeight w:val="420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模块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模块说明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最小节点数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资源说明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OS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是否 AZ 高可用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上架要求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D9D9D9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扩展说明</w:t>
            </w:r>
          </w:p>
        </w:tc>
      </w:tr>
      <w:tr>
        <w:trPr>
          <w:trHeight w:val="525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tsf-ctsdb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CTSDB集群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3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8C16G-1000GB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tlinux2.2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跨母机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FFFFFF"/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节点数需为奇数，按容量需求水平扩展，磁盘根据实际规划不影响（不低于要求即可）</w:t>
            </w:r>
          </w:p>
        </w:tc>
      </w:tr>
      <w:tr>
        <w:trPr>
          <w:trHeight w:val="525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tsf_es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ElasticSearch集群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3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8C16G-1000GB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tlinux2.2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跨母机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节点数需为奇数，按容量需求水平扩展</w:t>
            </w:r>
          </w:p>
        </w:tc>
      </w:tr>
      <w:tr>
        <w:trPr>
          <w:trHeight w:val="735"/>
        </w:trPr>
        <w:tc>
          <w:tcPr>
            <w:tcW w:w="18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tsf_consul</w:t>
            </w:r>
          </w:p>
        </w:tc>
        <w:tc>
          <w:tcPr>
            <w:tcW w:w="13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Registry集群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3</w:t>
            </w:r>
          </w:p>
        </w:tc>
        <w:tc>
          <w:tcPr>
            <w:tcW w:w="17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4C8G-250GB</w:t>
            </w:r>
          </w:p>
        </w:tc>
        <w:tc>
          <w:tcPr>
            <w:tcW w:w="12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tlinux2.2</w:t>
            </w:r>
          </w:p>
        </w:tc>
        <w:tc>
          <w:tcPr>
            <w:tcW w:w="17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false"/>
              <w:spacing w:before="0" w:after="0" w:line="240" w:lineRule="auto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0"/>
              </w:rPr>
              <w:t>是</w:t>
            </w:r>
          </w:p>
        </w:tc>
        <w:tc>
          <w:tcPr>
            <w:tcW w:w="10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  <w:t>跨母机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snapToGrid w:val="false"/>
              <w:spacing w:before="0" w:after="0" w:line="240" w:lineRule="auto"/>
              <w:rPr>
                <w:rFonts w:ascii="微软雅黑" w:hAnsi="微软雅黑" w:eastAsia="微软雅黑" w:cs="微软雅黑"/>
                <w:b w:val="false"/>
                <w:i w:val="false"/>
                <w:color w:val="000000"/>
                <w:spacing w:val="0"/>
                <w:sz w:val="21"/>
              </w:rPr>
            </w:pPr>
          </w:p>
        </w:tc>
      </w:tr>
    </w:tbl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mhyagk"/>
        <w:rPr>
          <w:rFonts w:ascii="微软雅黑" w:hAnsi="微软雅黑" w:eastAsia="微软雅黑" w:cs="微软雅黑"/>
        </w:rPr>
      </w:pPr>
    </w:p>
    <w:p>
      <w:pPr>
        <w:pStyle w:val="mhyagk"/>
        <w:spacing w:line="360" w:lineRule="atLeast"/>
        <w:jc w:val="both"/>
        <w:rPr>
          <w:rFonts w:ascii="微软雅黑" w:hAnsi="微软雅黑" w:eastAsia="微软雅黑" w:cs="微软雅黑"/>
          <w:sz w:val="24"/>
        </w:rPr>
      </w:pPr>
    </w:p>
    <w:p>
      <w:p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</w:t>
      </w:r>
    </w:p>
    <w:p>
      <w:pPr>
        <w:rPr/>
      </w:pP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2"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table" w:styleId="txee5l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vlv009" w:default="true">
    <w:name w:val="Normal"/>
    <w:basedOn w:val=""/>
    <w:next w:val=""/>
    <w:pPr>
      <w:widowControl w:val="false"/>
      <w:jc w:val="left"/>
    </w:pPr>
  </w:style>
  <w:style w:type="paragraph" w:styleId="6y0rw6">
    <w:name w:val="Title"/>
    <w:basedOn w:val="jr21ml"/>
    <w:next w:val="ozj32u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nei5fm" w:default="true">
    <w:name w:val="Normal"/>
    <w:basedOn w:val=""/>
    <w:next w:val=""/>
    <w:pPr>
      <w:widowControl w:val="false"/>
      <w:jc w:val="left"/>
    </w:pPr>
  </w:style>
  <w:style w:type="paragraph" w:styleId="wtpa8d" w:default="true">
    <w:name w:val="Normal"/>
    <w:basedOn w:val=""/>
    <w:next w:val=""/>
    <w:pPr>
      <w:widowControl w:val="false"/>
      <w:jc w:val="left"/>
    </w:pPr>
  </w:style>
  <w:style w:type="paragraph" w:styleId="n0n7w2">
    <w:name w:val="heading 1"/>
    <w:basedOn w:val="kjnnd1"/>
    <w:next w:val="vlv009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gukjvl">
    <w:name w:val="Table Grid"/>
    <w:basedOn w:val="txee5l"/>
    <w:next w:val=""/>
    <w:uiPriority w:val="39"/>
    <w:tblPr>
      <w:tblBorders>
        <w:top w:val="single" w:color="999999" w:sz="6" w:space="0"/>
        <w:left w:val="single" w:color="999999" w:sz="6" w:space="0"/>
        <w:bottom w:val="single" w:color="999999" w:sz="6" w:space="0"/>
        <w:right w:val="single" w:color="999999" w:sz="6" w:space="0"/>
        <w:insideH w:val="single" w:color="999999" w:sz="6" w:space="0"/>
        <w:insideV w:val="single" w:color="999999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paragraph" w:styleId="txtzvu">
    <w:name w:val="heading 2"/>
    <w:basedOn w:val="wtpa8d"/>
    <w:next w:val="nei5fm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mhyagk" w:default="true">
    <w:name w:val="Normal"/>
    <w:basedOn w:val=""/>
    <w:next w:val=""/>
    <w:pPr>
      <w:widowControl w:val="false"/>
      <w:jc w:val="left"/>
    </w:pPr>
  </w:style>
  <w:style w:type="paragraph" w:styleId="jr21ml" w:default="true">
    <w:name w:val="Normal"/>
    <w:basedOn w:val=""/>
    <w:next w:val=""/>
    <w:pPr>
      <w:widowControl w:val="false"/>
      <w:jc w:val="left"/>
    </w:pPr>
  </w:style>
  <w:style w:type="paragraph" w:styleId="kjnnd1" w:default="true">
    <w:name w:val="Normal"/>
    <w:basedOn w:val=""/>
    <w:next w:val=""/>
    <w:pPr>
      <w:widowControl w:val="false"/>
      <w:jc w:val="left"/>
    </w:pPr>
  </w:style>
  <w:style w:type="paragraph" w:styleId="ozj32u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png" /><Relationship Id="rId0" Type="http://schemas.openxmlformats.org/officeDocument/2006/relationships/styles" Target="styles.xml" /><Relationship Id="rId3" Type="http://schemas.openxmlformats.org/officeDocument/2006/relationships/numbering" Target="numbering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2024-07-09T16:51:28Z</dcterms:created>
  <dcterms:modified xsi:type="dcterms:W3CDTF">2024-07-09T16:51:28Z</dcterms:modified>
</cp:coreProperties>
</file>