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j2ezex"/>
        <w:spacing w:line="360" w:lineRule="auto"/>
        <w:rPr>
          <w:rFonts w:ascii="微软雅黑" w:hAnsi="微软雅黑" w:eastAsia="微软雅黑" w:cs="微软雅黑"/>
          <w:sz w:val="44"/>
        </w:rPr>
      </w:pPr>
      <w:r>
        <w:rPr>
          <w:rFonts w:ascii="微软雅黑" w:hAnsi="微软雅黑" w:eastAsia="微软雅黑" w:cs="微软雅黑"/>
          <w:sz w:val="44"/>
        </w:rPr>
        <w:t>TCE 380-</w:t>
      </w:r>
      <w:r>
        <w:rPr>
          <w:rFonts w:ascii="微软雅黑" w:hAnsi="微软雅黑" w:eastAsia="微软雅黑" w:cs="微软雅黑"/>
          <w:sz w:val="44"/>
        </w:rPr>
        <w:t>TSF</w:t>
      </w:r>
      <w:r>
        <w:rPr>
          <w:rFonts w:ascii="微软雅黑" w:hAnsi="微软雅黑" w:eastAsia="微软雅黑" w:cs="微软雅黑"/>
          <w:sz w:val="44"/>
        </w:rPr>
        <w:t xml:space="preserve"> 多 AZ 部署方案</w:t>
      </w:r>
    </w:p>
    <w:p>
      <w:pPr>
        <w:rPr>
          <w:rFonts w:ascii="微软雅黑" w:hAnsi="微软雅黑" w:eastAsia="微软雅黑" w:cs="微软雅黑"/>
        </w:rPr>
      </w:pPr>
    </w:p>
    <w:p>
      <w:pPr>
        <w:pStyle w:val="obrja5"/>
        <w:spacing w:line="240" w:lineRule="auto"/>
        <w:rPr>
          <w:rFonts w:ascii="微软雅黑" w:hAnsi="微软雅黑" w:eastAsia="微软雅黑" w:cs="微软雅黑"/>
          <w:sz w:val="36"/>
        </w:rPr>
      </w:pPr>
      <w:r>
        <w:rPr>
          <w:rFonts w:ascii="微软雅黑" w:hAnsi="微软雅黑" w:eastAsia="微软雅黑" w:cs="微软雅黑"/>
          <w:color w:val="000000"/>
          <w:sz w:val="36"/>
        </w:rPr>
        <w:t>0. 简述</w:t>
      </w:r>
    </w:p>
    <w:p>
      <w:pPr>
        <w:pStyle w:val="sqjv1h"/>
        <w:spacing w:line="360" w:lineRule="auto"/>
        <w:ind w:firstLine="480"/>
        <w:jc w:val="both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color w:val="000000"/>
          <w:sz w:val="24"/>
        </w:rPr>
        <w:t>此文档的目标如下：</w:t>
      </w:r>
    </w:p>
    <w:p>
      <w:pPr>
        <w:pStyle w:val="sqjv1h"/>
        <w:numPr>
          <w:ilvl w:val="0"/>
          <w:numId w:val="1"/>
        </w:numPr>
        <w:spacing w:line="360" w:lineRule="auto"/>
        <w:ind w:left="1200" w:hanging="360"/>
        <w:jc w:val="both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给出 TSF 产品组件的多 AZ 部署架构</w:t>
      </w:r>
    </w:p>
    <w:p>
      <w:pPr>
        <w:pStyle w:val="sqjv1h"/>
        <w:numPr>
          <w:ilvl w:val="0"/>
          <w:numId w:val="1"/>
        </w:numPr>
        <w:spacing w:line="360" w:lineRule="auto"/>
        <w:ind w:left="1200" w:hanging="360"/>
        <w:jc w:val="both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输出多 AZ 部署操作步骤</w:t>
      </w:r>
    </w:p>
    <w:p>
      <w:pPr>
        <w:pStyle w:val="sqjv1h"/>
        <w:numPr>
          <w:ilvl w:val="0"/>
          <w:numId w:val="1"/>
        </w:numPr>
        <w:spacing w:line="360" w:lineRule="auto"/>
        <w:ind w:left="1200" w:hanging="360"/>
        <w:jc w:val="both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color w:val="000000"/>
          <w:sz w:val="24"/>
        </w:rPr>
        <w:t>我们如何一步一步去达成目标</w:t>
      </w:r>
    </w:p>
    <w:p>
      <w:pPr>
        <w:pStyle w:val="sqjv1h"/>
        <w:spacing w:line="360" w:lineRule="auto"/>
        <w:ind w:firstLine="480"/>
        <w:jc w:val="both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color w:val="000000"/>
          <w:sz w:val="24"/>
        </w:rPr>
        <w:t>组织方式：</w:t>
      </w:r>
    </w:p>
    <w:p>
      <w:pPr>
        <w:pStyle w:val="sqjv1h"/>
        <w:numPr>
          <w:ilvl w:val="0"/>
          <w:numId w:val="2"/>
        </w:numPr>
        <w:spacing w:line="360" w:lineRule="auto"/>
        <w:ind w:left="1200" w:hanging="360"/>
        <w:jc w:val="both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先介绍 TSF 产品的组件构成和服务级别</w:t>
      </w:r>
    </w:p>
    <w:p>
      <w:pPr>
        <w:pStyle w:val="sqjv1h"/>
        <w:numPr>
          <w:ilvl w:val="0"/>
          <w:numId w:val="2"/>
        </w:numPr>
        <w:spacing w:line="360" w:lineRule="auto"/>
        <w:ind w:left="1200" w:hanging="360"/>
        <w:jc w:val="both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结合产品组件服务级别，输出多 AZ 部署架构</w:t>
      </w:r>
    </w:p>
    <w:p>
      <w:pPr>
        <w:pStyle w:val="obrja5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一、基本概念</w:t>
      </w:r>
    </w:p>
    <w:p>
      <w:pPr>
        <w:pStyle w:val="sqjv1h"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TSF产品支持在多个region及zone部署，此表对各个组件服务级别进行描述</w:t>
      </w:r>
    </w:p>
    <w:tbl>
      <w:tblPr>
        <w:tblStyle w:val="jhjkhi"/>
        <w:tblInd w:w="0" w:type="dxa"/>
        <w:tblLayout w:type="fixed"/>
      </w:tblPr>
      <w:tblGrid>
        <w:gridCol w:w="1200"/>
        <w:gridCol w:w="1200"/>
        <w:gridCol w:w="11385"/>
      </w:tblGrid>
      <w:tr>
        <w:trPr>
          <w:trHeight w:val="420"/>
        </w:trPr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ZH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EN</w:t>
            </w:r>
          </w:p>
        </w:tc>
        <w:tc>
          <w:tcPr>
            <w:tcW w:w="11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Describe</w:t>
            </w:r>
          </w:p>
        </w:tc>
      </w:tr>
      <w:tr>
        <w:trPr>
          <w:trHeight w:val="540"/>
        </w:trPr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全局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global</w:t>
            </w:r>
          </w:p>
        </w:tc>
        <w:tc>
          <w:tcPr>
            <w:tcW w:w="11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覆盖所有region</w:t>
            </w:r>
          </w:p>
        </w:tc>
      </w:tr>
      <w:tr>
        <w:trPr>
          <w:trHeight w:val="345"/>
        </w:trPr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地域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11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region下至少有一个zone</w:t>
            </w:r>
          </w:p>
        </w:tc>
      </w:tr>
      <w:tr>
        <w:trPr>
          <w:trHeight w:val="510"/>
        </w:trPr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可用区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az/zone</w:t>
            </w:r>
          </w:p>
        </w:tc>
        <w:tc>
          <w:tcPr>
            <w:tcW w:w="11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zone是idc的逻辑集合，zone至少包含有一个idc</w:t>
            </w:r>
          </w:p>
        </w:tc>
      </w:tr>
      <w:tr>
        <w:trPr>
          <w:trHeight w:val="510"/>
        </w:trPr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物理机房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idc</w:t>
            </w:r>
          </w:p>
        </w:tc>
        <w:tc>
          <w:tcPr>
            <w:tcW w:w="11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实际的物理机属性应包含特定region特定zone特定idc</w:t>
            </w:r>
          </w:p>
        </w:tc>
      </w:tr>
      <w:tr>
        <w:trPr>
          <w:trHeight w:val="345"/>
        </w:trPr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*主AZ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MAZ</w:t>
            </w:r>
          </w:p>
        </w:tc>
        <w:tc>
          <w:tcPr>
            <w:tcW w:w="11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通常为region内第一个az</w:t>
            </w:r>
          </w:p>
        </w:tc>
      </w:tr>
      <w:tr>
        <w:trPr>
          <w:trHeight w:val="420"/>
        </w:trPr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*备AZ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SAZ</w:t>
            </w:r>
          </w:p>
        </w:tc>
        <w:tc>
          <w:tcPr>
            <w:tcW w:w="11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通常为region内第二个az</w:t>
            </w:r>
          </w:p>
        </w:tc>
      </w:tr>
      <w:tr>
        <w:trPr>
          <w:trHeight w:val="345"/>
        </w:trPr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*其他AZ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OAZ</w:t>
            </w:r>
          </w:p>
        </w:tc>
        <w:tc>
          <w:tcPr>
            <w:tcW w:w="11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除region内主az和备sz外，其他的az</w:t>
            </w:r>
          </w:p>
        </w:tc>
      </w:tr>
    </w:tbl>
    <w:p>
      <w:pPr>
        <w:pStyle w:val="obrja5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color w:val="000000"/>
        </w:rPr>
        <w:t>二、产品组件（Components）</w:t>
      </w:r>
    </w:p>
    <w:p>
      <w:pPr>
        <w:pStyle w:val="sqjv1h"/>
        <w:spacing w:line="360" w:lineRule="auto"/>
        <w:ind w:firstLineChars="200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ascii="微软雅黑" w:hAnsi="微软雅黑" w:eastAsia="微软雅黑" w:cs="微软雅黑"/>
          <w:color w:val="000000"/>
          <w:sz w:val="24"/>
        </w:rPr>
        <w:t>TSF 管控服务是 Region 级别，每个 AZ 都启动相同的副本数；生产节点组件是 Region 级别，跨 AZ 部署。</w:t>
      </w:r>
    </w:p>
    <w:p>
      <w:pPr>
        <w:pStyle w:val="3m9zfc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2.1 镜像/容器/生产组件（Images/Pods）</w:t>
      </w:r>
    </w:p>
    <w:p>
      <w:pPr>
        <w:snapToGrid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TSF 产品各镜像/容器/组件服务级别和部署数量说明表</w:t>
      </w:r>
    </w:p>
    <w:tbl>
      <w:tblPr>
        <w:tblStyle w:val="jhjkhi"/>
        <w:tblInd w:w="0" w:type="dxa"/>
        <w:tblLayout w:type="fixed"/>
      </w:tblPr>
      <w:tblGrid>
        <w:gridCol w:w="2790"/>
        <w:gridCol w:w="1140"/>
        <w:gridCol w:w="720"/>
        <w:gridCol w:w="570"/>
        <w:gridCol w:w="600"/>
        <w:gridCol w:w="660"/>
        <w:gridCol w:w="675"/>
        <w:gridCol w:w="720"/>
        <w:gridCol w:w="6000"/>
      </w:tblGrid>
      <w:tr>
        <w:trPr>
          <w:trHeight w:val="510"/>
        </w:trPr>
        <w:tc>
          <w:tcPr>
            <w:tcW w:w="279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Component</w:t>
            </w:r>
          </w:p>
        </w:tc>
        <w:tc>
          <w:tcPr>
            <w:tcW w:w="114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Level</w:t>
            </w:r>
          </w:p>
        </w:tc>
        <w:tc>
          <w:tcPr>
            <w:tcW w:w="1890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Region1</w:t>
            </w:r>
          </w:p>
        </w:tc>
        <w:tc>
          <w:tcPr>
            <w:tcW w:w="2055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Region2~n</w:t>
            </w:r>
          </w:p>
        </w:tc>
        <w:tc>
          <w:tcPr>
            <w:tcW w:w="600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Describe</w:t>
            </w:r>
          </w:p>
        </w:tc>
      </w:tr>
      <w:tr>
        <w:trPr>
          <w:trHeight w:val="345"/>
        </w:trPr>
        <w:tc>
          <w:tcPr>
            <w:tcW w:w="279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  <w:tc>
          <w:tcPr>
            <w:tcW w:w="114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MAZ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SAZ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OAZ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MAZ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SAZ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OAZ</w:t>
            </w:r>
          </w:p>
        </w:tc>
        <w:tc>
          <w:tcPr>
            <w:tcW w:w="600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</w:tr>
      <w:tr>
        <w:trPr>
          <w:trHeight w:val="375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0"/>
                <w:shd w:val="clear" w:color="auto" w:fill="FFFFFF"/>
              </w:rPr>
              <w:t>ocloud-tsf-manager-dispatch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0"/>
                <w:shd w:val="clear" w:color="auto" w:fill="FFFFFF"/>
              </w:rPr>
              <w:t>ocloud-tsf-manager-operation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0"/>
                <w:shd w:val="clear" w:color="auto" w:fill="FFFFFF"/>
              </w:rPr>
              <w:t>tcloud-tsf-alarm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告警规则管理及相应告警能力</w:t>
            </w: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</w:tcPr>
          <w:p>
            <w:pPr>
              <w:rPr/>
            </w:pPr>
            <w:r>
              <w:rPr>
                <w:sz w:val="21"/>
              </w:rPr>
              <w:t>tcloud-tsf-analyst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数据分析模块</w:t>
            </w: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0"/>
                <w:shd w:val="clear" w:color="auto" w:fill="FFFFFF"/>
              </w:rPr>
              <w:t>tcloud-tsf-apm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业务日志、调用链信息、依赖拓扑图、请求相关统计数据相关管理和页面操作</w:t>
            </w: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sz w:val="21"/>
              </w:rPr>
              <w:t>tcloud-tsf-auth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服务鉴权，基于服务的鉴权和基于</w:t>
            </w:r>
            <w:r>
              <w:rPr>
                <w:rFonts w:ascii="Calibri" w:hAnsi="Calibri" w:eastAsia="Calibri" w:cs="Calibri"/>
                <w:color w:val="000000"/>
                <w:sz w:val="21"/>
              </w:rPr>
              <w:t>tag</w:t>
            </w: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的鉴权规则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tcloud-tsf-dcfg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应用配置、全局配置相关管理和页面操作</w:t>
            </w: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tcloud-tsf-dispatch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控制台相关请求和回复内容统一接入转发层，根据不同操作，转发请求给控制台相应业务微服务模块</w:t>
            </w: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tcloud-tsf-event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熔断事件模块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tcloud-tsf-gateway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微服务网关模块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tcloud-tsf-metrics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微服务运行端点信息辅助模块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tcloud-tsf-monitor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统计调用链数据上报到时序数据库相关能力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tcloud-tsf-ms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微服务列表页面和微服务详情等相关管理和页面操作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tcloud-tsf-nameserver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名字服务，</w:t>
            </w:r>
            <w:r>
              <w:rPr>
                <w:rFonts w:ascii="Calibri" w:hAnsi="Calibri" w:eastAsia="Calibri" w:cs="Calibri"/>
                <w:color w:val="000000"/>
                <w:sz w:val="21"/>
              </w:rPr>
              <w:t>APIGW</w:t>
            </w: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产品</w:t>
            </w:r>
            <w:r>
              <w:rPr>
                <w:rFonts w:ascii="Calibri" w:hAnsi="Calibri" w:eastAsia="Calibri" w:cs="Calibri"/>
                <w:color w:val="000000"/>
                <w:sz w:val="21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对接使用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tcloud-tsf-privilege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模块权限管理及相应能力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tcloud-tsf-ratelimit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服务限流规则管理及相应能力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tcloud-tsf-record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页面操作记录管理及相应能力</w:t>
            </w: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tcloud-tsf-resource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资源管理、应用生命周期管理能力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tcloud-tsf-route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tcloud-tsf-scalable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弹性伸缩规则管理及相应能力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tcloud-tsf-template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/>
            </w:pPr>
            <w:r>
              <w:rPr>
                <w:sz w:val="21"/>
              </w:rPr>
              <w:t>tcloud-tsf-token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用户</w:t>
            </w:r>
            <w:r>
              <w:rPr>
                <w:rFonts w:ascii="Calibri" w:hAnsi="Calibri" w:eastAsia="Calibri" w:cs="Calibri"/>
                <w:color w:val="000000"/>
                <w:sz w:val="21"/>
              </w:rPr>
              <w:t xml:space="preserve"> token </w:t>
            </w:r>
            <w:r>
              <w:rPr>
                <w:rFonts w:ascii="微软雅黑" w:hAnsi="微软雅黑" w:eastAsia="微软雅黑" w:cs="微软雅黑"/>
                <w:color w:val="000000"/>
                <w:sz w:val="21"/>
              </w:rPr>
              <w:t>管理及相应能力</w:t>
            </w:r>
          </w:p>
        </w:tc>
      </w:tr>
      <w:tr>
        <w:trPr/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snapToGrid w:val="false"/>
              <w:rPr>
                <w:sz w:val="21"/>
              </w:rPr>
            </w:pPr>
            <w:r>
              <w:rPr>
                <w:sz w:val="21"/>
              </w:rPr>
              <w:t>tcloud-tsf-tx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</w:tbl>
    <w:p>
      <w:pPr>
        <w:pStyle w:val="3m9zfc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2.2 数据库组件（Databases）</w:t>
      </w:r>
    </w:p>
    <w:p>
      <w:pPr>
        <w:snapToGrid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TSF 产品数据库（非完整）组件服务级别和部署数量说明表</w:t>
      </w:r>
    </w:p>
    <w:tbl>
      <w:tblPr>
        <w:tblStyle w:val="jhjkhi"/>
        <w:tblInd w:w="0" w:type="dxa"/>
        <w:tblLayout w:type="fixed"/>
      </w:tblPr>
      <w:tblGrid>
        <w:gridCol w:w="3390"/>
        <w:gridCol w:w="1200"/>
        <w:gridCol w:w="690"/>
        <w:gridCol w:w="615"/>
        <w:gridCol w:w="720"/>
        <w:gridCol w:w="675"/>
        <w:gridCol w:w="645"/>
        <w:gridCol w:w="705"/>
        <w:gridCol w:w="5130"/>
      </w:tblGrid>
      <w:tr>
        <w:trPr>
          <w:trHeight w:val="510"/>
        </w:trPr>
        <w:tc>
          <w:tcPr>
            <w:tcW w:w="339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Component</w:t>
            </w:r>
          </w:p>
        </w:tc>
        <w:tc>
          <w:tcPr>
            <w:tcW w:w="120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Level</w:t>
            </w:r>
          </w:p>
        </w:tc>
        <w:tc>
          <w:tcPr>
            <w:tcW w:w="2025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Region1</w:t>
            </w:r>
          </w:p>
        </w:tc>
        <w:tc>
          <w:tcPr>
            <w:tcW w:w="2025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Region2~n</w:t>
            </w:r>
          </w:p>
        </w:tc>
        <w:tc>
          <w:tcPr>
            <w:tcW w:w="513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Describe</w:t>
            </w:r>
          </w:p>
        </w:tc>
      </w:tr>
      <w:tr>
        <w:trPr>
          <w:trHeight w:val="345"/>
        </w:trPr>
        <w:tc>
          <w:tcPr>
            <w:tcW w:w="339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  <w:tc>
          <w:tcPr>
            <w:tcW w:w="120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MAZ</w:t>
            </w: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SAZ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OAZ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MAZ</w:t>
            </w: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SAZ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OAZ</w:t>
            </w:r>
          </w:p>
        </w:tc>
        <w:tc>
          <w:tcPr>
            <w:tcW w:w="513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</w:tr>
      <w:tr>
        <w:trPr/>
        <w:tc>
          <w:tcPr>
            <w:tcW w:w="33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color w:val="000000"/>
                <w:sz w:val="20"/>
                <w:shd w:val="clear" w:color="auto" w:fill="FFFFFF"/>
              </w:rPr>
              <w:t>dbsql-tsf-backend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/>
              <w:t>1</w:t>
            </w: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5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  <w:tr>
        <w:trPr>
          <w:trHeight w:val="420"/>
        </w:trPr>
        <w:tc>
          <w:tcPr>
            <w:tcW w:w="33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sqjv1h"/>
              <w:snapToGrid w:val="false"/>
              <w:jc w:val="left"/>
              <w:rPr/>
            </w:pPr>
            <w:r>
              <w:rPr>
                <w:rFonts w:ascii="微软雅黑" w:hAnsi="微软雅黑" w:eastAsia="微软雅黑" w:cs="微软雅黑"/>
                <w:color w:val="000000"/>
                <w:sz w:val="20"/>
                <w:shd w:val="clear" w:color="auto" w:fill="FFFFFF"/>
              </w:rPr>
              <w:t>dbsql-tsf-dts-backend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/>
              <w:t>1</w:t>
            </w: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5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  <w:tr>
        <w:trPr>
          <w:trHeight w:val="435"/>
        </w:trPr>
        <w:tc>
          <w:tcPr>
            <w:tcW w:w="33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sqjv1h"/>
              <w:snapToGrid w:val="false"/>
              <w:jc w:val="left"/>
              <w:rPr/>
            </w:pPr>
            <w:r>
              <w:rPr>
                <w:rFonts w:ascii="微软雅黑" w:hAnsi="微软雅黑" w:eastAsia="微软雅黑" w:cs="微软雅黑"/>
                <w:color w:val="000000"/>
                <w:sz w:val="20"/>
                <w:shd w:val="clear" w:color="auto" w:fill="FFFFFF"/>
              </w:rPr>
              <w:t>dbsql-tsf-task-backend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/>
              <w:t>1</w:t>
            </w: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5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  <w:tr>
        <w:trPr>
          <w:trHeight w:val="435"/>
        </w:trPr>
        <w:tc>
          <w:tcPr>
            <w:tcW w:w="33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......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5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</w:tbl>
    <w:p>
      <w:pPr>
        <w:pStyle w:val="3m9zfc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2.3 云API/预设数据组件（Yunapi/Preset）</w:t>
      </w:r>
    </w:p>
    <w:p>
      <w:pPr>
        <w:snapToGrid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CKAFKA 产品云API/预设数据组件（Yunapi/Preset）组件服务级别和部署数量说明表</w:t>
      </w:r>
    </w:p>
    <w:tbl>
      <w:tblPr>
        <w:tblStyle w:val="jhjkhi"/>
        <w:tblInd w:w="0" w:type="dxa"/>
        <w:tblLayout w:type="fixed"/>
      </w:tblPr>
      <w:tblGrid>
        <w:gridCol w:w="3150"/>
        <w:gridCol w:w="1200"/>
        <w:gridCol w:w="690"/>
        <w:gridCol w:w="615"/>
        <w:gridCol w:w="720"/>
        <w:gridCol w:w="705"/>
        <w:gridCol w:w="645"/>
        <w:gridCol w:w="705"/>
        <w:gridCol w:w="5445"/>
      </w:tblGrid>
      <w:tr>
        <w:trPr>
          <w:trHeight w:val="510"/>
        </w:trPr>
        <w:tc>
          <w:tcPr>
            <w:tcW w:w="315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Component</w:t>
            </w:r>
          </w:p>
        </w:tc>
        <w:tc>
          <w:tcPr>
            <w:tcW w:w="120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Level</w:t>
            </w:r>
          </w:p>
        </w:tc>
        <w:tc>
          <w:tcPr>
            <w:tcW w:w="2025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Region1</w:t>
            </w:r>
          </w:p>
        </w:tc>
        <w:tc>
          <w:tcPr>
            <w:tcW w:w="2055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Region2~n</w:t>
            </w:r>
          </w:p>
        </w:tc>
        <w:tc>
          <w:tcPr>
            <w:tcW w:w="544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Describe</w:t>
            </w:r>
          </w:p>
        </w:tc>
      </w:tr>
      <w:tr>
        <w:trPr>
          <w:trHeight w:val="345"/>
        </w:trPr>
        <w:tc>
          <w:tcPr>
            <w:tcW w:w="315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  <w:tc>
          <w:tcPr>
            <w:tcW w:w="120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MAZ</w:t>
            </w: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SAZ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OAZ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MAZ</w:t>
            </w: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SAZ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  <w:r>
              <w:rPr/>
              <w:t>OAZ</w:t>
            </w:r>
          </w:p>
        </w:tc>
        <w:tc>
          <w:tcPr>
            <w:tcW w:w="5445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</w:tr>
      <w:tr>
        <w:trPr>
          <w:trHeight w:val="540"/>
        </w:trPr>
        <w:tc>
          <w:tcPr>
            <w:tcW w:w="31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sz w:val="22"/>
              </w:rPr>
              <w:t>yunapi-tsf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54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yunapi接口组件</w:t>
            </w:r>
          </w:p>
        </w:tc>
      </w:tr>
      <w:tr>
        <w:trPr>
          <w:trHeight w:val="510"/>
        </w:trPr>
        <w:tc>
          <w:tcPr>
            <w:tcW w:w="31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>
                <w:rFonts w:ascii="微软雅黑" w:hAnsi="微软雅黑" w:eastAsia="微软雅黑" w:cs="微软雅黑"/>
                <w:sz w:val="22"/>
              </w:rPr>
              <w:t>preset-tsf-cam-ocloud-tsf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54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运营端 tsf cam权限管理预设数据集</w:t>
            </w:r>
          </w:p>
        </w:tc>
      </w:tr>
      <w:tr>
        <w:trPr/>
        <w:tc>
          <w:tcPr>
            <w:tcW w:w="31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rFonts w:ascii="Times New Roman" w:hAnsi="Times New Roman" w:eastAsia="Times New Roman" w:cs="Times New Roman"/>
                <w:sz w:val="22"/>
              </w:rPr>
            </w:pPr>
            <w:r>
              <w:rPr>
                <w:rFonts w:ascii="微软雅黑" w:hAnsi="微软雅黑" w:eastAsia="微软雅黑" w:cs="微软雅黑"/>
                <w:sz w:val="22"/>
              </w:rPr>
              <w:t>preset-tsf-cam-tcloud-tsf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region</w:t>
            </w: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color w:val="D9D9D9"/>
              </w:rPr>
            </w:pPr>
            <w:r>
              <w:rPr>
                <w:color w:val="D9D9D9"/>
              </w:rPr>
              <w:t>0</w:t>
            </w:r>
          </w:p>
        </w:tc>
        <w:tc>
          <w:tcPr>
            <w:tcW w:w="54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租户端 tsf cam权限管理预设数据集</w:t>
            </w:r>
          </w:p>
        </w:tc>
      </w:tr>
      <w:tr>
        <w:trPr>
          <w:trHeight w:val="345"/>
        </w:trPr>
        <w:tc>
          <w:tcPr>
            <w:tcW w:w="31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  <w:r>
              <w:rPr/>
              <w:t>......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6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  <w:tc>
          <w:tcPr>
            <w:tcW w:w="54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rPr/>
            </w:pPr>
          </w:p>
        </w:tc>
      </w:tr>
    </w:tbl>
    <w:p>
      <w:pPr>
        <w:pStyle w:val="3m9zfc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2.4 生产组件（Products）</w:t>
      </w:r>
    </w:p>
    <w:p>
      <w:pPr>
        <w:snapToGrid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TSF 产品各生产组件包服务级别和部署数量说明表</w:t>
      </w:r>
    </w:p>
    <w:tbl>
      <w:tblPr>
        <w:tblStyle w:val="jhjkhi"/>
        <w:tblInd w:w="0" w:type="dxa"/>
        <w:tblLayout w:type="fixed"/>
      </w:tblPr>
      <w:tblGrid>
        <w:gridCol w:w="2790"/>
        <w:gridCol w:w="1140"/>
        <w:gridCol w:w="720"/>
        <w:gridCol w:w="570"/>
        <w:gridCol w:w="600"/>
        <w:gridCol w:w="660"/>
        <w:gridCol w:w="675"/>
        <w:gridCol w:w="720"/>
        <w:gridCol w:w="6000"/>
      </w:tblGrid>
      <w:tr>
        <w:trPr>
          <w:trHeight w:val="510"/>
        </w:trPr>
        <w:tc>
          <w:tcPr>
            <w:tcW w:w="279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Component</w:t>
            </w:r>
          </w:p>
        </w:tc>
        <w:tc>
          <w:tcPr>
            <w:tcW w:w="114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Level</w:t>
            </w:r>
          </w:p>
        </w:tc>
        <w:tc>
          <w:tcPr>
            <w:tcW w:w="1890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Region1</w:t>
            </w:r>
          </w:p>
        </w:tc>
        <w:tc>
          <w:tcPr>
            <w:tcW w:w="2055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Region2~n</w:t>
            </w:r>
          </w:p>
        </w:tc>
        <w:tc>
          <w:tcPr>
            <w:tcW w:w="600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Describe</w:t>
            </w:r>
          </w:p>
        </w:tc>
      </w:tr>
      <w:tr>
        <w:trPr>
          <w:trHeight w:val="345"/>
        </w:trPr>
        <w:tc>
          <w:tcPr>
            <w:tcW w:w="279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  <w:tc>
          <w:tcPr>
            <w:tcW w:w="114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MAZ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SAZ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OAZ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MAZ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SAZ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pStyle w:val="sqjv1h"/>
              <w:rPr/>
            </w:pPr>
            <w:r>
              <w:rPr/>
              <w:t>OAZ</w:t>
            </w:r>
          </w:p>
        </w:tc>
        <w:tc>
          <w:tcPr>
            <w:tcW w:w="600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E9E9E9"/>
          </w:tcPr>
          <w:p>
            <w:pPr>
              <w:rPr/>
            </w:pPr>
          </w:p>
        </w:tc>
      </w:tr>
      <w:tr>
        <w:trPr>
          <w:trHeight w:val="51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</w:tcPr>
          <w:p>
            <w:pPr>
              <w:pStyle w:val="sqjv1h"/>
              <w:rPr/>
            </w:pPr>
            <w:r>
              <w:rPr>
                <w:sz w:val="21"/>
              </w:rPr>
              <w:t>tsf-consul-server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公共生产组件，用于部署多个运营端生产组件</w:t>
            </w: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tsf-es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3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3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3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3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</w:p>
        </w:tc>
      </w:tr>
      <w:tr>
        <w:trPr>
          <w:trHeight w:val="420"/>
        </w:trPr>
        <w:tc>
          <w:tcPr>
            <w:tcW w:w="27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tsf-ctsdb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region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3</w:t>
            </w:r>
          </w:p>
        </w:tc>
        <w:tc>
          <w:tcPr>
            <w:tcW w:w="5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3</w:t>
            </w:r>
          </w:p>
        </w:tc>
        <w:tc>
          <w:tcPr>
            <w:tcW w:w="6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3</w:t>
            </w:r>
          </w:p>
        </w:tc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  <w:r>
              <w:rPr/>
              <w:t>3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</w:p>
        </w:tc>
        <w:tc>
          <w:tcPr>
            <w:tcW w:w="60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sqjv1h"/>
              <w:rPr/>
            </w:pPr>
          </w:p>
        </w:tc>
      </w:tr>
    </w:tbl>
    <w:p>
      <w:pPr>
        <w:snapToGrid/>
        <w:jc w:val="left"/>
        <w:rPr>
          <w:rFonts w:ascii="微软雅黑" w:hAnsi="微软雅黑" w:eastAsia="微软雅黑" w:cs="微软雅黑"/>
          <w:color w:val="000000"/>
          <w:sz w:val="36"/>
        </w:rPr>
      </w:pPr>
    </w:p>
    <w:p>
      <w:pPr>
        <w:pStyle w:val="obrja5"/>
        <w:spacing w:line="240" w:lineRule="auto"/>
        <w:rPr>
          <w:rFonts w:ascii="微软雅黑" w:hAnsi="微软雅黑" w:eastAsia="微软雅黑" w:cs="微软雅黑"/>
          <w:color w:val="000000"/>
          <w:sz w:val="36"/>
        </w:rPr>
      </w:pPr>
      <w:r>
        <w:rPr>
          <w:rFonts w:ascii="微软雅黑" w:hAnsi="微软雅黑" w:eastAsia="微软雅黑" w:cs="微软雅黑"/>
          <w:color w:val="000000"/>
          <w:sz w:val="36"/>
        </w:rPr>
        <w:t>三、多AZ部署架构图（</w:t>
      </w:r>
      <w:r>
        <w:rPr>
          <w:rFonts w:ascii="微软雅黑" w:hAnsi="微软雅黑" w:eastAsia="微软雅黑" w:cs="微软雅黑"/>
          <w:color w:val="000000"/>
          <w:sz w:val="36"/>
        </w:rPr>
        <w:t>D</w:t>
      </w:r>
      <w:r>
        <w:rPr>
          <w:rFonts w:ascii="微软雅黑" w:hAnsi="微软雅黑" w:eastAsia="微软雅黑" w:cs="微软雅黑"/>
          <w:sz w:val="36"/>
        </w:rPr>
        <w:t>iagram</w:t>
      </w:r>
      <w:r>
        <w:rPr>
          <w:rFonts w:ascii="微软雅黑" w:hAnsi="微软雅黑" w:eastAsia="微软雅黑" w:cs="微软雅黑"/>
          <w:color w:val="000000"/>
          <w:sz w:val="36"/>
        </w:rPr>
        <w:t>）</w:t>
      </w:r>
    </w:p>
    <w:p>
      <w:pPr>
        <w:pStyle w:val="3m9zfc"/>
        <w:jc w:val="left"/>
        <w:rPr>
          <w:rFonts w:ascii="微软雅黑" w:hAnsi="微软雅黑" w:eastAsia="微软雅黑" w:cs="微软雅黑"/>
          <w:color w:val="000000"/>
        </w:rPr>
      </w:pPr>
      <w:r>
        <w:rPr>
          <w:rFonts w:ascii="微软雅黑" w:hAnsi="微软雅黑" w:eastAsia="微软雅黑" w:cs="微软雅黑"/>
          <w:color w:val="000000"/>
        </w:rPr>
        <w:t>3.0 TSF 多AZ 部署架构图</w:t>
      </w:r>
    </w:p>
    <w:p>
      <w:pPr>
        <w:pStyle w:val="sqjv1h"/>
        <w:rPr/>
      </w:pPr>
      <w:r>
        <w:rPr/>
        <w:drawing>
          <wp:inline distT="0" distB="0" distL="0" distR="0">
            <wp:extent cx="8543925" cy="1413510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rcRect l="0" t="0" r="0" b="0"/>
                    <a:stretch/>
                  </pic:blipFill>
                  <pic:spPr>
                    <a:xfrm rot="21600000">
                      <a:off x="0" y="0"/>
                      <a:ext cx="8543925" cy="141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jc w:val="left"/>
        <w:rPr>
          <w:rFonts w:ascii="微软雅黑" w:hAnsi="微软雅黑" w:eastAsia="微软雅黑" w:cs="微软雅黑"/>
          <w:color w:val="000000"/>
        </w:rPr>
      </w:pPr>
    </w:p>
    <w:p>
      <w:pPr>
        <w:pStyle w:val="3m9zfc"/>
        <w:jc w:val="left"/>
        <w:rPr>
          <w:rFonts w:ascii="微软雅黑" w:hAnsi="微软雅黑" w:eastAsia="微软雅黑" w:cs="微软雅黑"/>
          <w:color w:val="000000"/>
        </w:rPr>
      </w:pPr>
      <w:r>
        <w:rPr>
          <w:rFonts w:ascii="微软雅黑" w:hAnsi="微软雅黑" w:eastAsia="微软雅黑" w:cs="微软雅黑"/>
          <w:color w:val="000000"/>
        </w:rPr>
        <w:t>3.1 管控组件</w:t>
      </w:r>
    </w:p>
    <w:tbl>
      <w:tblPr>
        <w:tblStyle w:val="jhjkhi"/>
        <w:tblInd w:w="405" w:type="dxa"/>
        <w:tblLayout w:type="fixed"/>
      </w:tblPr>
      <w:tblGrid>
        <w:gridCol w:w="2550"/>
        <w:gridCol w:w="4650"/>
        <w:gridCol w:w="2580"/>
        <w:gridCol w:w="4020"/>
      </w:tblGrid>
      <w:tr>
        <w:trPr>
          <w:trHeight w:val="420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组件名称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功能描述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资源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是否 AZ 高可用</w:t>
            </w:r>
          </w:p>
        </w:tc>
      </w:tr>
      <w:tr>
        <w:trPr>
          <w:trHeight w:val="67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ocloud-manager-dispatch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运营端后台的网关路由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ocloud-manager-operation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运营端的后台操作镜像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tsf-dispatch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控制台相关请求和回复内容统一接入转发层，根据不同操作，转发请求给控制台相应业务微服务模块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sqjv1h"/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tsf-resource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资源管理、应用生命周期管理能力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8C16G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tsf-auth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服务鉴权，基于服务的鉴权和基于tag的鉴权规则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tsf-analyst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数据分析模块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tsf-dcfg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应用配置、全局配置相关管理和页面操作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tsf-apm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业务日志、调用链信息、依赖拓扑图、请求相关统计数据相关管理和页面操作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tsf-ms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微服务列表页面和微服务详情等相关管理和页面操作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tsf-alarm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告警规则管理及相应告警能力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tsf-event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熔断事件模块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tsf-metrics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微服务运行端点信息辅助模块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tsf-monitor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统计调用链数据上报到时序数据库相关能力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tsf-nameserver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名字服务，APIGW产品 对接使用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tsf-route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服务路由规则管理及相应能力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tsf-ratelimit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服务限流规则管理及相应能力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tsf-scalable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弹性伸缩规则管理及相应能力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tsf-template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项目编排，脚手架代码框架生成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tsf-gateway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微服务网关模块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tsf-privilege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模块权限管理及相应能力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>
          <w:trHeight w:val="435"/>
        </w:trPr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tsf-record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页面操作记录管理及相应能力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4C8G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  <w:tr>
        <w:trPr/>
        <w:tc>
          <w:tcPr>
            <w:tcW w:w="25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tsf-token</w:t>
            </w:r>
          </w:p>
        </w:tc>
        <w:tc>
          <w:tcPr>
            <w:tcW w:w="46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用户 token 管理及相应能力</w:t>
            </w:r>
          </w:p>
        </w:tc>
        <w:tc>
          <w:tcPr>
            <w:tcW w:w="25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>2副本 POD</w:t>
            </w:r>
          </w:p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18"/>
              </w:rPr>
              <w:t xml:space="preserve">  8C16G</w:t>
            </w:r>
          </w:p>
        </w:tc>
        <w:tc>
          <w:tcPr>
            <w:tcW w:w="40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</w:tr>
    </w:tbl>
    <w:p>
      <w:pPr>
        <w:pStyle w:val="sqjv1h"/>
        <w:rPr>
          <w:rFonts w:ascii="微软雅黑" w:hAnsi="微软雅黑" w:eastAsia="微软雅黑" w:cs="微软雅黑"/>
        </w:rPr>
      </w:pPr>
    </w:p>
    <w:p>
      <w:pPr>
        <w:pStyle w:val="3m9zfc"/>
        <w:jc w:val="left"/>
        <w:rPr/>
      </w:pPr>
      <w:r>
        <w:rPr/>
        <w:t>3.2 生产组件部署架构</w:t>
      </w:r>
    </w:p>
    <w:tbl>
      <w:tblPr>
        <w:tblStyle w:val="jhjkhi"/>
        <w:tblInd w:w="0" w:type="dxa"/>
        <w:tblLayout w:type="fixed"/>
      </w:tblPr>
      <w:tblGrid>
        <w:gridCol w:w="1860"/>
        <w:gridCol w:w="1350"/>
        <w:gridCol w:w="1200"/>
        <w:gridCol w:w="1740"/>
        <w:gridCol w:w="1200"/>
        <w:gridCol w:w="1710"/>
        <w:gridCol w:w="1050"/>
        <w:gridCol w:w="3960"/>
      </w:tblGrid>
      <w:tr>
        <w:trPr>
          <w:trHeight w:val="420"/>
        </w:trPr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模块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模块说明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最小节点数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资源说明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OS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是否 AZ 高可用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上架要求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D9D9D9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扩展说明</w:t>
            </w:r>
          </w:p>
        </w:tc>
      </w:tr>
      <w:tr>
        <w:trPr>
          <w:trHeight w:val="525"/>
        </w:trPr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tsf-ctsdb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CTSDB集群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3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8C16G-1000GB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tlinux2.2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跨母机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fill="FFFFFF"/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节点数需为奇数，按容量需求水平扩展，磁盘根据实际规划不影响（不低于要求即可）</w:t>
            </w:r>
          </w:p>
        </w:tc>
      </w:tr>
      <w:tr>
        <w:trPr>
          <w:trHeight w:val="615"/>
        </w:trPr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tsf_master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Master集群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2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4C8G-120GB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tlinux2.2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跨母机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磁盘根据实际规划不影响（不低于要求即可）</w:t>
            </w:r>
          </w:p>
        </w:tc>
      </w:tr>
      <w:tr>
        <w:trPr>
          <w:trHeight w:val="525"/>
        </w:trPr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tsf_es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ElasticSearch集群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3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8C16G-1000GB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tlinux2.2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跨母机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节点数需为奇数，按容量需求水平扩展</w:t>
            </w:r>
          </w:p>
        </w:tc>
      </w:tr>
      <w:tr>
        <w:trPr>
          <w:trHeight w:val="420"/>
        </w:trPr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tsf_repository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Repository集群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2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4C8G-500GB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tlinux2.2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跨母机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磁盘根据实际规划不影响（不低于要求即可）</w:t>
            </w:r>
          </w:p>
        </w:tc>
      </w:tr>
      <w:tr>
        <w:trPr>
          <w:trHeight w:val="420"/>
        </w:trPr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tsf_consul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Registry集群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3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4C8G-250GB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tlinux2.2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跨母机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</w:p>
        </w:tc>
      </w:tr>
      <w:tr>
        <w:trPr>
          <w:trHeight w:val="420"/>
        </w:trPr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tsf_mesh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Mesh集群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2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4C8G-120GB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tlinux2.2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跨母机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磁盘根据实际规划不影响（不低于要求即可）</w:t>
            </w:r>
          </w:p>
        </w:tc>
      </w:tr>
      <w:tr>
        <w:trPr>
          <w:trHeight w:val="420"/>
        </w:trPr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tsf_license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License集群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2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4C8G-500GB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tlinux2.2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跨母机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</w:p>
        </w:tc>
      </w:tr>
      <w:tr>
        <w:trPr>
          <w:trHeight w:val="420"/>
        </w:trPr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  <w:t>tsf-dts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  <w:t xml:space="preserve">dts集群 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  <w:t>3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  <w:t>4C8G-500GB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  <w:t>tlinux2.2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>
                <w:strike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0"/>
              </w:rPr>
              <w:t>是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  <w:t>跨母机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strike/>
                <w:color w:val="000000"/>
                <w:spacing w:val="0"/>
                <w:sz w:val="21"/>
              </w:rPr>
            </w:pPr>
          </w:p>
        </w:tc>
      </w:tr>
      <w:tr>
        <w:trPr/>
        <w:tc>
          <w:tcPr>
            <w:tcW w:w="18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tsf-task</w:t>
            </w:r>
          </w:p>
        </w:tc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task schedule集群 （beta）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3</w:t>
            </w:r>
          </w:p>
        </w:tc>
        <w:tc>
          <w:tcPr>
            <w:tcW w:w="17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4C8G-500GB</w:t>
            </w:r>
          </w:p>
        </w:tc>
        <w:tc>
          <w:tcPr>
            <w:tcW w:w="12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tlinux2.2</w:t>
            </w:r>
          </w:p>
        </w:tc>
        <w:tc>
          <w:tcPr>
            <w:tcW w:w="17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0"/>
              </w:rPr>
              <w:t>是</w:t>
            </w:r>
          </w:p>
        </w:tc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  <w:r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  <w:t>跨母机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snapToGrid w:val="false"/>
              <w:spacing w:before="0" w:after="0" w:line="240" w:lineRule="auto"/>
              <w:rPr>
                <w:rFonts w:ascii="微软雅黑" w:hAnsi="微软雅黑" w:eastAsia="微软雅黑" w:cs="微软雅黑"/>
                <w:b w:val="false"/>
                <w:i w:val="false"/>
                <w:color w:val="000000"/>
                <w:spacing w:val="0"/>
                <w:sz w:val="21"/>
              </w:rPr>
            </w:pPr>
          </w:p>
        </w:tc>
      </w:tr>
    </w:tbl>
    <w:p>
      <w:pPr>
        <w:pStyle w:val="sqjv1h"/>
        <w:jc w:val="left"/>
        <w:rPr>
          <w:rFonts w:ascii="微软雅黑" w:hAnsi="微软雅黑" w:eastAsia="微软雅黑" w:cs="微软雅黑"/>
          <w:color w:val="000000"/>
        </w:rPr>
      </w:pPr>
    </w:p>
    <w:p>
      <w:pPr>
        <w:pStyle w:val="obrja5"/>
        <w:spacing w:line="240" w:lineRule="auto"/>
        <w:rPr>
          <w:rFonts w:ascii="微软雅黑" w:hAnsi="微软雅黑" w:eastAsia="微软雅黑" w:cs="微软雅黑"/>
          <w:color w:val="000000"/>
          <w:sz w:val="36"/>
        </w:rPr>
      </w:pPr>
      <w:r>
        <w:rPr>
          <w:rFonts w:ascii="微软雅黑" w:hAnsi="微软雅黑" w:eastAsia="微软雅黑" w:cs="微软雅黑"/>
          <w:color w:val="000000"/>
          <w:sz w:val="36"/>
        </w:rPr>
        <w:t>四、多 AZ 部署过程（</w:t>
      </w:r>
      <w:r>
        <w:rPr>
          <w:rFonts w:ascii="微软雅黑" w:hAnsi="微软雅黑" w:eastAsia="微软雅黑" w:cs="微软雅黑"/>
          <w:color w:val="000000"/>
          <w:sz w:val="36"/>
        </w:rPr>
        <w:t>D</w:t>
      </w:r>
      <w:r>
        <w:rPr>
          <w:rFonts w:ascii="微软雅黑" w:hAnsi="微软雅黑" w:eastAsia="微软雅黑" w:cs="微软雅黑"/>
          <w:sz w:val="36"/>
        </w:rPr>
        <w:t>eployment</w:t>
      </w:r>
      <w:r>
        <w:rPr>
          <w:rFonts w:ascii="微软雅黑" w:hAnsi="微软雅黑" w:eastAsia="微软雅黑" w:cs="微软雅黑"/>
          <w:color w:val="000000"/>
          <w:sz w:val="36"/>
        </w:rPr>
        <w:t>）</w:t>
      </w:r>
    </w:p>
    <w:p>
      <w:pPr>
        <w:snapToGrid/>
        <w:ind w:firstLineChars="200"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多 AZ 部署分为新建部署和扩容部署两种方式</w:t>
      </w:r>
    </w:p>
    <w:p>
      <w:pPr>
        <w:pStyle w:val="3m9zfc"/>
        <w:jc w:val="left"/>
        <w:rPr>
          <w:rFonts w:ascii="微软雅黑" w:hAnsi="微软雅黑" w:eastAsia="微软雅黑" w:cs="微软雅黑"/>
          <w:color w:val="000000"/>
          <w:sz w:val="32"/>
        </w:rPr>
      </w:pPr>
      <w:r>
        <w:rPr>
          <w:rFonts w:ascii="微软雅黑" w:hAnsi="微软雅黑" w:eastAsia="微软雅黑" w:cs="微软雅黑"/>
          <w:color w:val="000000"/>
          <w:sz w:val="32"/>
        </w:rPr>
        <w:t>4.0 新建部署</w:t>
      </w:r>
    </w:p>
    <w:p>
      <w:pPr>
        <w:pStyle w:val="sqjv1h"/>
        <w:ind w:firstLineChars="200"/>
        <w:rPr/>
      </w:pPr>
      <w:r>
        <w:rPr/>
        <w:t xml:space="preserve">直接参考极光 380 单AZ部署文档，检查 tsf  pod 组件拉起后双AZ 均有副本运行。AZ2的consul 集群上的consul-access、consul-client 可以在界面上点击部署安装， </w:t>
      </w:r>
      <w:r>
        <w:rPr>
          <w:b/>
          <w:color w:val="FF0000"/>
        </w:rPr>
        <w:t>AZ2  consul-server （register/config/authen）、ES、ctsdb 需要手工安装或配置  参考4.1 扩容部署。</w:t>
      </w:r>
    </w:p>
    <w:p>
      <w:pPr>
        <w:pStyle w:val="sqjv1h"/>
        <w:ind w:firstLineChars="200"/>
        <w:rPr>
          <w:b/>
        </w:rPr>
      </w:pPr>
      <w:r>
        <w:rPr>
          <w:b/>
        </w:rPr>
        <w:t>注意：</w:t>
      </w:r>
    </w:p>
    <w:p>
      <w:pPr>
        <w:pStyle w:val="sqjv1h"/>
        <w:numPr>
          <w:ilvl w:val="0"/>
          <w:numId w:val="3"/>
        </w:numPr>
        <w:rPr>
          <w:rFonts w:ascii="" w:hAnsi="" w:eastAsia="" w:cs=""/>
          <w:b/>
        </w:rPr>
      </w:pPr>
      <w:r>
        <w:rPr>
          <w:b w:val="false"/>
          <w:color w:val="CC0000"/>
        </w:rPr>
        <w:t>ES、CTSDB 界面部署前机器为MAZ 2 + SAZ 1，创建的 consul/es/ctsdb  cvm 尽量保证跨母机</w:t>
      </w:r>
    </w:p>
    <w:p>
      <w:pPr>
        <w:pStyle w:val="sqjv1h"/>
        <w:numPr>
          <w:ilvl w:val="0"/>
          <w:numId w:val="3"/>
        </w:numPr>
        <w:rPr>
          <w:rFonts w:ascii="" w:hAnsi="" w:eastAsia="" w:cs=""/>
          <w:b/>
        </w:rPr>
      </w:pPr>
      <w:r>
        <w:rPr>
          <w:b w:val="false"/>
          <w:color w:val="CC0000"/>
        </w:rPr>
        <w:t>tsf-consul 界面部署前机器为MAZ 2 + SAZ 1，先部署3个节点master 集群，SAZ 2台slave 通过手工扩容加入集群。</w:t>
      </w:r>
    </w:p>
    <w:p>
      <w:pPr>
        <w:pStyle w:val="sqjv1h"/>
        <w:ind w:leftChars="200"/>
        <w:rPr>
          <w:b w:val="false"/>
          <w:color w:val="CC0000"/>
        </w:rPr>
      </w:pPr>
    </w:p>
    <w:p>
      <w:pPr>
        <w:snapToGrid w:val="false"/>
        <w:spacing w:before="0" w:after="240" w:line="240" w:lineRule="auto"/>
        <w:ind w:firstLineChars="200"/>
        <w:rPr>
          <w:sz w:val="24"/>
        </w:rPr>
      </w:pPr>
      <w:r>
        <w:rPr>
          <w:sz w:val="24"/>
        </w:rPr>
        <w:t>consul 部署后检查</w:t>
      </w:r>
    </w:p>
    <w:p>
      <w:pPr>
        <w:snapToGrid w:val="false"/>
        <w:spacing w:before="0" w:after="240" w:line="240" w:lineRule="auto"/>
        <w:ind w:firstLineChars="200"/>
        <w:rPr>
          <w:sz w:val="24"/>
        </w:rPr>
      </w:pPr>
      <w:r>
        <w:rPr/>
        <w:drawing>
          <wp:inline distT="0" distB="0" distL="0" distR="0">
            <wp:extent cx="8863330" cy="8863330"/>
            <wp:effectExtent l="0" t="0" r="0" b="0"/>
            <wp:docPr id="5" name="文本框 b6jc3p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检查3个master节点是否加入集群，slave 不在集群中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/>
                          <w:t>data</w:t>
                        </w:r>
                        <w:r>
                          <w:rPr/>
                          <w:t>/tsf/tsf-consul/tsf-consul-register/tsf-consul-register-v1.23.0/bin &amp;&amp; ./cluster_health.sh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/>
                          <w:t>data</w:t>
                        </w:r>
                        <w:r>
                          <w:rPr/>
                          <w:t>/tsf/tsf-consul/tsf-consul-config/tsf-consul-config-v1.23.0/bin &amp;&amp; ./cluster_health.sh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/>
                          <w:t>data</w:t>
                        </w:r>
                        <w:r>
                          <w:rPr/>
                          <w:t>/tsf/tsf-consul/tsf-consul-authen/tsf-consul-authen-v1.23.0/bin &amp;&amp; ./cluster_health.sh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leftChars="200"/>
        <w:rPr>
          <w:b/>
        </w:rPr>
      </w:pPr>
    </w:p>
    <w:p>
      <w:pPr>
        <w:pStyle w:val="3m9zfc"/>
        <w:jc w:val="left"/>
        <w:rPr>
          <w:rFonts w:ascii="微软雅黑" w:hAnsi="微软雅黑" w:eastAsia="微软雅黑" w:cs="微软雅黑"/>
          <w:color w:val="000000"/>
          <w:sz w:val="32"/>
        </w:rPr>
      </w:pPr>
      <w:r>
        <w:rPr>
          <w:rFonts w:ascii="微软雅黑" w:hAnsi="微软雅黑" w:eastAsia="微软雅黑" w:cs="微软雅黑"/>
          <w:color w:val="000000"/>
          <w:sz w:val="32"/>
        </w:rPr>
        <w:t>4.1 扩容部署过程</w:t>
      </w: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4.1.1 镜像组件部署</w:t>
      </w:r>
    </w:p>
    <w:p>
      <w:pPr>
        <w:snapToGrid/>
        <w:ind w:firstLineChars="200"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本产品所有镜像组件为 region 服务级别，需要依赖部署工具把镜像组件打散。</w:t>
      </w: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4.1.2 数据组件部署并备份db</w:t>
      </w:r>
    </w:p>
    <w:p>
      <w:pPr>
        <w:snapToGrid/>
        <w:ind w:firstLineChars="200"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本产品所有 dbsql、yunapi、cam 预设策略组件为 region 服务级别，无需在SAZ和OAZ执行任何操作。</w:t>
      </w:r>
    </w:p>
    <w:p>
      <w:pPr>
        <w:snapToGrid/>
        <w:ind w:firstLineChars="200"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扩容前备份db即可：</w:t>
      </w:r>
    </w:p>
    <w:p>
      <w:pPr>
        <w:snapToGrid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 xml:space="preserve"> </w:t>
        <w:tab/>
      </w:r>
    </w:p>
    <w:p>
      <w:pPr>
        <w:snapToGrid w:val="false"/>
        <w:rPr/>
      </w:pPr>
      <w:r>
        <w:rPr>
          <w:rFonts w:ascii="微软雅黑" w:hAnsi="微软雅黑" w:eastAsia="微软雅黑" w:cs="微软雅黑"/>
          <w:sz w:val="24"/>
        </w:rPr>
        <w:t xml:space="preserve">  </w:t>
      </w:r>
    </w:p>
    <w:p>
      <w:pPr>
        <w:snapToGrid w:val="false"/>
        <w:rPr/>
      </w:pPr>
      <w:r>
        <w:rPr/>
        <w:drawing>
          <wp:inline distT="0" distB="0" distL="0" distR="0">
            <wp:extent cx="8863330" cy="8863330"/>
            <wp:effectExtent l="0" t="0" r="0" b="0"/>
            <wp:docPr id="7" name="文本框 8zstzh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kaleido_db backup --module=tsf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cp database_infos.json database_infos.json_bak20201210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kaleido_db infos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检查备份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ls /data/tce_dc/workspace/upgrade/db_backup/tsf/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ind w:firstLineChars="200"/>
        <w:jc w:val="left"/>
        <w:rPr>
          <w:rFonts w:ascii="微软雅黑" w:hAnsi="微软雅黑" w:eastAsia="微软雅黑" w:cs="微软雅黑"/>
          <w:sz w:val="24"/>
        </w:rPr>
      </w:pP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4.1.3 新增可用区</w:t>
      </w:r>
    </w:p>
    <w:p>
      <w:pPr>
        <w:pStyle w:val="sqjv1h"/>
        <w:ind w:firstLineChars="20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1）如下图所示，在运营端: 产品运营 → 微服务平台(TSF) → 资源运营 → 可用区管理；创建一个</w:t>
      </w:r>
      <w:r>
        <w:rPr>
          <w:rFonts w:ascii="微软雅黑" w:hAnsi="微软雅黑" w:eastAsia="微软雅黑" w:cs="微软雅黑"/>
          <w:b/>
          <w:sz w:val="24"/>
        </w:rPr>
        <w:t>基础可用区</w:t>
      </w:r>
    </w:p>
    <w:p>
      <w:pPr>
        <w:snapToGrid/>
        <w:ind w:firstLineChars="200"/>
        <w:jc w:val="left"/>
        <w:rPr>
          <w:rFonts w:ascii="微软雅黑" w:hAnsi="微软雅黑" w:eastAsia="微软雅黑" w:cs="微软雅黑"/>
          <w:sz w:val="24"/>
        </w:rPr>
      </w:pPr>
      <w:r>
        <w:rPr/>
        <w:drawing>
          <wp:inline distT="0" distB="0" distL="0" distR="0">
            <wp:extent cx="6410325" cy="2695575"/>
            <wp:effectExtent l="0" t="0" r="0" b="0"/>
            <wp:docPr id="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0" name="picture" descr="descript"/>
                    <pic:cNvPicPr/>
                  </pic:nvPicPr>
                  <pic:blipFill rotWithShape="true">
                    <a:blip r:embed="rId5"/>
                    <a:srcRect l="0" t="0" r="0" b="0"/>
                    <a:stretch/>
                  </pic:blipFill>
                  <pic:spPr>
                    <a:xfrm rot="21600000">
                      <a:off x="0" y="0"/>
                      <a:ext cx="6410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after="180"/>
        <w:ind w:firstLineChars="200"/>
        <w:jc w:val="both"/>
        <w:rPr>
          <w:rFonts w:ascii="Cambria" w:hAnsi="Cambria" w:eastAsia="Cambria" w:cs="Cambria"/>
          <w:sz w:val="24"/>
        </w:rPr>
      </w:pPr>
      <w:r>
        <w:rPr>
          <w:rFonts w:ascii="微软雅黑" w:hAnsi="微软雅黑" w:eastAsia="微软雅黑" w:cs="微软雅黑"/>
          <w:sz w:val="24"/>
        </w:rPr>
        <w:t>2）</w:t>
      </w:r>
      <w:r>
        <w:rPr>
          <w:rFonts w:ascii="Cambria" w:hAnsi="Cambria" w:eastAsia="Cambria" w:cs="Cambria"/>
          <w:sz w:val="24"/>
        </w:rPr>
        <w:t>成功添加基础可用区后，连接数据库实例22005，参考如下 sql语句，修改 zone</w:t>
      </w:r>
      <w:r>
        <w:rPr>
          <w:rFonts w:ascii="Cambria" w:hAnsi="Cambria" w:eastAsia="Cambria" w:cs="Cambria"/>
          <w:i/>
          <w:sz w:val="24"/>
        </w:rPr>
        <w:t>id 为 tce 平台的az2规划的 zone</w:t>
      </w:r>
      <w:r>
        <w:rPr>
          <w:rFonts w:ascii="Cambria" w:hAnsi="Cambria" w:eastAsia="Cambria" w:cs="Cambria"/>
          <w:sz w:val="24"/>
        </w:rPr>
        <w:t>id。</w:t>
      </w:r>
    </w:p>
    <w:p>
      <w:pPr>
        <w:snapToGrid/>
        <w:ind w:firstLineChars="200"/>
        <w:jc w:val="left"/>
        <w:rPr/>
      </w:pPr>
      <w:r>
        <w:rPr/>
        <w:drawing>
          <wp:inline distT="0" distB="0" distL="0" distR="0">
            <wp:extent cx="8863330" cy="8863330"/>
            <wp:effectExtent l="0" t="0" r="0" b="0"/>
            <wp:docPr id="12" name="文本框 tbua8i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use tsfmanager_operation;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tsf_zone set id='50010002' where zone_name='gzbyidc';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ind w:firstLineChars="200"/>
        <w:jc w:val="left"/>
        <w:rPr>
          <w:rFonts w:ascii="微软雅黑" w:hAnsi="微软雅黑" w:eastAsia="微软雅黑" w:cs="微软雅黑"/>
          <w:sz w:val="24"/>
        </w:rPr>
      </w:pPr>
    </w:p>
    <w:p>
      <w:pPr>
        <w:snapToGrid/>
        <w:ind w:firstLineChars="200"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sql语句执行成功后，查看结果，预期为：</w:t>
      </w:r>
    </w:p>
    <w:p>
      <w:pPr>
        <w:snapToGrid/>
        <w:ind w:firstLineChars="200"/>
        <w:jc w:val="left"/>
        <w:rPr>
          <w:rFonts w:ascii="微软雅黑" w:hAnsi="微软雅黑" w:eastAsia="微软雅黑" w:cs="微软雅黑"/>
          <w:sz w:val="24"/>
        </w:rPr>
      </w:pPr>
      <w:r>
        <w:rPr/>
        <w:drawing>
          <wp:inline distT="0" distB="0" distL="0" distR="0">
            <wp:extent cx="6477000" cy="265747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21600000">
                      <a:off x="0" y="0"/>
                      <a:ext cx="6477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jc w:val="left"/>
        <w:rPr>
          <w:rFonts w:ascii="微软雅黑" w:hAnsi="微软雅黑" w:eastAsia="微软雅黑" w:cs="微软雅黑"/>
          <w:sz w:val="24"/>
        </w:rPr>
      </w:pPr>
    </w:p>
    <w:p>
      <w:pPr>
        <w:snapToGrid/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 xml:space="preserve">    </w:t>
      </w: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4.1.4  添加扩容机器</w:t>
      </w:r>
    </w:p>
    <w:p>
      <w:pPr>
        <w:pStyle w:val="sqjv1h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 xml:space="preserve"> </w:t>
        <w:tab/>
        <w:t xml:space="preserve">      1）准备各生产组件扩容所需机器资源，参考az1中各组件机器配备，准备一套同样的机器资源，并按要求做好机器初始化，</w:t>
      </w:r>
      <w:r>
        <w:rPr>
          <w:rFonts w:ascii="微软雅黑" w:hAnsi="微软雅黑" w:eastAsia="微软雅黑" w:cs="微软雅黑"/>
          <w:color w:val="FF0000"/>
          <w:sz w:val="24"/>
        </w:rPr>
        <w:t>且consul/es/ctsdb  cvm 跨母机</w:t>
      </w:r>
    </w:p>
    <w:p>
      <w:pPr>
        <w:pStyle w:val="sqjv1h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 xml:space="preserve">             2）在az1中的iplist.csv中，将待扩容机器对应添加到tsf各组件对应字段中，并修改数量</w:t>
      </w:r>
    </w:p>
    <w:p>
      <w:pPr>
        <w:pStyle w:val="sqjv1h"/>
        <w:ind w:leftChars="200" w:firstLineChars="200"/>
        <w:rPr>
          <w:rFonts w:ascii="微软雅黑" w:hAnsi="微软雅黑" w:eastAsia="微软雅黑" w:cs="微软雅黑"/>
          <w:sz w:val="24"/>
        </w:rPr>
      </w:pPr>
      <w:r>
        <w:rPr/>
        <w:drawing>
          <wp:inline distT="0" distB="0" distL="0" distR="0">
            <wp:extent cx="8253730" cy="2138343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21600000">
                      <a:off x="0" y="0"/>
                      <a:ext cx="8253730" cy="21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qjv1h"/>
        <w:ind w:leftChars="200" w:firstLineChars="200"/>
        <w:rPr>
          <w:rFonts w:ascii="微软雅黑" w:hAnsi="微软雅黑" w:eastAsia="微软雅黑" w:cs="微软雅黑"/>
          <w:sz w:val="24"/>
        </w:rPr>
      </w:pPr>
    </w:p>
    <w:p>
      <w:pPr>
        <w:pStyle w:val="sqjv1h"/>
        <w:ind w:leftChars="200" w:firstLineChars="20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3）极光出配置包，下载地址规划模板，然后参考上一步，修改tsf各组件数量，以及添加IP，然后保存，上传规划地址，继续出包</w:t>
      </w:r>
    </w:p>
    <w:p>
      <w:pPr>
        <w:pStyle w:val="sqjv1h"/>
        <w:ind w:firstLineChars="20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 xml:space="preserve">   </w:t>
      </w:r>
      <w:r>
        <w:rPr/>
        <w:drawing>
          <wp:inline distT="0" distB="0" distL="0" distR="0">
            <wp:extent cx="7953375" cy="4705350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21600000">
                      <a:off x="0" y="0"/>
                      <a:ext cx="79533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qjv1h"/>
        <w:ind w:firstLineChars="200"/>
        <w:rPr>
          <w:rFonts w:ascii="微软雅黑" w:hAnsi="微软雅黑" w:eastAsia="微软雅黑" w:cs="微软雅黑"/>
          <w:sz w:val="24"/>
        </w:rPr>
      </w:pPr>
    </w:p>
    <w:p>
      <w:pPr>
        <w:pStyle w:val="sqjv1h"/>
        <w:ind w:leftChars="200" w:firstLineChars="200"/>
        <w:rPr/>
      </w:pPr>
      <w:r>
        <w:rPr/>
        <w:drawing>
          <wp:inline distT="0" distB="0" distL="0" distR="0">
            <wp:extent cx="8863330" cy="8863330"/>
            <wp:effectExtent l="0" t="0" r="0" b="0"/>
            <wp:docPr id="23" name="文本框 lst9go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kaleido refresh iplist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kaleido_config --prepare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leftChars="200" w:firstLineChars="200"/>
        <w:rPr>
          <w:rFonts w:ascii="微软雅黑" w:hAnsi="微软雅黑" w:eastAsia="微软雅黑" w:cs="微软雅黑"/>
          <w:sz w:val="24"/>
        </w:rPr>
      </w:pPr>
    </w:p>
    <w:p>
      <w:pPr>
        <w:snapToGrid/>
        <w:ind w:leftChars="411"/>
        <w:jc w:val="left"/>
        <w:rPr>
          <w:rFonts w:ascii="Cambria" w:hAnsi="Cambria" w:eastAsia="Cambria" w:cs="Cambria"/>
          <w:sz w:val="24"/>
        </w:rPr>
      </w:pPr>
      <w:r>
        <w:rPr>
          <w:rFonts w:ascii="Cambria" w:hAnsi="Cambria" w:eastAsia="Cambria" w:cs="Cambria"/>
          <w:sz w:val="24"/>
        </w:rPr>
        <w:t>3）运营端，基础模块管理，通过新增节点手工添加AZ2 consul 服务器。</w:t>
      </w:r>
    </w:p>
    <w:p>
      <w:pPr>
        <w:snapToGrid/>
        <w:ind w:leftChars="411"/>
        <w:jc w:val="left"/>
        <w:rPr>
          <w:rFonts w:ascii="Cambria" w:hAnsi="Cambria" w:eastAsia="Cambria" w:cs="Cambria"/>
          <w:sz w:val="24"/>
        </w:rPr>
      </w:pPr>
    </w:p>
    <w:p>
      <w:pPr>
        <w:snapToGrid/>
        <w:ind w:leftChars="411"/>
        <w:jc w:val="left"/>
        <w:rPr>
          <w:rFonts w:ascii="Cambria" w:hAnsi="Cambria" w:eastAsia="Cambria" w:cs="Cambria"/>
          <w:sz w:val="24"/>
        </w:rPr>
      </w:pPr>
      <w:r>
        <w:rPr/>
        <w:drawing>
          <wp:inline distT="0" distB="0" distL="0" distR="0">
            <wp:extent cx="8276590" cy="2547876"/>
            <wp:effectExtent l="0" t="0" r="0" b="0"/>
            <wp:docPr id="2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6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21600000">
                      <a:off x="0" y="0"/>
                      <a:ext cx="8276590" cy="25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ind w:leftChars="411"/>
        <w:jc w:val="left"/>
        <w:rPr>
          <w:rFonts w:ascii="Cambria" w:hAnsi="Cambria" w:eastAsia="Cambria" w:cs="Cambria"/>
          <w:sz w:val="24"/>
        </w:rPr>
      </w:pPr>
      <w:r>
        <w:rPr>
          <w:rFonts w:ascii="Cambria" w:hAnsi="Cambria" w:eastAsia="Cambria" w:cs="Cambria"/>
          <w:sz w:val="24"/>
        </w:rPr>
        <w:t>4）机器初始化</w:t>
      </w:r>
    </w:p>
    <w:p>
      <w:pPr>
        <w:snapToGrid/>
        <w:ind w:leftChars="411"/>
        <w:jc w:val="left"/>
        <w:rPr>
          <w:rFonts w:ascii="Cambria" w:hAnsi="Cambria" w:eastAsia="Cambria" w:cs="Cambria"/>
          <w:sz w:val="24"/>
        </w:rPr>
      </w:pPr>
    </w:p>
    <w:p>
      <w:pPr>
        <w:snapToGrid/>
        <w:ind w:leftChars="200" w:firstLineChars="200"/>
        <w:jc w:val="left"/>
        <w:rPr/>
      </w:pPr>
      <w:r>
        <w:rPr/>
        <w:drawing>
          <wp:inline distT="0" distB="0" distL="0" distR="0">
            <wp:extent cx="8863330" cy="8863330"/>
            <wp:effectExtent l="0" t="0" r="0" b="0"/>
            <wp:docPr id="28" name="文本框 d3vmdt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磁盘挂载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mkfs.ext4 /dev/vdb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echo  '/dev/vdb      /data       ext4       noatime,acl,user_xattr 1 2' &gt;&gt; /etc/fstab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mount -a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系统优化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echo  '*               soft    nofile          65535' &gt;&gt; /etc/security/limits.conf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echo  '*               hard    nofile          65535' &gt;&gt; /etc/security/limits.conf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ntp 时间同步配置，参考AZ1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重启机器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reboot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jc w:val="left"/>
        <w:rPr>
          <w:rFonts w:ascii="Cambria" w:hAnsi="Cambria" w:eastAsia="Cambria" w:cs="Cambria"/>
          <w:sz w:val="24"/>
        </w:rPr>
      </w:pP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4.1.5 consul 跨 az 部署</w:t>
      </w:r>
    </w:p>
    <w:p>
      <w:pPr>
        <w:pStyle w:val="sqjv1h"/>
        <w:ind w:firstLineChars="200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 xml:space="preserve">1）consul 组件增加AZ2 机器。 </w:t>
      </w:r>
    </w:p>
    <w:p>
      <w:pPr>
        <w:pStyle w:val="sqjv1h"/>
        <w:ind w:firstLineChars="200"/>
        <w:rPr/>
      </w:pPr>
      <w:r>
        <w:rPr/>
        <w:drawing>
          <wp:inline distT="0" distB="0" distL="0" distR="0">
            <wp:extent cx="8863330" cy="8863330"/>
            <wp:effectExtent l="0" t="0" r="0" b="0"/>
            <wp:docPr id="30" name="文本框 wuukpi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查询consul各组件的module_id，一般为：1，2，3，4，47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use tsfmanager_operation;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select module_id from  tsf_module where module_name like '%consul%';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获取tsf_module_instance表中instance_id最大值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select instance_id from tsf_module_instance;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运营端 添加新增机器到各模块组件，绑定机器与模块的关系 tsf_module_instance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instance_id：上一查询到的instance_id最大值加1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module_id：  查询所得的module_id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machine_id： 步骤1）中添加machine的machine_id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ip：         当前操作机器IP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status       '未部署'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username：  当前待扩容机器ssh登录用户名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PASSWORD：  当前待扩容机器ssh登录密码，上述sql语句中对应的值为默认密码Tcdn@2007经过base64加密后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ssh_port：  当前待扩容机器ssh登录端口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zone_id：   可用区az2 id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zone_name： 创建基础可用区时指定的zone_name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注：consul 有5个组件，扩容三台机器，每台机器需要修改上述sql语句中的instance_id和module_id执行类似的数据插入，故一共需要手动插入15条数据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确认机器账号是否为root，密码是否已改为密文密码：spk4z9YIKWTnYSZMwl+FG0zVLN0bDlselg==，若不是，执行下面sql语句修正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tsf_machine set username="root";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tsf_machine set password="spk4z9YIKWTnYSZMwl+FG0zVLN0bDlselg==";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tsf_module_instance set username="root";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tsf_module_instance set password="spk4z9YIKWTnYSZMwl+FG0zVLN0bDlselg==";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确认tsf_module_instance表中机器 zone 信息，az1的机器和az2机器的zone_id要一一对应，若不满足，则需要参考下面sql语句修改机器的zone_id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tsf_module_instance set zone_id = '50010001',zone_name = 'gzpyidc' where `ip` = "ip1";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双AZ 部署按如下操作，consul 【az1 2master】 + 【az2 1master+2slave】，仲裁区模式参考文档：https://docs.qq.com/doc/DTWhsaERqWXpaRVdM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consul 模块需要修改角色，要确保tsf-consul-authen、 tsf-consul-config、 tsf-consul-register 3个模块状态为az1两台，az2一台，节点类型都是master；az2的3台，一台 master，两台 slave，参考下面sql语句，分别对三个组件进行修改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tsf_module_instance set module_role = 'master' where module_id ='2' and ip = '10.201.11.15' limit 1;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firstLineChars="200"/>
        <w:rPr>
          <w:rFonts w:ascii="微软雅黑" w:hAnsi="微软雅黑" w:eastAsia="微软雅黑" w:cs="微软雅黑"/>
          <w:b w:val="false"/>
          <w:sz w:val="24"/>
        </w:rPr>
      </w:pPr>
    </w:p>
    <w:p>
      <w:pPr>
        <w:pStyle w:val="sqjv1h"/>
        <w:ind w:firstLineChars="200"/>
        <w:rPr>
          <w:rFonts w:ascii="微软雅黑" w:hAnsi="微软雅黑" w:eastAsia="微软雅黑" w:cs="微软雅黑"/>
          <w:b w:val="false"/>
          <w:sz w:val="24"/>
        </w:rPr>
      </w:pPr>
      <w:r>
        <w:rPr>
          <w:rFonts w:ascii="微软雅黑" w:hAnsi="微软雅黑" w:eastAsia="微软雅黑" w:cs="微软雅黑"/>
          <w:b w:val="false"/>
          <w:sz w:val="24"/>
        </w:rPr>
        <w:t>2）部署az2 master</w:t>
      </w:r>
    </w:p>
    <w:p>
      <w:pPr>
        <w:pStyle w:val="sqjv1h"/>
        <w:rPr>
          <w:rFonts w:ascii="Helvetica Neue" w:hAnsi="Helvetica Neue" w:eastAsia="Helvetica Neue" w:cs="Helvetica Neue"/>
          <w:b w:val="false"/>
          <w:i w:val="false"/>
          <w:color w:val="333333"/>
          <w:spacing w:val="0"/>
          <w:sz w:val="24"/>
          <w:shd w:val="clear" w:color="auto" w:fill="FFFFFF"/>
        </w:rPr>
      </w:pPr>
    </w:p>
    <w:p>
      <w:pPr>
        <w:pStyle w:val="sqjv1h"/>
        <w:ind w:firstLineChars="200"/>
        <w:rPr>
          <w:rFonts w:ascii="微软雅黑" w:hAnsi="微软雅黑" w:eastAsia="微软雅黑" w:cs="微软雅黑"/>
          <w:color w:val="333333"/>
          <w:sz w:val="24"/>
          <w:shd w:val="clear" w:color="auto" w:fill="FFFFFF"/>
        </w:rPr>
      </w:pPr>
      <w:r>
        <w:rPr>
          <w:rFonts w:ascii="Helvetica Neue" w:hAnsi="Helvetica Neue" w:eastAsia="Helvetica Neue" w:cs="Helvetica Neue"/>
          <w:b w:val="false"/>
          <w:i w:val="false"/>
          <w:color w:val="333333"/>
          <w:spacing w:val="0"/>
          <w:sz w:val="24"/>
          <w:shd w:val="clear" w:color="auto" w:fill="FFFFFF"/>
        </w:rPr>
        <w:t>从az1的</w:t>
      </w:r>
      <w:r>
        <w:rPr>
          <w:rFonts w:ascii="微软雅黑" w:hAnsi="微软雅黑" w:eastAsia="微软雅黑" w:cs="微软雅黑"/>
          <w:color w:val="333333"/>
          <w:sz w:val="24"/>
          <w:shd w:val="clear" w:color="auto" w:fill="FFFFFF"/>
        </w:rPr>
        <w:t>ocloud-tsf-manager-operation</w:t>
      </w:r>
      <w:r>
        <w:rPr>
          <w:rFonts w:ascii="微软雅黑" w:hAnsi="微软雅黑" w:eastAsia="微软雅黑" w:cs="微软雅黑"/>
          <w:b w:val="false"/>
          <w:color w:val="333333"/>
          <w:sz w:val="24"/>
          <w:shd w:val="clear" w:color="auto" w:fill="FFFFFF"/>
        </w:rPr>
        <w:t>容器获取</w:t>
      </w:r>
      <w:r>
        <w:rPr>
          <w:rFonts w:ascii="微软雅黑" w:hAnsi="微软雅黑" w:eastAsia="微软雅黑" w:cs="微软雅黑"/>
          <w:color w:val="333333"/>
          <w:sz w:val="24"/>
          <w:shd w:val="clear" w:color="auto" w:fill="FFFFFF"/>
        </w:rPr>
        <w:t>tsf-consul</w:t>
      </w:r>
      <w:r>
        <w:rPr>
          <w:rFonts w:ascii="微软雅黑" w:hAnsi="微软雅黑" w:eastAsia="微软雅黑" w:cs="微软雅黑"/>
          <w:b w:val="false"/>
          <w:color w:val="333333"/>
          <w:sz w:val="24"/>
          <w:shd w:val="clear" w:color="auto" w:fill="FFFFFF"/>
        </w:rPr>
        <w:t>物料，路径为：</w:t>
      </w:r>
      <w:r>
        <w:rPr>
          <w:rFonts w:ascii="微软雅黑" w:hAnsi="微软雅黑" w:eastAsia="微软雅黑" w:cs="微软雅黑"/>
          <w:color w:val="333333"/>
          <w:sz w:val="24"/>
          <w:shd w:val="clear" w:color="auto" w:fill="FFFFFF"/>
        </w:rPr>
        <w:t>/</w:t>
      </w:r>
      <w:r>
        <w:rPr>
          <w:rFonts w:ascii="微软雅黑" w:hAnsi="微软雅黑" w:eastAsia="微软雅黑" w:cs="微软雅黑"/>
          <w:color w:val="333333"/>
          <w:sz w:val="24"/>
          <w:shd w:val="clear" w:color="auto" w:fill="FFFFFF"/>
        </w:rPr>
        <w:t>data</w:t>
      </w:r>
      <w:r>
        <w:rPr>
          <w:rFonts w:ascii="微软雅黑" w:hAnsi="微软雅黑" w:eastAsia="微软雅黑" w:cs="微软雅黑"/>
          <w:color w:val="333333"/>
          <w:sz w:val="24"/>
          <w:shd w:val="clear" w:color="auto" w:fill="FFFFFF"/>
        </w:rPr>
        <w:t>/repository/tsf，将物料传到部署机，目录为和az1中该组件安装目录保持一致，一般默认目录为：</w:t>
      </w:r>
      <w:r>
        <w:rPr>
          <w:rFonts w:ascii="微软雅黑" w:hAnsi="微软雅黑" w:eastAsia="微软雅黑" w:cs="微软雅黑"/>
          <w:color w:val="333333"/>
          <w:shd w:val="clear" w:color="auto" w:fill="FFFFFF"/>
        </w:rPr>
        <w:t>/</w:t>
      </w:r>
      <w:r>
        <w:rPr>
          <w:rFonts w:ascii="微软雅黑" w:hAnsi="微软雅黑" w:eastAsia="微软雅黑" w:cs="微软雅黑"/>
          <w:color w:val="333333"/>
          <w:shd w:val="clear" w:color="auto" w:fill="FFFFFF"/>
        </w:rPr>
        <w:t>data</w:t>
      </w:r>
      <w:r>
        <w:rPr>
          <w:rFonts w:ascii="微软雅黑" w:hAnsi="微软雅黑" w:eastAsia="微软雅黑" w:cs="微软雅黑"/>
          <w:color w:val="333333"/>
          <w:shd w:val="clear" w:color="auto" w:fill="FFFFFF"/>
        </w:rPr>
        <w:t>/tsf</w:t>
      </w:r>
    </w:p>
    <w:p>
      <w:pPr>
        <w:pStyle w:val="sqjv1h"/>
        <w:ind w:firstLineChars="200"/>
        <w:rPr>
          <w:rFonts w:ascii="微软雅黑" w:hAnsi="微软雅黑" w:eastAsia="微软雅黑" w:cs="微软雅黑"/>
          <w:b w:val="false"/>
          <w:color w:val="333333"/>
          <w:sz w:val="24"/>
          <w:shd w:val="clear" w:color="auto" w:fill="FFFFFF"/>
        </w:rPr>
      </w:pPr>
    </w:p>
    <w:p>
      <w:pPr>
        <w:pStyle w:val="sqjv1h"/>
        <w:ind w:firstLineChars="200"/>
        <w:rPr>
          <w:rFonts w:ascii="微软雅黑" w:hAnsi="微软雅黑" w:eastAsia="微软雅黑" w:cs="微软雅黑"/>
          <w:b w:val="false"/>
          <w:sz w:val="24"/>
        </w:rPr>
      </w:pPr>
      <w:r>
        <w:rPr>
          <w:rFonts w:ascii="微软雅黑" w:hAnsi="微软雅黑" w:eastAsia="微软雅黑" w:cs="微软雅黑"/>
          <w:b w:val="false"/>
          <w:sz w:val="24"/>
        </w:rPr>
        <w:t>下面假设az1为主可用区，az2为备可用区</w:t>
      </w:r>
    </w:p>
    <w:p>
      <w:pPr>
        <w:pStyle w:val="sqjv1h"/>
        <w:ind w:leftChars="200" w:firstLineChars="200"/>
        <w:rPr>
          <w:rFonts w:ascii="微软雅黑" w:hAnsi="微软雅黑" w:eastAsia="微软雅黑" w:cs="微软雅黑"/>
          <w:b w:val="false"/>
          <w:sz w:val="24"/>
        </w:rPr>
      </w:pPr>
      <w:r>
        <w:rPr>
          <w:rFonts w:ascii="微软雅黑" w:hAnsi="微软雅黑" w:eastAsia="微软雅黑" w:cs="微软雅黑"/>
          <w:b w:val="false"/>
          <w:sz w:val="24"/>
        </w:rPr>
        <w:t>ip1,ip5为az1的两个master</w:t>
      </w:r>
    </w:p>
    <w:p>
      <w:pPr>
        <w:pStyle w:val="sqjv1h"/>
        <w:ind w:leftChars="200" w:firstLineChars="200"/>
        <w:rPr>
          <w:rFonts w:ascii="微软雅黑" w:hAnsi="微软雅黑" w:eastAsia="微软雅黑" w:cs="微软雅黑"/>
          <w:b w:val="false"/>
          <w:sz w:val="24"/>
        </w:rPr>
      </w:pPr>
      <w:r>
        <w:rPr>
          <w:rFonts w:ascii="微软雅黑" w:hAnsi="微软雅黑" w:eastAsia="微软雅黑" w:cs="微软雅黑"/>
          <w:b w:val="false"/>
          <w:sz w:val="24"/>
        </w:rPr>
        <w:t>ip2,ip3为az2的两个slave</w:t>
      </w:r>
    </w:p>
    <w:p>
      <w:pPr>
        <w:pStyle w:val="sqjv1h"/>
        <w:ind w:leftChars="200" w:firstLineChars="200"/>
        <w:rPr>
          <w:rFonts w:ascii="微软雅黑" w:hAnsi="微软雅黑" w:eastAsia="微软雅黑" w:cs="微软雅黑"/>
          <w:b w:val="false"/>
          <w:sz w:val="24"/>
        </w:rPr>
      </w:pPr>
      <w:r>
        <w:rPr>
          <w:rFonts w:ascii="微软雅黑" w:hAnsi="微软雅黑" w:eastAsia="微软雅黑" w:cs="微软雅黑"/>
          <w:b w:val="false"/>
          <w:sz w:val="24"/>
        </w:rPr>
        <w:t>ip4为az2的一个master</w:t>
      </w:r>
    </w:p>
    <w:p>
      <w:pPr>
        <w:pStyle w:val="sqjv1h"/>
        <w:ind w:firstLineChars="200"/>
        <w:rPr>
          <w:rFonts w:ascii="微软雅黑" w:hAnsi="微软雅黑" w:eastAsia="微软雅黑" w:cs="微软雅黑"/>
          <w:b w:val="false"/>
          <w:sz w:val="24"/>
        </w:rPr>
      </w:pPr>
    </w:p>
    <w:p>
      <w:pPr>
        <w:pStyle w:val="sqjv1h"/>
        <w:ind w:firstLineChars="200"/>
        <w:rPr>
          <w:rFonts w:ascii="微软雅黑" w:hAnsi="微软雅黑" w:eastAsia="微软雅黑" w:cs="微软雅黑"/>
          <w:b w:val="false"/>
          <w:sz w:val="24"/>
        </w:rPr>
      </w:pPr>
    </w:p>
    <w:p>
      <w:pPr>
        <w:pStyle w:val="sqjv1h"/>
        <w:ind w:firstLineChars="200"/>
        <w:rPr>
          <w:rFonts w:ascii="微软雅黑" w:hAnsi="微软雅黑" w:eastAsia="微软雅黑" w:cs="微软雅黑"/>
          <w:b w:val="false"/>
          <w:sz w:val="24"/>
        </w:rPr>
      </w:pPr>
      <w:r>
        <w:rPr>
          <w:rFonts w:ascii="Helvetica Neue" w:hAnsi="Helvetica Neue" w:eastAsia="Helvetica Neue" w:cs="Helvetica Neue"/>
          <w:b w:val="false"/>
          <w:i w:val="false"/>
          <w:color w:val="333333"/>
          <w:spacing w:val="0"/>
          <w:sz w:val="24"/>
          <w:shd w:val="clear" w:color="auto" w:fill="FFFFFF"/>
        </w:rPr>
        <w:t>tsf tsf consul authen</w:t>
      </w:r>
      <w:r>
        <w:rPr>
          <w:rFonts w:ascii="Helvetica Neue" w:hAnsi="Helvetica Neue" w:eastAsia="Helvetica Neue" w:cs="Helvetica Neue"/>
          <w:b w:val="false"/>
          <w:i w:val="false"/>
          <w:color w:val="333333"/>
          <w:spacing w:val="0"/>
          <w:sz w:val="24"/>
          <w:shd w:val="clear" w:color="auto" w:fill="FFFFFF"/>
        </w:rPr>
        <w:t>，consul reigster，tsf consul config</w:t>
      </w:r>
      <w:r>
        <w:rPr>
          <w:rFonts w:ascii="Helvetica Neue" w:hAnsi="Helvetica Neue" w:eastAsia="Helvetica Neue" w:cs="Helvetica Neue"/>
          <w:b w:val="false"/>
          <w:color w:val="333333"/>
          <w:spacing w:val="0"/>
          <w:sz w:val="24"/>
          <w:shd w:val="clear" w:color="auto" w:fill="FFFFFF"/>
        </w:rPr>
        <w:t xml:space="preserve"> </w:t>
      </w:r>
      <w:r>
        <w:rPr>
          <w:rFonts w:ascii="Helvetica Neue" w:hAnsi="Helvetica Neue" w:eastAsia="Helvetica Neue" w:cs="Helvetica Neue"/>
          <w:b w:val="false"/>
          <w:i w:val="false"/>
          <w:color w:val="333333"/>
          <w:spacing w:val="0"/>
          <w:sz w:val="24"/>
          <w:shd w:val="clear" w:color="auto" w:fill="FFFFFF"/>
        </w:rPr>
        <w:t>三个组件均需要分别处理，以tsf consul reigster为例，步骤如下，另外两组件类似：</w:t>
      </w:r>
    </w:p>
    <w:p>
      <w:pPr>
        <w:pStyle w:val="sqjv1h"/>
        <w:ind w:firstLineChars="200"/>
        <w:rPr/>
      </w:pPr>
      <w:r>
        <w:rPr/>
        <w:drawing>
          <wp:inline distT="0" distB="0" distL="0" distR="0">
            <wp:extent cx="8863330" cy="8863330"/>
            <wp:effectExtent l="0" t="0" r="0" b="0"/>
            <wp:docPr id="32" name="文本框 avruua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安装前先在az1任意一个consul节点中set一个key/value，测试consul集群是否正常，若无报错返回，则视为正常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 -X PUT --data "test2233" http://ip1:8050/v1/kv/foo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安装az2的master节点,ip4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进入如下目录，实际路径参考az1对应组件和视当前处理组件而定，一般应该为/data/tsf/tsf-consul...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/>
                          <w:t>data</w:t>
                        </w:r>
                        <w:r>
                          <w:rPr/>
                          <w:t>/tsf/tsf-consul/tsf-consul-register/tsf-consul-register-v1.23.0/bin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chmod +x ./install.sh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mv recover_config.json.default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zone1,zone2 和 tsf_machine 表zone_id 保持一致。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./install.sh -local_ip ip4 -mysql_password mysqlPWD -mysql_vport mysqlPort -mysql_vip mysqlVIP -ips ip1,ip2,ip3,ip4,ip5 -idcs zone1,zone2,zone2,zone2,zone1 -roles master,slave,slave,master,master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sed -i "s/登录密码/ssh_pwd/"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sed -i "s/登录端口/ssh_port/"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sed -i "s/用户名/ssh_user/"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./postProcess.sh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查看是否加入集群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sh cluster_health.sh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连接数据库实例22005，设置当前节点ip不可用：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tsf_core.consul_server set used=0 where ip="ip4" and port=8050 limit 1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firstLineChars="200"/>
        <w:rPr>
          <w:rFonts w:ascii="微软雅黑" w:hAnsi="微软雅黑" w:eastAsia="微软雅黑" w:cs="微软雅黑"/>
          <w:b w:val="false"/>
          <w:sz w:val="24"/>
        </w:rPr>
      </w:pPr>
    </w:p>
    <w:p>
      <w:pPr>
        <w:snapToGrid w:val="false"/>
        <w:spacing w:before="0" w:after="240" w:line="240" w:lineRule="auto"/>
        <w:ind w:firstLineChars="200"/>
        <w:rPr>
          <w:rFonts w:ascii="Helvetica Neue" w:hAnsi="Helvetica Neue" w:eastAsia="Helvetica Neue" w:cs="Helvetica Neue"/>
          <w:b w:val="false"/>
          <w:i w:val="false"/>
          <w:color w:val="333333"/>
          <w:spacing w:val="0"/>
          <w:sz w:val="24"/>
          <w:shd w:val="clear" w:color="auto" w:fill="FFFFFF"/>
        </w:rPr>
      </w:pPr>
      <w:r>
        <w:rPr>
          <w:rFonts w:ascii="Helvetica Neue" w:hAnsi="Helvetica Neue" w:eastAsia="Helvetica Neue" w:cs="Helvetica Neue"/>
          <w:b w:val="false"/>
          <w:i w:val="false"/>
          <w:color w:val="333333"/>
          <w:spacing w:val="0"/>
          <w:sz w:val="24"/>
          <w:shd w:val="clear" w:color="auto" w:fill="FFFFFF"/>
        </w:rPr>
        <w:t>上面操作完成后需要检查点：</w:t>
      </w:r>
    </w:p>
    <w:p>
      <w:pPr>
        <w:snapToGrid w:val="false"/>
        <w:spacing w:before="0" w:after="240" w:line="240" w:lineRule="auto"/>
        <w:ind w:firstLineChars="200"/>
        <w:rPr/>
      </w:pPr>
      <w:r>
        <w:rPr/>
        <w:drawing>
          <wp:inline distT="0" distB="0" distL="0" distR="0">
            <wp:extent cx="8863330" cy="8863330"/>
            <wp:effectExtent l="0" t="0" r="0" b="0"/>
            <wp:docPr id="34" name="文本框 q5yqfv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param.properties文件中数据是否符合预期，特别是其中tsf-mysql.password要正确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recover_config.json文件中数据是否符合预期，特别是zone和master是否标记对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 http://ip4:8050/v1/status/peers 返回的ip是否是4个正在运行的节点ip？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 http://ip4:8050/v1/status/leader 返回的ip是否是当前的leader？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如果上面的结果返回的是空或者是空的列表需要执行: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./make_cluster.sh leader_ip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 看返回的结果是否为"test2233"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 http://ip4:8050/v1/kv/foo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查看最新的log/consul-xxx.log日志（时间戳最新的为准）是否有error报错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检查没问题后，进入mysql，设置当前节点ip可用并接流：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tsf_core.consul_server set used=1 where ip="ip4" and port=8050 limit 1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移除和停止az1中的一个节点,非leader节点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进入mysql，设置待移除节点ip不可用并停止接流：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tsf_core.consul_server set used=0 where ip="xxx.xxx.xxx.xxx" and port=8050 limit 1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登录待移除节点，然后进入目录，具体路径视当前处理的组件而定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/>
                          <w:t>data</w:t>
                        </w:r>
                        <w:r>
                          <w:rPr/>
                          <w:t>/tsf/tsf-consul/tsf-consul-register/tsf-consul-register-v1.23.0/bin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./leave.sh &amp; ./stop.sh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移除完成后查看是否移除成功：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 http://ip4:port/v1/status/peers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等待1分钟后查看leader是否自动切到了ip4（zone2的master）上，如果没切需要执行手动切：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 -v "http://ip4:8050/v1/operator/raft/transfer?address=ip4:8054" -X POST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 w:val="false"/>
        <w:spacing w:before="0" w:after="240" w:line="240" w:lineRule="auto"/>
        <w:ind w:firstLineChars="200"/>
        <w:rPr/>
      </w:pPr>
    </w:p>
    <w:p>
      <w:pPr>
        <w:snapToGrid w:val="false"/>
        <w:spacing w:before="0" w:after="240" w:line="240" w:lineRule="auto"/>
        <w:ind w:firstLineChars="200"/>
        <w:rPr>
          <w:sz w:val="24"/>
        </w:rPr>
      </w:pPr>
      <w:r>
        <w:rPr>
          <w:sz w:val="24"/>
        </w:rPr>
        <w:t>3）安装az2的两个slave节点,ip2,ip3(下面以ip2为例，ip3同)</w:t>
      </w:r>
    </w:p>
    <w:p>
      <w:pPr>
        <w:snapToGrid w:val="false"/>
        <w:spacing w:before="0" w:after="240" w:line="240" w:lineRule="auto"/>
        <w:ind w:firstLineChars="200"/>
        <w:rPr/>
      </w:pPr>
      <w:r>
        <w:rPr/>
        <w:drawing>
          <wp:inline distT="0" distB="0" distL="0" distR="0">
            <wp:extent cx="8863330" cy="8863330"/>
            <wp:effectExtent l="0" t="0" r="0" b="0"/>
            <wp:docPr id="36" name="文本框 yv7iph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进入如下目录，实际路径参考az1对应组件和视当前处理组件而定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/>
                          <w:t>data</w:t>
                        </w:r>
                        <w:r>
                          <w:rPr/>
                          <w:t>/tsf/tsf-consul/tsf-consul-register/tsf-consul-register-v1.23.0/bin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chmod +x ./install.sh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zone1,zone2 和 tsf_machine 表zone_id 保持一致。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./install.sh -local_ip ip2 -mysql_password mysqlPWD -mysql_vport mysqlPort -mysql_vip mysqlVIP -ips ip1,ip2,ip3,ip4,ip5 -idcs zone1,zone2,zone2,zone2,zone1 -roles master,slave,slave,master,master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mv recover_config.json.default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sed -i "s/登录密码/ssh_pwd/"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sed -i "s/登录端口/ssh_port/"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sed -i "s/用户名/ssh_user/"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./postProcess.sh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查看是否加入集群，slave节点如下返回为空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sh cluster_health.sh 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进入mysql，设置当前节点ip不可用并停止接流：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tsf_core.consul_server set used=0 where ip="ip2" and port=8050 limit 1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操作完成后需要检查点：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param.properties文件中数据是否符合预期，特别是其中tsf-mysql.password要正确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recover_config.json数据是否符合预期，特别是zone和master是否标记对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 http://ip4:8050/v1/status/peers 返回的ip是否是空(空列表是预期的结果)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 http://ip4:8050/v1/status/leader 返回的ip是否是空(空是预期的结果)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查看最新的log/consul-xxx.log日志（时间戳最新的为准）是否有error报错,如果有agent: failed to sync remote state: No cluster leader这种报错是正常的（预期的结果）！但是如果有连接数据库失败的报错则是不正常的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 w:val="false"/>
        <w:spacing w:before="0" w:after="240" w:line="240" w:lineRule="auto"/>
        <w:ind w:leftChars="200" w:firstLineChars="200"/>
        <w:rPr/>
      </w:pPr>
    </w:p>
    <w:p>
      <w:pPr>
        <w:snapToGrid w:val="false"/>
        <w:spacing w:before="0" w:after="0" w:line="240" w:lineRule="auto"/>
        <w:ind w:firstLineChars="200"/>
        <w:rPr>
          <w:rFonts w:ascii="Helvetica Neue" w:hAnsi="Helvetica Neue" w:eastAsia="Helvetica Neue" w:cs="Helvetica Neue"/>
          <w:b w:val="false"/>
          <w:i w:val="false"/>
          <w:color w:val="333333"/>
          <w:spacing w:val="0"/>
          <w:sz w:val="24"/>
          <w:shd w:val="clear" w:color="auto" w:fill="FFFFFF"/>
        </w:rPr>
      </w:pPr>
      <w:r>
        <w:rPr>
          <w:sz w:val="24"/>
        </w:rPr>
        <w:t>4）</w:t>
      </w:r>
      <w:r>
        <w:rPr>
          <w:rFonts w:ascii="Helvetica Neue" w:hAnsi="Helvetica Neue" w:eastAsia="Helvetica Neue" w:cs="Helvetica Neue"/>
          <w:b w:val="false"/>
          <w:i w:val="false"/>
          <w:color w:val="333333"/>
          <w:spacing w:val="0"/>
          <w:sz w:val="24"/>
          <w:shd w:val="clear" w:color="auto" w:fill="FFFFFF"/>
        </w:rPr>
        <w:t>重新安装az1的两个master节点,ip1,ip5(下面以ip1为例，ip5同)</w:t>
      </w:r>
    </w:p>
    <w:p>
      <w:pPr>
        <w:snapToGrid w:val="false"/>
        <w:spacing w:before="0" w:after="0" w:line="240" w:lineRule="auto"/>
        <w:ind w:firstLineChars="200"/>
        <w:rPr>
          <w:sz w:val="24"/>
        </w:rPr>
      </w:pPr>
      <w:r>
        <w:rPr/>
        <w:drawing>
          <wp:inline distT="0" distB="0" distL="0" distR="0">
            <wp:extent cx="8863330" cy="8863330"/>
            <wp:effectExtent l="0" t="0" r="0" b="0"/>
            <wp:docPr id="38" name="文本框 14fvmi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连接数据库实例22005，设置当前节点ip不可用并停止接流：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tsf_core.consul_server set used=0 where ip="ip1" and port=8050 limit 1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登录当前处理节点，进入目录，视当前处理组件而定，如tsf consul register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/>
                          <w:t>data</w:t>
                        </w:r>
                        <w:r>
                          <w:rPr/>
                          <w:t>/tsf/tsf-consul/tsf-consul-register/tsf-consul-register-v1.23.0/bin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./stop.sh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备份当前整个tsf consul register根目录(包扩bin和data目录)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cp /</w:t>
                        </w:r>
                        <w:r>
                          <w:rPr/>
                          <w:t>data</w:t>
                        </w:r>
                        <w:r>
                          <w:rPr/>
                          <w:t>/tsf/tsf-consul/tsf-consul-register/ 自定义目录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卸载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./uninstall.sh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rm -rf ../data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zone1,zone2 和 tsf_machine 表zone_id 保持一致。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./install.sh -local_ip ip1 -mysql_password mysqlPWD -mysql_vport mysqlPort -mysql_vip mysqlVIP -ips ip1,ip2,ip3,ip4,ip5 -idcs zone1,zone2,zone2,zone2,zone1 -roles master,slave,slave,master,master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mv recover_config.json.default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sed -i "s/登录密码/ssh_pwd/"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sed -i "s/登录端口/ssh_port/"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sed -i "s/用户名/ssh_user/" recover_config.json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./postProcess.sh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查看是否加入集群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sh cluster_health.sh 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操作完成后需要检查点：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param.properties文件中数据是否符合预期，特别是其中tsf-mysql.password要正确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recover_config.json数据是否符合预期，特别是zone和master是否标记对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 http://ip4:8050/v1/status/peers 返回的ip是否是4个正在运行的节点ip？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 http://ip4:8050/v1/status/leader 返回的ip是否是当前的leader？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如果上面的结果返回的是空或者是空的列表需要执行./make_cluster.sh leader_ip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 http://ip4:8050/v1/kv/foo 看返回的结果是否为"test2233"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查看最新的log/consul-xxx.log日志（时间戳最新的为准）是否有error报错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上面的检查没问题后，进入mysql，设置当前节点ip可用并接流：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update tsf_core.consul_server set used=1 where ip="ip1" and port=8050 limit 1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 w:val="false"/>
        <w:spacing w:before="0" w:after="240" w:line="240" w:lineRule="auto"/>
        <w:ind w:firstLineChars="200"/>
        <w:rPr>
          <w:sz w:val="24"/>
        </w:rPr>
      </w:pPr>
    </w:p>
    <w:p>
      <w:pPr>
        <w:snapToGrid w:val="false"/>
        <w:spacing w:before="0" w:after="240" w:line="240" w:lineRule="auto"/>
        <w:ind w:firstLineChars="200"/>
        <w:rPr>
          <w:sz w:val="24"/>
        </w:rPr>
      </w:pPr>
      <w:r>
        <w:rPr>
          <w:sz w:val="24"/>
        </w:rPr>
        <w:t>5）tsf consul三个组件变更完成后，查看mysql的tsf_core库中consul_server表中used字段是否设置正确：used=1的应当为ip1，ip4，ip5（也就是三个master）其他两个slave节点都应该是used=0！！！！如果不是，修改正确。</w:t>
      </w:r>
    </w:p>
    <w:p>
      <w:pPr>
        <w:snapToGrid w:val="false"/>
        <w:spacing w:before="0" w:after="240" w:line="240" w:lineRule="auto"/>
        <w:ind w:firstLineChars="200"/>
        <w:rPr>
          <w:sz w:val="24"/>
        </w:rPr>
      </w:pPr>
      <w:r>
        <w:rPr/>
        <w:drawing>
          <wp:inline distT="0" distB="0" distL="0" distR="0">
            <wp:extent cx="8863330" cy="8863330"/>
            <wp:effectExtent l="0" t="0" r="0" b="0"/>
            <wp:docPr id="40" name="文本框 nqws8e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检查3个master节点是否加入集群，slave 不在集群中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>
                            <w:rStyle w:val="tann6f"/>
                          </w:rPr>
                          <w:t>data</w:t>
                        </w:r>
                        <w:r>
                          <w:rPr/>
                          <w:t>/tsf/tsf-consul/tsf-consul-register/tsf-consul-register-v1.23.0/bin &amp;&amp; ./cluster_health.sh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>
                            <w:rStyle w:val="tann6f"/>
                          </w:rPr>
                          <w:t>data</w:t>
                        </w:r>
                        <w:r>
                          <w:rPr/>
                          <w:t>/tsf/tsf-consul/tsf-consul-config/tsf-consul-config-v1.23.0/bin &amp;&amp; ./cluster_health.sh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</w:t>
                        </w:r>
                        <w:r>
                          <w:rPr>
                            <w:rStyle w:val="tann6f"/>
                          </w:rPr>
                          <w:t>data</w:t>
                        </w:r>
                        <w:r>
                          <w:rPr/>
                          <w:t>/tsf/tsf-consul/tsf-consul-authen/tsf-consul-authen-v1.23.0/bin &amp;&amp; ./cluster_health.sh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pBdr/>
        <w:ind w:firstLineChars="200"/>
        <w:rPr>
          <w:rFonts w:ascii="微软雅黑" w:hAnsi="微软雅黑" w:eastAsia="微软雅黑" w:cs="微软雅黑"/>
          <w:b w:val="false"/>
          <w:sz w:val="24"/>
        </w:rPr>
      </w:pPr>
      <w:r>
        <w:rPr>
          <w:rFonts w:ascii="微软雅黑" w:hAnsi="微软雅黑" w:eastAsia="微软雅黑" w:cs="微软雅黑"/>
          <w:b w:val="false"/>
          <w:sz w:val="24"/>
        </w:rPr>
        <w:t>consul 双AZ+仲裁节点参考：</w:t>
      </w:r>
    </w:p>
    <w:p>
      <w:pPr>
        <w:pStyle w:val="sqjv1h"/>
        <w:pBdr/>
        <w:ind w:firstLineChars="200"/>
        <w:rPr>
          <w:rFonts w:ascii="微软雅黑" w:hAnsi="微软雅黑" w:eastAsia="微软雅黑" w:cs="微软雅黑"/>
          <w:b w:val="false"/>
          <w:sz w:val="24"/>
        </w:rPr>
      </w:pPr>
      <w:r>
        <w:rPr>
          <w:rStyle w:val="0880vb"/>
          <w:color/>
        </w:rPr>
        <w:fldChar w:fldCharType="begin"/>
      </w:r>
      <w:r>
        <w:rPr>
          <w:rStyle w:val="0880vb"/>
          <w:color/>
        </w:rPr>
        <w:instrText>HYPERLINK https://doc.weixin.qq.com/doc/w3_m_MhlhDjYzZEWL?scode=AJEAIQdfAAoqyhv0HlAB8AlQZAACs docLink \tdft Doc \tdfe 0 \tdfid i.1970325010981265.1688850585916703_w3.MhlhDjYzZEWL \tdlt inline \tdlf FromPaste \l \tdsub docLink \tdkey oz7fcb</w:instrText>
      </w:r>
      <w:r>
        <w:rPr>
          <w:rStyle w:val="0880vb"/>
          <w:color/>
        </w:rPr>
        <w:fldChar w:fldCharType="separate"/>
      </w:r>
      <w:r>
        <w:rPr>
          <w:rStyle w:val="0880vb"/>
          <w:color/>
        </w:rPr>
        <w:t>TSF双az加仲裁区方案</w:t>
      </w:r>
      <w:r>
        <w:rPr>
          <w:rStyle w:val="0880vb"/>
          <w:color/>
        </w:rPr>
        <w:fldChar w:fldCharType="end"/>
      </w:r>
    </w:p>
    <w:p>
      <w:pPr>
        <w:numPr/>
        <w:pBdr/>
        <w:snapToGrid w:val="false"/>
        <w:spacing w:before="0" w:after="240" w:line="240" w:lineRule="auto"/>
        <w:ind w:firstLineChars="200"/>
        <w:rPr>
          <w:sz w:val="24"/>
        </w:rPr>
      </w:pPr>
      <w:r>
        <w:rPr>
          <w:sz w:val="24"/>
        </w:rPr>
        <w:t>6）备AZ新增节点安装consul-access 组件</w:t>
      </w:r>
    </w:p>
    <w:p>
      <w:pPr>
        <w:numPr/>
        <w:pBdr/>
        <w:snapToGrid w:val="false"/>
        <w:spacing w:before="0" w:after="240" w:line="240" w:lineRule="auto"/>
        <w:ind w:firstLineChars="200"/>
        <w:rPr>
          <w:b w:val="false"/>
          <w:i w:val="false"/>
          <w:strike w:val="false"/>
          <w:spacing w:val="0"/>
          <w:sz w:val="24"/>
          <w:u w:val="none"/>
        </w:rPr>
      </w:pPr>
      <w:r>
        <w:rPr>
          <w:sz w:val="24"/>
        </w:rPr>
        <w:t>方案1：</w:t>
      </w:r>
      <w:r>
        <w:rPr>
          <w:b w:val="false"/>
          <w:i w:val="false"/>
          <w:strike w:val="false"/>
          <w:spacing w:val="0"/>
          <w:sz w:val="24"/>
          <w:u w:val="none"/>
        </w:rPr>
        <w:t>走运营端</w:t>
      </w:r>
      <w:r>
        <w:rPr>
          <w:b w:val="false"/>
          <w:strike w:val="false"/>
          <w:spacing w:val="0"/>
          <w:sz w:val="24"/>
          <w:u w:val="none"/>
        </w:rPr>
        <w:t>，</w:t>
      </w:r>
      <w:r>
        <w:rPr>
          <w:b w:val="false"/>
          <w:i w:val="false"/>
          <w:strike w:val="false"/>
          <w:spacing w:val="0"/>
          <w:sz w:val="24"/>
          <w:u w:val="none"/>
        </w:rPr>
        <w:t>在运营端安装tsf consul access</w:t>
      </w:r>
    </w:p>
    <w:p>
      <w:pPr>
        <w:numPr/>
        <w:pBdr/>
        <w:snapToGrid w:val="false"/>
        <w:spacing w:before="0" w:after="240" w:line="240" w:lineRule="auto"/>
        <w:ind w:firstLineChars="200"/>
        <w:rPr>
          <w:b w:val="false"/>
          <w:strike w:val="false"/>
          <w:spacing w:val="0"/>
          <w:sz w:val="24"/>
          <w:u w:val="none"/>
        </w:rPr>
      </w:pPr>
    </w:p>
    <w:p>
      <w:pPr>
        <w:numPr/>
        <w:pBdr/>
        <w:snapToGrid w:val="false"/>
        <w:spacing w:before="0" w:after="240" w:line="240" w:lineRule="auto"/>
        <w:ind w:firstLineChars="200"/>
        <w:rPr>
          <w:sz w:val="24"/>
        </w:rPr>
      </w:pPr>
      <w:r>
        <w:rPr>
          <w:b w:val="false"/>
          <w:strike w:val="false"/>
          <w:spacing w:val="0"/>
          <w:sz w:val="24"/>
          <w:u w:val="none"/>
        </w:rPr>
        <w:t>方案2：</w:t>
      </w:r>
      <w:r>
        <w:rPr>
          <w:b w:val="false"/>
          <w:i w:val="false"/>
          <w:strike w:val="false"/>
          <w:spacing w:val="0"/>
          <w:sz w:val="24"/>
          <w:u w:val="none"/>
        </w:rPr>
        <w:t>先修改local.conf，再执行install.sh</w:t>
      </w:r>
    </w:p>
    <w:p>
      <w:pPr>
        <w:numPr/>
        <w:snapToGrid w:val="false"/>
        <w:spacing w:before="0" w:after="240" w:line="240" w:lineRule="auto"/>
        <w:ind w:firstLineChars="200"/>
        <w:rPr>
          <w:sz w:val="24"/>
        </w:rPr>
      </w:pPr>
      <w:r>
        <w:rPr/>
        <w:drawing>
          <wp:inline distT="0" distB="0" distL="0" distR="0">
            <wp:extent cx="8863330" cy="8863330"/>
            <wp:effectExtent l="0" t="0" r="0" b="0"/>
            <wp:docPr id="42" name="文本框 cpcl8g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ssh root@10.29.13.48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mkdir /opt/tsf/tsf-consul/tsf-consul-access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cd /opt/tsf/tsf-consul/tsf-consul-access/tsf-consul-access-</w:t>
                        </w:r>
                        <w:r>
                          <w:rPr>
                            <w:rStyle w:val="hzgckm"/>
                          </w:rPr>
                          <w:t>*</w:t>
                        </w:r>
                        <w:r>
                          <w:rPr>
                            <w:rStyle w:val="a629wa"/>
                          </w:rPr>
                          <w:t>/bin</w:t>
                        </w:r>
                      </w:p>
                      <w:p>
                        <w:pPr>
                          <w:pStyle w:val="v0xojo"/>
                          <w:rPr>
                            <w:rStyle w:val="hzgckm"/>
                          </w:rPr>
                        </w:pPr>
                        <w:r>
                          <w:rPr>
                            <w:rStyle w:val="hzgckm"/>
                          </w:rPr>
                          <w:t>#</w:t>
                        </w:r>
                        <w:r>
                          <w:rPr>
                            <w:rStyle w:val="2pkush"/>
                          </w:rPr>
                          <w:t xml:space="preserve"> </w:t>
                        </w:r>
                        <w:r>
                          <w:rPr>
                            <w:rStyle w:val="624a84"/>
                          </w:rPr>
                          <w:t>修改local.conf</w:t>
                        </w:r>
                        <w:r>
                          <w:rPr>
                            <w:rStyle w:val="2pkush"/>
                          </w:rPr>
                          <w:t>，填充</w:t>
                        </w:r>
                        <w:r>
                          <w:rPr>
                            <w:rStyle w:val="624a84"/>
                          </w:rPr>
                          <w:t>tsf-mysql.user</w:t>
                        </w:r>
                        <w:r>
                          <w:rPr>
                            <w:rStyle w:val="2pkush"/>
                          </w:rPr>
                          <w:t>的值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2pkush"/>
                          </w:rPr>
                          <w:t>vim local.conf</w:t>
                        </w:r>
                      </w:p>
                      <w:p>
                        <w:pPr>
                          <w:pStyle w:val="v0xojo"/>
                          <w:rPr>
                            <w:rStyle w:val="hzgckm"/>
                          </w:rPr>
                        </w:pPr>
                        <w:r>
                          <w:rPr>
                            <w:rStyle w:val="hzgckm"/>
                          </w:rPr>
                          <w:t>#</w:t>
                        </w:r>
                        <w:r>
                          <w:rPr>
                            <w:rStyle w:val="2pkush"/>
                          </w:rPr>
                          <w:t xml:space="preserve"> 赋执行权限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chmod +x ./install.sh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# wyxpkftuxdi1 为tsf用户连接数据库密码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./install.sh -local_ip 10.29.13.48 -mysql_password wyxpkftuxdi1 -mysql_vport 22005 -mysql_vip 10.25.41.111 &gt;&gt;../deploy/install.log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zqofz6"/>
                          </w:rPr>
                          <w:t>#</w:t>
                        </w:r>
                        <w:r>
                          <w:rPr>
                            <w:rStyle w:val="4rqcdy"/>
                          </w:rPr>
                          <w:t xml:space="preserve"> 确认健康状态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t30emp"/>
                          </w:rPr>
                          <w:t>sh health.sh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# 填入tsf数据库用户名，命令：curl -v "http://127.0.01:8000/v1/kv/config/application/data?raw&amp;token=oss-acae2d9cb7fd" |grep mysql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zqofz6"/>
                          </w:rPr>
                          <w:t>#</w:t>
                        </w:r>
                        <w:r>
                          <w:rPr>
                            <w:rStyle w:val="4rqcdy"/>
                          </w:rPr>
                          <w:t xml:space="preserve"> 修改配置文件中的DB用户名和密码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vim /data/tsf/tsf-consul/tsf-consul-access/tsf-consul-access-v1.21.0/bin/local.conf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# consul-access 检查：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>
                            <w:rStyle w:val="a629wa"/>
                          </w:rPr>
                          <w:t>curl -v "http://127.0.01:8000/v1/kv/config/application/data?raw&amp;token=oss-acae2d9cb7fd" |grep mysql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firstLineChars="200"/>
        <w:rPr>
          <w:rFonts w:ascii="微软雅黑" w:hAnsi="微软雅黑" w:eastAsia="微软雅黑" w:cs="微软雅黑"/>
          <w:b w:val="false"/>
          <w:sz w:val="24"/>
        </w:rPr>
      </w:pP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4.1.5  扩容节点加入VIP</w:t>
      </w:r>
    </w:p>
    <w:p>
      <w:pPr>
        <w:spacing w:before="180" w:after="180"/>
        <w:ind w:firstLineChars="200"/>
        <w:jc w:val="both"/>
        <w:rPr>
          <w:rFonts w:ascii="Cambria" w:hAnsi="Cambria" w:eastAsia="Cambria" w:cs="Cambria"/>
          <w:sz w:val="24"/>
        </w:rPr>
      </w:pPr>
      <w:r>
        <w:rPr>
          <w:rFonts w:ascii="Cambria" w:hAnsi="Cambria" w:eastAsia="Cambria" w:cs="Cambria"/>
          <w:sz w:val="24"/>
        </w:rPr>
        <w:t>添加了对应机器到模块中以后，可直接在运营端页面点击部署</w:t>
      </w:r>
    </w:p>
    <w:p>
      <w:pPr>
        <w:spacing w:before="180" w:after="180"/>
        <w:ind w:firstLineChars="200"/>
        <w:jc w:val="both"/>
        <w:rPr>
          <w:rFonts w:ascii="Cambria" w:hAnsi="Cambria" w:eastAsia="Cambria" w:cs="Cambria"/>
          <w:sz w:val="24"/>
        </w:rPr>
      </w:pPr>
      <w:r>
        <w:rPr>
          <w:rFonts w:ascii="Cambria" w:hAnsi="Cambria" w:eastAsia="Cambria" w:cs="Cambria"/>
          <w:sz w:val="24"/>
        </w:rPr>
        <w:t>如果节点信息都正常，添加 rs 节点到对应的 VIP 中</w:t>
      </w:r>
    </w:p>
    <w:p>
      <w:pPr>
        <w:spacing w:before="180" w:after="180"/>
        <w:ind w:firstLineChars="200"/>
        <w:jc w:val="both"/>
        <w:rPr>
          <w:rFonts w:ascii="Cambria" w:hAnsi="Cambria" w:eastAsia="Cambria" w:cs="Cambria"/>
          <w:sz w:val="24"/>
        </w:rPr>
      </w:pPr>
      <w:r>
        <w:rPr/>
        <w:drawing>
          <wp:inline distT="0" distB="0" distL="0" distR="0">
            <wp:extent cx="8863330" cy="8863330"/>
            <wp:effectExtent l="0" t="0" r="0" b="0"/>
            <wp:docPr id="44" name="文本框 x4kfwe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kubectl edit app -ntce product-tsf-mock-0 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firstLineChars="200"/>
        <w:rPr>
          <w:rFonts w:ascii="微软雅黑" w:hAnsi="微软雅黑" w:eastAsia="微软雅黑" w:cs="微软雅黑"/>
        </w:rPr>
      </w:pP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4.1.6 es 跨 az 部署</w:t>
      </w:r>
    </w:p>
    <w:p>
      <w:pPr>
        <w:pStyle w:val="sqjv1h"/>
        <w:numPr>
          <w:ilvl w:val="0"/>
          <w:numId w:val="4"/>
        </w:numPr>
        <w:ind w:left="420" w:hanging="0" w:hangingChars="16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AZ2 部署新节点</w:t>
      </w:r>
    </w:p>
    <w:p>
      <w:pPr>
        <w:pStyle w:val="sqjv1h"/>
        <w:ind w:leftChars="383"/>
        <w:rPr>
          <w:rFonts w:ascii="微软雅黑" w:hAnsi="微软雅黑" w:eastAsia="微软雅黑" w:cs="微软雅黑"/>
          <w:sz w:val="24"/>
        </w:rPr>
      </w:pPr>
      <w:r>
        <w:rPr/>
        <w:drawing>
          <wp:inline distT="0" distB="0" distL="0" distR="0">
            <wp:extent cx="8863330" cy="8863330"/>
            <wp:effectExtent l="0" t="0" r="0" b="0"/>
            <wp:docPr id="46" name="文本框 qq0occ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numPr>
                            <w:ilvl w:val="0"/>
                            <w:numId w:val="5"/>
                          </w:numPr>
                          <w:ind w:left="0" w:leftChars="0" w:hanging="0" w:hangingChars="160"/>
                          <w:rPr>
                            <w:rFonts w:ascii="" w:hAnsi="" w:eastAsia="" w:cs=""/>
                          </w:rPr>
                        </w:pPr>
                        <w:r>
                          <w:rPr/>
                          <w:t>从ocloud-tsf-manager-operation拷贝获取安装包consul-client 和 es 安装包，注意和AZ1 部署的版本验证一致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ind w:leftChars="160"/>
                          <w:rPr/>
                        </w:pPr>
                      </w:p>
                      <w:p>
                        <w:pPr>
                          <w:pStyle w:val="v0xojo"/>
                          <w:numPr>
                            <w:ilvl w:val="0"/>
                            <w:numId w:val="5"/>
                          </w:numPr>
                          <w:ind w:left="0" w:leftChars="0" w:hanging="0" w:hangingChars="160"/>
                          <w:rPr>
                            <w:rFonts w:ascii="" w:hAnsi="" w:eastAsia="" w:cs=""/>
                          </w:rPr>
                        </w:pPr>
                        <w:r>
                          <w:rPr/>
                          <w:t>ES 节点安装consul-client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mkdir -p /data/tsf/tsf-consul/tsf-consul-client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 /data/tsf/tsf-consul/tsf-consul-client/tsf-consul-client-v1.18.0/bin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chmod +x ./install.sh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# 填入本机ip和consul-access vip port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./install.sh -local_ip 10.20.12.26  -consul_ip 10.10.36.60  -consul_port 8000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# 验证consul-client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 127.0.0.1:8500/v1/kv/config/application/data?raw | grep vip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numPr>
                            <w:ilvl w:val="0"/>
                            <w:numId w:val="5"/>
                          </w:numPr>
                          <w:ind w:left="0" w:leftChars="0" w:hanging="0" w:hangingChars="160"/>
                          <w:rPr>
                            <w:rFonts w:ascii="" w:hAnsi="" w:eastAsia="" w:cs=""/>
                          </w:rPr>
                        </w:pPr>
                        <w:r>
                          <w:rPr/>
                          <w:t>安装es，其中需要修改的参数：install.sh 本机ip 所有ip列表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/data/common/tsf-storage/tsf-elasticsearch/*/bin &amp;&amp; chmod +x *.sh &amp;&amp; ./install.sh 10.20.15.22 10.10.17.12,10.10.19.11,10.10.25.21,10.20.12.26,10.20.15.22,10.20.17.24 0            &gt;&gt; ../deploy/install.log 2&gt;&amp;1 &amp;&amp; echo 0 &gt; ../deploy/installExit.log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新增的ES节点验证集群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 -u root:changeme -XGET localhost:9200/_cluster/health?pretty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 -u root:changeme -XGET localhost:9200/_cat/nodes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根据机器所属zone 增加如下配置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node.attr.ip: 10.27.13.9  # 机器ip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node.attr.zone: 50010002  # 填写该机器的zone-id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将cluster.routing.allocation.awareness.attributes: ip 改为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cluster.routing.allocation.awareness.attributes: zone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cluster.routing.allocation.awareness.force.zone.values: 50010001,50010002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# 重启节点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/data/common/tsf-storage/tsf-elasticsearch/tsf-elasticsearch/bin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sh elasticsearch-stop.sh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sh elasticsearch-start.sh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numPr>
          <w:ilvl w:val="0"/>
          <w:numId w:val="4"/>
        </w:numPr>
        <w:ind w:left="420" w:hanging="0" w:hangingChars="16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登录az1 es部署节点，修改配置文件</w:t>
      </w:r>
    </w:p>
    <w:p>
      <w:pPr>
        <w:pStyle w:val="sqjv1h"/>
        <w:ind w:leftChars="383"/>
        <w:rPr>
          <w:rFonts w:ascii="微软雅黑" w:hAnsi="微软雅黑" w:eastAsia="微软雅黑" w:cs="微软雅黑"/>
          <w:sz w:val="24"/>
        </w:rPr>
      </w:pPr>
      <w:r>
        <w:rPr/>
        <w:drawing>
          <wp:inline distT="0" distB="0" distL="0" distR="0">
            <wp:extent cx="8863330" cy="8863330"/>
            <wp:effectExtent l="0" t="0" r="0" b="0"/>
            <wp:docPr id="48" name="文本框 8vke8a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/data/tsf-elasticsearch/elasticsearch/config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vim elasticsearch.yml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将待扩容的es节点添加到discovery.zen.ping.unicast.hosts对应的值中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firstLineChars="20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 xml:space="preserve">     </w:t>
      </w:r>
      <w:r>
        <w:rPr/>
        <w:drawing>
          <wp:inline distT="0" distB="0" distL="0" distR="0">
            <wp:extent cx="8296275" cy="1333500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21600000">
                      <a:off x="0" y="0"/>
                      <a:ext cx="8296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qjv1h"/>
        <w:ind w:firstLineChars="200"/>
        <w:rPr>
          <w:rFonts w:ascii="微软雅黑" w:hAnsi="微软雅黑" w:eastAsia="微软雅黑" w:cs="微软雅黑"/>
        </w:rPr>
      </w:pPr>
    </w:p>
    <w:p>
      <w:pPr>
        <w:pStyle w:val="sqjv1h"/>
        <w:ind w:firstLineChars="200"/>
        <w:rPr>
          <w:rFonts w:ascii="微软雅黑" w:hAnsi="微软雅黑" w:eastAsia="微软雅黑" w:cs="微软雅黑"/>
        </w:rPr>
      </w:pPr>
    </w:p>
    <w:p>
      <w:pPr>
        <w:pStyle w:val="sqjv1h"/>
        <w:ind w:leftChars="200" w:firstLineChars="200"/>
        <w:rPr/>
      </w:pPr>
      <w:r>
        <w:rPr/>
        <w:drawing>
          <wp:inline distT="0" distB="0" distL="0" distR="0">
            <wp:extent cx="8863330" cy="8863330"/>
            <wp:effectExtent l="0" t="0" r="0" b="0"/>
            <wp:docPr id="53" name="文本框 qk1iss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根据机器所属zone 增加如下配置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node.attr.ip: 10.27.13.9  # 机器ip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node.attr.zone: 50010002  # 填写该机器的zone-id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将cluster.routing.allocation.awareness.attributes: ip 改为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cluster.routing.allocation.awareness.attributes: zone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cluster.routing.allocation.awareness.force.zone.values: 50010001,50010002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leftChars="200" w:firstLineChars="200"/>
        <w:rPr>
          <w:rFonts w:ascii="微软雅黑" w:hAnsi="微软雅黑" w:eastAsia="微软雅黑" w:cs="微软雅黑"/>
        </w:rPr>
      </w:pPr>
      <w:r>
        <w:rPr/>
        <w:drawing>
          <wp:inline distT="0" distB="0" distL="0" distR="0">
            <wp:extent cx="8291830" cy="2785393"/>
            <wp:effectExtent l="0" t="0" r="0" b="0"/>
            <wp:docPr id="5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6" name="picture" descr="descript"/>
                    <pic:cNvPicPr/>
                  </pic:nvPicPr>
                  <pic:blipFill rotWithShape="true">
                    <a:blip r:embed="rId11"/>
                    <a:srcRect l="0" t="0" r="0" b="0"/>
                    <a:stretch/>
                  </pic:blipFill>
                  <pic:spPr>
                    <a:xfrm rot="21600000">
                      <a:off x="0" y="0"/>
                      <a:ext cx="8291830" cy="278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qjv1h"/>
        <w:ind w:leftChars="200" w:firstLineChars="200"/>
        <w:rPr>
          <w:rFonts w:ascii="微软雅黑" w:hAnsi="微软雅黑" w:eastAsia="微软雅黑" w:cs="微软雅黑"/>
        </w:rPr>
      </w:pPr>
    </w:p>
    <w:p>
      <w:pPr>
        <w:pStyle w:val="sqjv1h"/>
        <w:ind w:firstLineChars="200"/>
        <w:rPr>
          <w:rFonts w:ascii="微软雅黑" w:hAnsi="微软雅黑" w:eastAsia="微软雅黑" w:cs="微软雅黑"/>
        </w:rPr>
      </w:pPr>
    </w:p>
    <w:p>
      <w:pPr>
        <w:pStyle w:val="sqjv1h"/>
        <w:numPr>
          <w:ilvl w:val="0"/>
          <w:numId w:val="4"/>
        </w:num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重启进程</w:t>
      </w:r>
    </w:p>
    <w:p>
      <w:pPr>
        <w:pStyle w:val="sqjv1h"/>
        <w:ind w:leftChars="360"/>
        <w:rPr/>
      </w:pPr>
      <w:r>
        <w:rPr/>
        <w:drawing>
          <wp:inline distT="0" distB="0" distL="0" distR="0">
            <wp:extent cx="8863330" cy="8863330"/>
            <wp:effectExtent l="0" t="0" r="0" b="0"/>
            <wp:docPr id="58" name="文本框 mm181e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重启节点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/data/common/tsf-storage/tsf-elasticsearch/tsf-elasticsearch/bin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sh elasticsearch-stop.sh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sh elasticsearch-start.sh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leftChars="360"/>
        <w:rPr>
          <w:rFonts w:ascii="微软雅黑" w:hAnsi="微软雅黑" w:eastAsia="微软雅黑" w:cs="微软雅黑"/>
        </w:rPr>
      </w:pP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4.1.7 ctsdb 跨 az 部署</w:t>
      </w:r>
    </w:p>
    <w:p>
      <w:pPr>
        <w:pStyle w:val="sqjv1h"/>
        <w:numPr>
          <w:ilvl w:val="0"/>
          <w:numId w:val="6"/>
        </w:numPr>
        <w:ind w:left="480" w:hanging="0" w:hangingChars="16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AZ2 部署新节点</w:t>
      </w:r>
    </w:p>
    <w:p>
      <w:pPr>
        <w:pStyle w:val="sqjv1h"/>
        <w:ind w:leftChars="383"/>
        <w:rPr>
          <w:rFonts w:ascii="微软雅黑" w:hAnsi="微软雅黑" w:eastAsia="微软雅黑" w:cs="微软雅黑"/>
          <w:sz w:val="24"/>
        </w:rPr>
      </w:pPr>
      <w:r>
        <w:rPr/>
        <w:drawing>
          <wp:inline distT="0" distB="0" distL="0" distR="0">
            <wp:extent cx="8863330" cy="8863330"/>
            <wp:effectExtent l="0" t="0" r="0" b="0"/>
            <wp:docPr id="60" name="文本框 qcga0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ind w:leftChars="160"/>
                          <w:rPr/>
                        </w:pPr>
                        <w:r>
                          <w:rPr/>
                          <w:t>1） 从ocloud-tsf-manager-operation拷贝获取安装包consul-client 和 ctsdb 安装包，注意和AZ1 部署的版本验证一致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ind w:leftChars="160"/>
                          <w:rPr/>
                        </w:pPr>
                      </w:p>
                      <w:p>
                        <w:pPr>
                          <w:pStyle w:val="v0xojo"/>
                          <w:ind w:leftChars="160"/>
                          <w:rPr/>
                        </w:pPr>
                        <w:r>
                          <w:rPr/>
                          <w:t>2） ES 节点安装consul-client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mkdir -p /data/tsf/tsf-consul/tsf-consul-client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 /data/tsf/tsf-consul/tsf-consul-client/tsf-consul-client-v1.18.0/bin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chmod +x ./install.sh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# 填入本机ip和consul-access vip port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./install.sh -local_ip 10.20.12.26  -consul_ip 10.10.36.60  -consul_port 8000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# 验证consul-client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 127.0.0.1:8500/v1/kv/config/application/data?raw | grep vip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ind w:leftChars="160"/>
                          <w:rPr/>
                        </w:pPr>
                        <w:r>
                          <w:rPr/>
                          <w:t>3） 安装etsdb，其中需要修改的参数：install.sh 本机ip 所有ip列表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/data/common/tsf-storage/tsf-ctsdb/*/bin &amp;&amp; chmod +x *.sh &amp;&amp; ./install.sh 10.20.15.22 10.10.17.12,10.10.19.11,10.10.25.21,10.20.12.26,10.20.15.22,10.20.17.24 0            &gt;&gt; ../deploy/install.log 2&gt;&amp;1 &amp;&amp; echo 0 &gt; ../deploy/installExit.log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新增的ES节点验证集群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 -u root:changeme -XGET localhost:9201/_cluster/health?pretty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 -u root:changeme -XGET localhost:9201/_cat/nodes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根据机器所属zone 增加如下配置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node.attr.ip: 10.27.13.9  # 机器ip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node.attr.zone: 50010002  # 填写该机器的zone-id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将cluster.routing.allocation.awareness.attributes: ip 改为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cluster.routing.allocation.awareness.attributes: zone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cluster.routing.allocation.awareness.force.zone.values: 50010001,50010002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重启节点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/data/common/tsf-storage/tsf-ctsdb/tsf-ctsdb/bin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sh ctsdb-stop.sh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sh ctsdb-start.sh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leftChars="411"/>
        <w:rPr>
          <w:rFonts w:ascii="微软雅黑" w:hAnsi="微软雅黑" w:eastAsia="微软雅黑" w:cs="微软雅黑"/>
          <w:sz w:val="24"/>
        </w:rPr>
      </w:pPr>
    </w:p>
    <w:p>
      <w:pPr>
        <w:pStyle w:val="sqjv1h"/>
        <w:numPr>
          <w:ilvl w:val="0"/>
          <w:numId w:val="6"/>
        </w:numPr>
        <w:ind w:left="480" w:hanging="0" w:hangingChars="16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登录az1 ctsdb部署节点，修改配置文件</w:t>
      </w:r>
    </w:p>
    <w:p>
      <w:pPr>
        <w:pStyle w:val="sqjv1h"/>
        <w:ind w:leftChars="200"/>
        <w:rPr/>
      </w:pPr>
      <w:r>
        <w:rPr/>
        <w:drawing>
          <wp:inline distT="0" distB="0" distL="0" distR="0">
            <wp:extent cx="8863330" cy="8863330"/>
            <wp:effectExtent l="0" t="0" r="0" b="0"/>
            <wp:docPr id="62" name="文本框 0ioru2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/data/tsf-ctsdb/elasticsearch/config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vim elasticserarch.yml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将待扩容的ctsdb节点添加到discovery.zen.ping.unicast.hosts对应的值中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leftChars="200"/>
        <w:rPr>
          <w:rFonts w:ascii="微软雅黑" w:hAnsi="微软雅黑" w:eastAsia="微软雅黑" w:cs="微软雅黑"/>
        </w:rPr>
      </w:pPr>
      <w:r>
        <w:rPr/>
        <w:drawing>
          <wp:inline distT="0" distB="0" distL="0" distR="0">
            <wp:extent cx="8863330" cy="8863330"/>
            <wp:effectExtent l="0" t="0" r="0" b="0"/>
            <wp:docPr id="64" name="文本框 bgd2r0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根据机器所属zone 增加如下配置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node.attr.ip: 10.27.13.9  # 机器ip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node.attr.zone: 50010002  # 填写该机器的zone-id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将cluster.routing.allocation.awareness.attributes: ip 改为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cluster.routing.allocation.awareness.attributes: zone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cluster.routing.allocation.awareness.force.zone.values: 50010001,50010002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leftChars="200"/>
        <w:rPr>
          <w:rFonts w:ascii="微软雅黑" w:hAnsi="微软雅黑" w:eastAsia="微软雅黑" w:cs="微软雅黑"/>
        </w:rPr>
      </w:pPr>
    </w:p>
    <w:p>
      <w:pPr>
        <w:pStyle w:val="sqjv1h"/>
        <w:ind w:leftChars="200"/>
        <w:rPr>
          <w:rFonts w:ascii="微软雅黑" w:hAnsi="微软雅黑" w:eastAsia="微软雅黑" w:cs="微软雅黑"/>
        </w:rPr>
      </w:pPr>
    </w:p>
    <w:p>
      <w:pPr>
        <w:pStyle w:val="sqjv1h"/>
        <w:ind w:leftChars="200"/>
        <w:rPr>
          <w:rFonts w:ascii="微软雅黑" w:hAnsi="微软雅黑" w:eastAsia="微软雅黑" w:cs="微软雅黑"/>
        </w:rPr>
      </w:pPr>
    </w:p>
    <w:p>
      <w:pPr>
        <w:pStyle w:val="sqjv1h"/>
        <w:ind w:leftChars="20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3) 重启进程</w:t>
      </w:r>
    </w:p>
    <w:p>
      <w:pPr>
        <w:pStyle w:val="sqjv1h"/>
        <w:ind w:leftChars="200"/>
        <w:rPr/>
      </w:pPr>
      <w:r>
        <w:rPr/>
        <w:drawing>
          <wp:inline distT="0" distB="0" distL="0" distR="0">
            <wp:extent cx="8863330" cy="8863330"/>
            <wp:effectExtent l="0" t="0" r="0" b="0"/>
            <wp:docPr id="66" name="文本框 3mjxlo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重启节点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cd /data/common/tsf-storage/tsf-ctsdb/tsf-ctsdb/bin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sh ctsdb-stop.sh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sh ctsdb-start.sh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leftChars="200"/>
        <w:rPr>
          <w:rFonts w:ascii="微软雅黑" w:hAnsi="微软雅黑" w:eastAsia="微软雅黑" w:cs="微软雅黑"/>
        </w:rPr>
      </w:pPr>
    </w:p>
    <w:p>
      <w:pPr>
        <w:pStyle w:val="sqjv1h"/>
        <w:numPr>
          <w:ilvl w:val="0"/>
          <w:numId w:val="4"/>
        </w:numPr>
        <w:ind w:left="420" w:hanging="0" w:hangingChars="16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余下az1 ctsdb节点依次按上述步骤执行</w:t>
      </w:r>
    </w:p>
    <w:p>
      <w:pPr>
        <w:pStyle w:val="sqjv1h"/>
        <w:ind w:leftChars="360"/>
        <w:rPr>
          <w:rFonts w:ascii="微软雅黑" w:hAnsi="微软雅黑" w:eastAsia="微软雅黑" w:cs="微软雅黑"/>
        </w:rPr>
      </w:pP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4.1.8  tsf-license 申请和导入新授权</w:t>
      </w:r>
    </w:p>
    <w:p>
      <w:pPr>
        <w:pStyle w:val="sqjv1h"/>
        <w:ind w:leftChars="200"/>
        <w:rPr>
          <w:rFonts w:ascii="微软雅黑" w:hAnsi="微软雅黑" w:eastAsia="微软雅黑" w:cs="微软雅黑"/>
        </w:rPr>
      </w:pPr>
      <w:r>
        <w:rPr/>
        <w:drawing>
          <wp:inline distT="0" distB="0" distL="0" distR="0">
            <wp:extent cx="8863330" cy="8863330"/>
            <wp:effectExtent l="0" t="0" r="0" b="0"/>
            <wp:docPr id="68" name="文本框 ftvtdl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tsf-license pod 扩容到备用AZnode 启动后，需要重新申请license,导入。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运营端页面重新申请并下载 license 申请文件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登录扩容的新节点，到 bin 目录下执行 sh stop.sh (新节点无可用 license, 会导致请求到该节点的请求报错)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申请 license 文件并在运营端重新导入，导入后再启动扩容节点的 license-server， 到 bin 目录下执行 sh start.sh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检查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curl -i -m 3 -k  'https://localhost:7100/license/list'    # 查看返回的status，2表示已生效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qjv1h"/>
        <w:ind w:firstLineChars="200"/>
        <w:rPr>
          <w:rFonts w:ascii="微软雅黑" w:hAnsi="微软雅黑" w:eastAsia="微软雅黑" w:cs="微软雅黑"/>
        </w:rPr>
      </w:pPr>
    </w:p>
    <w:p>
      <w:pPr>
        <w:pStyle w:val="sqjv1h"/>
        <w:ind w:firstLineChars="200"/>
        <w:rPr/>
      </w:pPr>
    </w:p>
    <w:p>
      <w:pPr>
        <w:pStyle w:val="vq1b83"/>
        <w:jc w:val="left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4.1.9  tsf-repository-server 组件扩容</w:t>
      </w:r>
    </w:p>
    <w:p>
      <w:pPr>
        <w:pStyle w:val="sqjv1h"/>
        <w:rPr/>
      </w:pPr>
    </w:p>
    <w:p>
      <w:pPr>
        <w:pStyle w:val="sqjv1h"/>
        <w:ind w:firstLineChars="200"/>
        <w:rPr>
          <w:rFonts w:ascii="微软雅黑" w:hAnsi="微软雅黑" w:eastAsia="微软雅黑" w:cs="微软雅黑"/>
        </w:rPr>
      </w:pPr>
      <w:r>
        <w:rPr/>
        <w:drawing>
          <wp:inline distT="0" distB="0" distL="0" distR="0">
            <wp:extent cx="8863330" cy="8863330"/>
            <wp:effectExtent l="0" t="0" r="0" b="0"/>
            <wp:docPr id="70" name="文本框 85dcq9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tsf-repository-server pod 扩容到备用AZ node 启动，需要增加label，同时确保label数量和。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运营端页面修改如下参数，双AZ4个副本配置为：18100,18101,18102,18103 ( 但是需要升级该组件到 2022-06-01 后的版本）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1、修改运营端参数 </w:t>
                        </w:r>
                      </w:p>
                      <w:p>
                        <w:pPr>
                          <w:pStyle w:val="v0xojo"/>
                          <w:ind w:leftChars="160"/>
                          <w:rPr/>
                        </w:pPr>
                        <w:r>
                          <w:rPr/>
                          <w:t xml:space="preserve"># tencent.cloud.vip.tsf-repository-server=pod1ip,pod2ip,pod3ip,pod4ip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# tencent.cloud.vport.tsf-repository-server=11873,11873,11873,11873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 tencent.cloud.vpc-ip.tsf-repository-server=169.254.0.77,169.254.0.77,169.254.0.77,169.254.0.77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# tencent.cloud.vpc-port.tsf-repository-server=18100,18101,18102,18103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 xml:space="preserve">2、重启tsf-resource模块 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3、租户端创建新的空集群（刷新vpc用）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pacing w:before="180" w:after="180"/>
        <w:ind w:firstLineChars="200"/>
        <w:jc w:val="both"/>
        <w:rPr/>
      </w:pPr>
      <w:r>
        <w:rPr/>
        <w:drawing>
          <wp:inline distT="0" distB="0" distL="0" distR="0">
            <wp:extent cx="8558530" cy="1415218"/>
            <wp:effectExtent l="0" t="0" r="0" b="0"/>
            <wp:docPr id="7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3" name="picture" descr="descript"/>
                    <pic:cNvPicPr/>
                  </pic:nvPicPr>
                  <pic:blipFill rotWithShape="true">
                    <a:blip r:embed="rId12"/>
                    <a:srcRect l="0" t="0" r="0" b="0"/>
                    <a:stretch/>
                  </pic:blipFill>
                  <pic:spPr>
                    <a:xfrm rot="21600000">
                      <a:off x="0" y="0"/>
                      <a:ext cx="8558530" cy="14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vq1b83"/>
        <w:jc w:val="left"/>
        <w:rPr/>
      </w:pPr>
      <w:r>
        <w:rPr/>
        <w:t>4.1.10 DTF 扩容</w:t>
      </w:r>
    </w:p>
    <w:p>
      <w:pPr>
        <w:numPr>
          <w:ilvl w:val="0"/>
          <w:numId w:val="7"/>
        </w:numPr>
        <w:snapToGrid w:val="false"/>
        <w:spacing w:before="0" w:after="0" w:line="360" w:lineRule="auto"/>
        <w:jc w:val="both"/>
        <w:rPr>
          <w:rFonts w:ascii="微软雅黑" w:hAnsi="微软雅黑" w:eastAsia="微软雅黑" w:cs="微软雅黑"/>
          <w:color w:val="000000"/>
          <w:sz w:val="21"/>
          <w:shd w:val="clear" w:color="auto" w:fill="FFFFFF"/>
        </w:rPr>
      </w:pPr>
      <w:r>
        <w:rPr>
          <w:rFonts w:ascii="微软雅黑" w:hAnsi="微软雅黑" w:eastAsia="微软雅黑" w:cs="微软雅黑"/>
          <w:color w:val="000000"/>
          <w:sz w:val="21"/>
          <w:shd w:val="clear" w:color="auto" w:fill="FFFFFF"/>
        </w:rPr>
        <w:t>拉起备用AZ如下pod，确保双AZ 均有副本运行。（其中manager和server 每个AZ 3个副本，出配置包，node 打标签）</w:t>
      </w:r>
    </w:p>
    <w:p>
      <w:pPr>
        <w:snapToGrid w:val="false"/>
        <w:spacing w:before="0" w:after="0" w:line="360" w:lineRule="auto"/>
        <w:ind w:leftChars="360"/>
        <w:jc w:val="both"/>
        <w:rPr>
          <w:rFonts w:ascii="微软雅黑" w:hAnsi="微软雅黑" w:eastAsia="微软雅黑" w:cs="微软雅黑"/>
          <w:color w:val="000000"/>
          <w:sz w:val="21"/>
          <w:shd w:val="clear" w:color="auto" w:fill="FFFFFF"/>
        </w:rPr>
      </w:pPr>
      <w:r>
        <w:rPr/>
        <w:drawing>
          <wp:inline distT="0" distB="0" distL="0" distR="0">
            <wp:extent cx="8345170" cy="1547390"/>
            <wp:effectExtent l="0" t="0" r="0" b="0"/>
            <wp:docPr id="7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6" name="picture" descr="descript"/>
                    <pic:cNvPicPr/>
                  </pic:nvPicPr>
                  <pic:blipFill rotWithShape="true">
                    <a:blip r:embed="rId13"/>
                    <a:srcRect l="0" t="0" r="0" b="0"/>
                    <a:stretch/>
                  </pic:blipFill>
                  <pic:spPr>
                    <a:xfrm rot="21600000">
                      <a:off x="0" y="0"/>
                      <a:ext cx="8345170" cy="15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napToGrid w:val="false"/>
        <w:spacing w:before="0" w:after="0" w:line="360" w:lineRule="auto"/>
        <w:jc w:val="both"/>
        <w:rPr>
          <w:rFonts w:ascii="微软雅黑" w:hAnsi="微软雅黑" w:eastAsia="微软雅黑" w:cs="微软雅黑"/>
          <w:color w:val="000000"/>
          <w:sz w:val="21"/>
          <w:shd w:val="clear" w:color="auto" w:fill="FFFFFF"/>
        </w:rPr>
      </w:pPr>
      <w:r>
        <w:rPr>
          <w:rFonts w:ascii="微软雅黑" w:hAnsi="微软雅黑" w:eastAsia="微软雅黑" w:cs="微软雅黑"/>
          <w:color w:val="000000"/>
          <w:sz w:val="21"/>
          <w:shd w:val="clear" w:color="auto" w:fill="FFFFFF"/>
        </w:rPr>
        <w:t>修改数据库</w:t>
      </w:r>
    </w:p>
    <w:p>
      <w:pPr>
        <w:snapToGrid w:val="false"/>
        <w:spacing w:before="0" w:after="0" w:line="360" w:lineRule="auto"/>
        <w:ind w:leftChars="360"/>
        <w:jc w:val="both"/>
        <w:rPr>
          <w:rFonts w:ascii="微软雅黑" w:hAnsi="微软雅黑" w:eastAsia="微软雅黑" w:cs="微软雅黑"/>
          <w:color w:val="000000"/>
          <w:sz w:val="21"/>
          <w:shd w:val="clear" w:color="auto" w:fill="FFFFFF"/>
        </w:rPr>
      </w:pPr>
      <w:r>
        <w:rPr/>
        <w:drawing>
          <wp:inline distT="0" distB="0" distL="0" distR="0">
            <wp:extent cx="8863330" cy="8863330"/>
            <wp:effectExtent l="0" t="0" r="0" b="0"/>
            <wp:docPr id="78" name="文本框 vjex5v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v0xojo"/>
                          <w:rPr/>
                        </w:pPr>
                        <w:r>
                          <w:rPr/>
                          <w:t>mysql22001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use dts_oss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#修改 dts_cluster_server 表中的 server_ip 及 server_vip 为环境中实际部署的 dtf_manager（pod）的 ip；</w:t>
                        </w:r>
                      </w:p>
                      <w:p>
                        <w:pPr>
                          <w:pStyle w:val="v0xojo"/>
                          <w:rPr/>
                        </w:pPr>
                        <w:r>
                          <w:rPr/>
                          <w:t>#修改 dts_server 表中的 server_ip 为环境中实际部署的 dtf_server 的 ip。</w:t>
                        </w:r>
                      </w:p>
                      <w:p>
                        <w:pPr>
                          <w:pStyle w:val="v0xojo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 w:val="false"/>
        <w:spacing w:before="0" w:after="0" w:line="360" w:lineRule="auto"/>
        <w:jc w:val="both"/>
        <w:rPr>
          <w:rFonts w:ascii="微软雅黑" w:hAnsi="微软雅黑" w:eastAsia="微软雅黑" w:cs="微软雅黑"/>
          <w:color w:val="000000"/>
          <w:sz w:val="21"/>
          <w:shd w:val="clear" w:color="auto" w:fill="FFFFFF"/>
        </w:rPr>
      </w:pPr>
    </w:p>
    <w:p>
      <w:pPr>
        <w:pStyle w:val="vq1b83"/>
        <w:jc w:val="left"/>
        <w:rPr>
          <w:rFonts w:ascii="微软雅黑" w:hAnsi="微软雅黑" w:eastAsia="微软雅黑" w:cs="微软雅黑"/>
          <w:color w:val="000000"/>
        </w:rPr>
      </w:pPr>
      <w:r>
        <w:rPr/>
        <w:t xml:space="preserve">4.1.11 </w:t>
      </w:r>
      <w:r>
        <w:rPr>
          <w:rFonts w:ascii="微软雅黑" w:hAnsi="微软雅黑" w:eastAsia="微软雅黑" w:cs="微软雅黑"/>
          <w:color w:val="000000"/>
        </w:rPr>
        <w:t>分布式任务调度扩容</w:t>
      </w:r>
    </w:p>
    <w:p>
      <w:pPr>
        <w:pStyle w:val="sqjv1h"/>
        <w:ind w:firstLineChars="200"/>
        <w:jc w:val="left"/>
        <w:rPr/>
      </w:pPr>
      <w:r>
        <w:rPr/>
        <w:t>出配置包，node 增加label ,更新tsf-task组件，确保副本分布在两个AZ。</w:t>
      </w:r>
    </w:p>
    <w:p>
      <w:pPr>
        <w:pStyle w:val="sqjv1h"/>
        <w:ind w:firstLineChars="200"/>
        <w:jc w:val="left"/>
        <w:rPr/>
      </w:pPr>
      <w:r>
        <w:rPr/>
        <w:drawing>
          <wp:inline distT="0" distB="0" distL="0" distR="0">
            <wp:extent cx="8105775" cy="1495425"/>
            <wp:effectExtent l="0" t="0" r="0" b="0"/>
            <wp:docPr id="8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1" name="picture" descr="descript"/>
                    <pic:cNvPicPr/>
                  </pic:nvPicPr>
                  <pic:blipFill rotWithShape="true">
                    <a:blip r:embed="rId14"/>
                    <a:srcRect l="0" t="0" r="0" b="0"/>
                    <a:stretch/>
                  </pic:blipFill>
                  <pic:spPr>
                    <a:xfrm rot="21600000">
                      <a:off x="0" y="0"/>
                      <a:ext cx="8105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qjv1h"/>
        <w:rPr>
          <w:rFonts w:ascii="微软雅黑" w:hAnsi="微软雅黑" w:eastAsia="微软雅黑" w:cs="微软雅黑"/>
        </w:rPr>
      </w:pPr>
    </w:p>
    <w:p>
      <w:pPr>
        <w:pStyle w:val="sqjv1h"/>
        <w:rPr>
          <w:rFonts w:ascii="微软雅黑" w:hAnsi="微软雅黑" w:eastAsia="微软雅黑" w:cs="微软雅黑"/>
        </w:rPr>
      </w:pPr>
    </w:p>
    <w:p>
      <w:pPr>
        <w:pStyle w:val="sqjv1h"/>
        <w:rPr>
          <w:rFonts w:ascii="微软雅黑" w:hAnsi="微软雅黑" w:eastAsia="微软雅黑" w:cs="微软雅黑"/>
        </w:rPr>
      </w:pPr>
    </w:p>
    <w:p>
      <w:pPr>
        <w:pStyle w:val="sqjv1h"/>
        <w:rPr>
          <w:rFonts w:ascii="微软雅黑" w:hAnsi="微软雅黑" w:eastAsia="微软雅黑" w:cs="微软雅黑"/>
        </w:rPr>
      </w:pPr>
    </w:p>
    <w:p>
      <w:pPr>
        <w:pStyle w:val="sqjv1h"/>
        <w:rPr>
          <w:rFonts w:ascii="微软雅黑" w:hAnsi="微软雅黑" w:eastAsia="微软雅黑" w:cs="微软雅黑"/>
        </w:rPr>
      </w:pPr>
    </w:p>
    <w:p>
      <w:pPr>
        <w:pStyle w:val="sqjv1h"/>
        <w:rPr>
          <w:rFonts w:ascii="微软雅黑" w:hAnsi="微软雅黑" w:eastAsia="微软雅黑" w:cs="微软雅黑"/>
        </w:rPr>
      </w:pPr>
    </w:p>
    <w:p>
      <w:pPr>
        <w:pStyle w:val="sqjv1h"/>
        <w:spacing w:line="360" w:lineRule="atLeast"/>
        <w:jc w:val="both"/>
        <w:rPr>
          <w:rFonts w:ascii="微软雅黑" w:hAnsi="微软雅黑" w:eastAsia="微软雅黑" w:cs="微软雅黑"/>
          <w:sz w:val="24"/>
        </w:rPr>
      </w:pP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 xml:space="preserve"> </w:t>
      </w:r>
    </w:p>
    <w:sectPr>
      <w:pgSz w:w="16838" w:h="11900"/>
      <w:pgMar w:top="1803" w:right="1440" w:bottom="1803" w:left="1440" w:header="851" w:footer="992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4">
      <w:start w:val="1"/>
      <w:numFmt w:val="lowerLetter"/>
      <w:lvlText w:val="%5."/>
      <w:lvlJc w:val="left"/>
      <w:pPr>
        <w:ind w:left="2016" w:hanging="336"/>
      </w:pPr>
    </w:lvl>
    <w:lvl w:ilvl="5">
      <w:start w:val="1"/>
      <w:numFmt w:val="lowerRoman"/>
      <w:lvlText w:val="%6."/>
      <w:lvlJc w:val="left"/>
      <w:pPr>
        <w:ind w:left="2436" w:hanging="336"/>
      </w:pPr>
    </w:lvl>
    <w:lvl w:ilvl="1">
      <w:start w:val="1"/>
      <w:numFmt w:val="lowerLetter"/>
      <w:lvlText w:val="%2."/>
      <w:lvlJc w:val="left"/>
      <w:pPr>
        <w:ind w:left="756" w:hanging="336"/>
      </w:pPr>
    </w:lvl>
    <w:lvl w:ilvl="3">
      <w:start w:val="1"/>
      <w:numFmt w:val="decimal"/>
      <w:lvlText w:val="%4）"/>
      <w:lvlJc w:val="left"/>
      <w:pPr>
        <w:ind w:left="1596" w:hanging="336"/>
      </w:pPr>
    </w:lvl>
    <w:lvl w:ilvl="2">
      <w:start w:val="1"/>
      <w:numFmt w:val="lowerRoman"/>
      <w:lvlText w:val="%3."/>
      <w:lvlJc w:val="left"/>
      <w:pPr>
        <w:ind w:left="1176" w:hanging="336"/>
      </w:pPr>
    </w:lvl>
    <w:lvl w:ilvl="6">
      <w:start w:val="1"/>
      <w:numFmt w:val="decimal"/>
      <w:lvlText w:val="%7）"/>
      <w:lvlJc w:val="left"/>
      <w:pPr>
        <w:ind w:left="2856" w:hanging="336"/>
      </w:pPr>
    </w:lvl>
    <w:lvl w:ilvl="7">
      <w:start w:val="1"/>
      <w:numFmt w:val="lowerLetter"/>
      <w:lvlText w:val="%8."/>
      <w:lvlJc w:val="left"/>
      <w:pPr>
        <w:ind w:left="3276" w:hanging="336"/>
      </w:pPr>
    </w:lvl>
    <w:lvl w:ilvl="0">
      <w:start w:val="1"/>
      <w:numFmt w:val="decimal"/>
      <w:lvlText w:val="%1）"/>
      <w:lvlJc w:val="left"/>
      <w:pPr>
        <w:ind w:left="336" w:hanging="336"/>
      </w:pPr>
      <w:rPr/>
    </w:lvl>
  </w:abstractNum>
  <w:abstractNum w:abstractNumId="2">
    <w:lvl w:ilvl="6">
      <w:start w:val="1"/>
      <w:numFmt w:val="decimal"/>
      <w:lvlText w:val="%7）"/>
      <w:lvlJc w:val="left"/>
      <w:pPr>
        <w:ind w:left="3276" w:hanging="336"/>
      </w:pPr>
    </w:lvl>
    <w:lvl w:ilvl="4">
      <w:start w:val="1"/>
      <w:numFmt w:val="lowerLetter"/>
      <w:lvlText w:val="%5."/>
      <w:lvlJc w:val="left"/>
      <w:pPr>
        <w:ind w:left="2436" w:hanging="336"/>
      </w:pPr>
    </w:lvl>
    <w:lvl w:ilvl="1">
      <w:start w:val="1"/>
      <w:numFmt w:val="lowerLetter"/>
      <w:lvlText w:val="%2."/>
      <w:lvlJc w:val="left"/>
      <w:pPr>
        <w:ind w:left="1176" w:hanging="336"/>
      </w:pPr>
    </w:lvl>
    <w:lvl w:ilvl="0">
      <w:start w:val="1"/>
      <w:numFmt w:val="decimal"/>
      <w:lvlText w:val="%1）"/>
      <w:lvlJc w:val="left"/>
      <w:pPr>
        <w:ind w:left="756" w:hanging="336"/>
      </w:pPr>
      <w:rPr/>
    </w:lvl>
    <w:lvl w:ilvl="5">
      <w:start w:val="1"/>
      <w:numFmt w:val="lowerRoman"/>
      <w:lvlText w:val="%6."/>
      <w:lvlJc w:val="left"/>
      <w:pPr>
        <w:ind w:left="2856" w:hanging="336"/>
      </w:pPr>
    </w:lvl>
    <w:lvl w:ilvl="3">
      <w:start w:val="1"/>
      <w:numFmt w:val="decimal"/>
      <w:lvlText w:val="%4）"/>
      <w:lvlJc w:val="left"/>
      <w:pPr>
        <w:ind w:left="2016" w:hanging="336"/>
      </w:pPr>
    </w:lvl>
    <w:lvl w:ilvl="2">
      <w:start w:val="1"/>
      <w:numFmt w:val="lowerRoman"/>
      <w:lvlText w:val="%3."/>
      <w:lvlJc w:val="left"/>
      <w:pPr>
        <w:ind w:left="1596" w:hanging="336"/>
      </w:pPr>
    </w:lvl>
    <w:lvl w:ilvl="7">
      <w:start w:val="1"/>
      <w:numFmt w:val="lowerLetter"/>
      <w:lvlText w:val="%8."/>
      <w:lvlJc w:val="left"/>
      <w:pPr>
        <w:ind w:left="3696" w:hanging="336"/>
      </w:pPr>
    </w:lvl>
  </w:abstractNum>
  <w:abstractNum w:abstractNumId="3">
    <w:lvl w:ilvl="4">
      <w:start w:val="1"/>
      <w:numFmt w:val="lowerLetter"/>
      <w:lvlText w:val="%5."/>
      <w:lvlJc w:val="left"/>
      <w:pPr>
        <w:ind w:left="2016" w:hanging="336"/>
      </w:pPr>
    </w:lvl>
    <w:lvl w:ilvl="8">
      <w:start w:val="1"/>
      <w:numFmt w:val="lowerRoman"/>
      <w:lvlText w:val="%9."/>
      <w:lvlJc w:val="left"/>
      <w:pPr>
        <w:ind w:left="3696" w:hanging="336"/>
      </w:pPr>
    </w:lvl>
    <w:lvl w:ilvl="2">
      <w:start w:val="1"/>
      <w:numFmt w:val="lowerRoman"/>
      <w:lvlText w:val="%3."/>
      <w:lvlJc w:val="left"/>
      <w:pPr>
        <w:ind w:left="1176" w:hanging="336"/>
      </w:pPr>
    </w:lvl>
    <w:lvl w:ilvl="1">
      <w:start w:val="1"/>
      <w:numFmt w:val="lowerLetter"/>
      <w:lvlText w:val="%2."/>
      <w:lvlJc w:val="left"/>
      <w:pPr>
        <w:ind w:left="756" w:hanging="336"/>
      </w:pPr>
    </w:lvl>
    <w:lvl w:ilvl="3">
      <w:start w:val="1"/>
      <w:numFmt w:val="decimal"/>
      <w:lvlText w:val="%4."/>
      <w:lvlJc w:val="left"/>
      <w:pPr>
        <w:ind w:left="1596" w:hanging="336"/>
      </w:pPr>
    </w:lvl>
    <w:lvl w:ilvl="7">
      <w:start w:val="1"/>
      <w:numFmt w:val="lowerLetter"/>
      <w:lvlText w:val="%8."/>
      <w:lvlJc w:val="left"/>
      <w:pPr>
        <w:ind w:left="32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5">
      <w:start w:val="1"/>
      <w:numFmt w:val="lowerRoman"/>
      <w:lvlText w:val="%6."/>
      <w:lvlJc w:val="left"/>
      <w:pPr>
        <w:ind w:left="2436" w:hanging="336"/>
      </w:pPr>
    </w:lvl>
    <w:lvl w:ilvl="6">
      <w:start w:val="1"/>
      <w:numFmt w:val="decimal"/>
      <w:lvlText w:val="%7."/>
      <w:lvlJc w:val="left"/>
      <w:pPr>
        <w:ind w:left="2856" w:hanging="336"/>
      </w:pPr>
    </w:lvl>
  </w:abstractNum>
  <w:abstractNum w:abstractNumId="4">
    <w:lvl w:ilvl="7">
      <w:start w:val="1"/>
      <w:numFmt w:val="lowerLetter"/>
      <w:lvlText w:val="%8."/>
      <w:lvlJc w:val="left"/>
      <w:pPr>
        <w:ind w:left="3696" w:hanging="336"/>
      </w:pPr>
    </w:lvl>
    <w:lvl w:ilvl="4">
      <w:start w:val="1"/>
      <w:numFmt w:val="lowerLetter"/>
      <w:lvlText w:val="%5."/>
      <w:lvlJc w:val="left"/>
      <w:pPr>
        <w:ind w:left="2436" w:hanging="336"/>
      </w:pPr>
    </w:lvl>
    <w:lvl w:ilvl="5">
      <w:start w:val="1"/>
      <w:numFmt w:val="lowerRoman"/>
      <w:lvlText w:val="%6."/>
      <w:lvlJc w:val="left"/>
      <w:pPr>
        <w:ind w:left="2856" w:hanging="336"/>
      </w:pPr>
    </w:lvl>
    <w:lvl w:ilvl="3">
      <w:start w:val="1"/>
      <w:numFmt w:val="decimal"/>
      <w:lvlText w:val="%4）"/>
      <w:lvlJc w:val="left"/>
      <w:pPr>
        <w:ind w:left="2016" w:hanging="336"/>
      </w:pPr>
    </w:lvl>
    <w:lvl w:ilvl="6">
      <w:start w:val="1"/>
      <w:numFmt w:val="decimal"/>
      <w:lvlText w:val="%7）"/>
      <w:lvlJc w:val="left"/>
      <w:pPr>
        <w:ind w:left="3276" w:hanging="336"/>
      </w:pPr>
    </w:lvl>
    <w:lvl w:ilvl="2">
      <w:start w:val="1"/>
      <w:numFmt w:val="lowerRoman"/>
      <w:lvlText w:val="%3."/>
      <w:lvlJc w:val="left"/>
      <w:pPr>
        <w:ind w:left="1596" w:hanging="336"/>
      </w:pPr>
    </w:lvl>
    <w:lvl w:ilvl="1">
      <w:start w:val="1"/>
      <w:numFmt w:val="lowerLetter"/>
      <w:lvlText w:val="%2."/>
      <w:lvlJc w:val="left"/>
      <w:pPr>
        <w:ind w:left="1176" w:hanging="336"/>
      </w:pPr>
    </w:lvl>
    <w:lvl w:ilvl="0">
      <w:start w:val="1"/>
      <w:numFmt w:val="decimal"/>
      <w:lvlText w:val="%1）"/>
      <w:lvlJc w:val="left"/>
      <w:pPr>
        <w:ind w:left="756" w:hanging="336"/>
      </w:pPr>
      <w:rPr/>
    </w:lvl>
  </w:abstractNum>
  <w:abstractNum w:abstractNumId="5">
    <w:lvl w:ilvl="5">
      <w:start w:val="1"/>
      <w:numFmt w:val="lowerRoman"/>
      <w:lvlText w:val="%6."/>
      <w:lvlJc w:val="left"/>
      <w:pPr>
        <w:ind w:left="2916" w:hanging="336"/>
      </w:pPr>
    </w:lvl>
    <w:lvl w:ilvl="4">
      <w:start w:val="1"/>
      <w:numFmt w:val="lowerLetter"/>
      <w:lvlText w:val="%5."/>
      <w:lvlJc w:val="left"/>
      <w:pPr>
        <w:ind w:left="2496" w:hanging="336"/>
      </w:pPr>
    </w:lvl>
    <w:lvl w:ilvl="7">
      <w:start w:val="1"/>
      <w:numFmt w:val="lowerLetter"/>
      <w:lvlText w:val="%8."/>
      <w:lvlJc w:val="left"/>
      <w:pPr>
        <w:ind w:left="3756" w:hanging="336"/>
      </w:pPr>
    </w:lvl>
    <w:lvl w:ilvl="1">
      <w:start w:val="1"/>
      <w:numFmt w:val="lowerLetter"/>
      <w:lvlText w:val="%2."/>
      <w:lvlJc w:val="left"/>
      <w:pPr>
        <w:ind w:left="1236" w:hanging="336"/>
      </w:pPr>
    </w:lvl>
    <w:lvl w:ilvl="6">
      <w:start w:val="1"/>
      <w:numFmt w:val="decimal"/>
      <w:lvlText w:val="%7）"/>
      <w:lvlJc w:val="left"/>
      <w:pPr>
        <w:ind w:left="3336" w:hanging="336"/>
      </w:pPr>
    </w:lvl>
    <w:lvl w:ilvl="0">
      <w:start w:val="1"/>
      <w:numFmt w:val="decimal"/>
      <w:lvlText w:val="%1）"/>
      <w:lvlJc w:val="left"/>
      <w:pPr>
        <w:ind w:left="816" w:hanging="336"/>
      </w:pPr>
      <w:rPr/>
    </w:lvl>
    <w:lvl w:ilvl="2">
      <w:start w:val="1"/>
      <w:numFmt w:val="lowerRoman"/>
      <w:lvlText w:val="%3."/>
      <w:lvlJc w:val="left"/>
      <w:pPr>
        <w:ind w:left="1656" w:hanging="336"/>
      </w:pPr>
    </w:lvl>
    <w:lvl w:ilvl="3">
      <w:start w:val="1"/>
      <w:numFmt w:val="decimal"/>
      <w:lvlText w:val="%4）"/>
      <w:lvlJc w:val="left"/>
      <w:pPr>
        <w:ind w:left="2076" w:hanging="336"/>
      </w:pPr>
    </w:lvl>
  </w:abstractNum>
  <w:abstractNum w:abstractNumId="6">
    <w:lvl w:ilvl="4">
      <w:start w:val="1"/>
      <w:numFmt w:val="lowerLetter"/>
      <w:lvlText w:val="%5."/>
      <w:lvlJc w:val="left"/>
      <w:pPr>
        <w:ind w:left="2436" w:hanging="336"/>
      </w:pPr>
    </w:lvl>
    <w:lvl w:ilvl="3">
      <w:start w:val="1"/>
      <w:numFmt w:val="decimal"/>
      <w:lvlText w:val="%4）"/>
      <w:lvlJc w:val="left"/>
      <w:pPr>
        <w:ind w:left="2016" w:hanging="336"/>
      </w:pPr>
    </w:lvl>
    <w:lvl w:ilvl="2">
      <w:start w:val="1"/>
      <w:numFmt w:val="lowerRoman"/>
      <w:lvlText w:val="%3."/>
      <w:lvlJc w:val="left"/>
      <w:pPr>
        <w:ind w:left="1596" w:hanging="336"/>
      </w:pPr>
    </w:lvl>
    <w:lvl w:ilvl="1">
      <w:start w:val="1"/>
      <w:numFmt w:val="lowerLetter"/>
      <w:lvlText w:val="%2."/>
      <w:lvlJc w:val="left"/>
      <w:pPr>
        <w:ind w:left="1176" w:hanging="336"/>
      </w:pPr>
    </w:lvl>
    <w:lvl w:ilvl="0">
      <w:start w:val="1"/>
      <w:numFmt w:val="decimal"/>
      <w:lvlText w:val="%1）"/>
      <w:lvlJc w:val="left"/>
      <w:pPr>
        <w:ind w:left="756" w:hanging="336"/>
      </w:pPr>
      <w:rPr/>
    </w:lvl>
    <w:lvl w:ilvl="6">
      <w:start w:val="1"/>
      <w:numFmt w:val="decimal"/>
      <w:lvlText w:val="%7）"/>
      <w:lvlJc w:val="left"/>
      <w:pPr>
        <w:ind w:left="3276" w:hanging="336"/>
      </w:pPr>
    </w:lvl>
    <w:lvl w:ilvl="5">
      <w:start w:val="1"/>
      <w:numFmt w:val="lowerRoman"/>
      <w:lvlText w:val="%6."/>
      <w:lvlJc w:val="left"/>
      <w:pPr>
        <w:ind w:left="2856" w:hanging="336"/>
      </w:pPr>
    </w:lvl>
    <w:lvl w:ilvl="7">
      <w:start w:val="1"/>
      <w:numFmt w:val="lowerLetter"/>
      <w:lvlText w:val="%8."/>
      <w:lvlJc w:val="left"/>
      <w:pPr>
        <w:ind w:left="3696" w:hanging="336"/>
      </w:pPr>
    </w:lvl>
  </w:abstractNum>
  <w:abstractNum w:abstractNumId="7">
    <w:lvl w:ilvl="5">
      <w:start w:val="1"/>
      <w:numFmt w:val="lowerRoman"/>
      <w:lvlText w:val="%6."/>
      <w:lvlJc w:val="left"/>
      <w:pPr>
        <w:ind w:left="243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4">
      <w:start w:val="1"/>
      <w:numFmt w:val="lowerLetter"/>
      <w:lvlText w:val="%5."/>
      <w:lvlJc w:val="left"/>
      <w:pPr>
        <w:ind w:left="2016" w:hanging="336"/>
      </w:pPr>
    </w:lvl>
    <w:lvl w:ilvl="1">
      <w:start w:val="1"/>
      <w:numFmt w:val="lowerLetter"/>
      <w:lvlText w:val="%2."/>
      <w:lvlJc w:val="left"/>
      <w:pPr>
        <w:ind w:left="756" w:hanging="336"/>
      </w:pPr>
    </w:lvl>
    <w:lvl w:ilvl="3">
      <w:start w:val="1"/>
      <w:numFmt w:val="decimal"/>
      <w:lvlText w:val="%4."/>
      <w:lvlJc w:val="left"/>
      <w:pPr>
        <w:ind w:left="1596" w:hanging="336"/>
      </w:pPr>
    </w:lvl>
    <w:lvl w:ilvl="8">
      <w:start w:val="1"/>
      <w:numFmt w:val="lowerRoman"/>
      <w:lvlText w:val="%9."/>
      <w:lvlJc w:val="left"/>
      <w:pPr>
        <w:ind w:left="3696" w:hanging="336"/>
      </w:pPr>
    </w:lvl>
    <w:lvl w:ilvl="7">
      <w:start w:val="1"/>
      <w:numFmt w:val="lowerLetter"/>
      <w:lvlText w:val="%8."/>
      <w:lvlJc w:val="left"/>
      <w:pPr>
        <w:ind w:left="3276" w:hanging="336"/>
      </w:pPr>
    </w:lvl>
    <w:lvl w:ilvl="6">
      <w:start w:val="1"/>
      <w:numFmt w:val="decimal"/>
      <w:lvlText w:val="%7."/>
      <w:lvlJc w:val="left"/>
      <w:pPr>
        <w:ind w:left="2856" w:hanging="336"/>
      </w:pPr>
    </w:lvl>
    <w:lvl w:ilvl="2">
      <w:start w:val="1"/>
      <w:numFmt w:val="lowerRoman"/>
      <w:lvlText w:val="%3."/>
      <w:lvlJc w:val="left"/>
      <w:pPr>
        <w:ind w:left="1176" w:hanging="336"/>
      </w:pPr>
    </w:lvl>
  </w:abstractNum>
  <w:num w:numId="5">
    <w:abstractNumId w:val="1"/>
  </w:num>
  <w:num w:numId="1">
    <w:abstractNumId w:val="7"/>
  </w:num>
  <w:num w:numId="3">
    <w:abstractNumId w:val="6"/>
  </w:num>
  <w:num w:numId="7">
    <w:abstractNumId w:val="2"/>
  </w:num>
  <w:num w:numId="4">
    <w:abstractNumId w:val="4"/>
  </w:num>
  <w:num w:numId="2">
    <w:abstractNumId w:val="3"/>
  </w:num>
  <w:num w:numId="6">
    <w:abstractNumId w:val="5"/>
  </w:num>
</w:numbering>
</file>

<file path=word/settings.xml><?xml version="1.0" encoding="utf-8"?>
<w:settings xmlns:w="http://schemas.openxmlformats.org/wordprocessingml/2006/main"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000000"/>
        <w:kern w:val="2"/>
        <w:sz w:val="21"/>
        <w:szCs w:val="21"/>
      </w:rPr>
    </w:rPrDefault>
    <w:pPrDefault>
      <w:pPr>
        <w:snapToGrid w:val="false"/>
        <w:spacing w:before="0" w:after="0" w:line="240" w:lineRule="auto"/>
      </w:pPr>
    </w:pPrDefault>
  </w:docDefaults>
  <w:style w:type="paragraph" w:styleId="984x25" w:default="true">
    <w:name w:val="Normal"/>
    <w:basedOn w:val=""/>
    <w:next w:val=""/>
    <w:pPr>
      <w:widowControl w:val="false"/>
      <w:jc w:val="left"/>
    </w:pPr>
  </w:style>
  <w:style w:type="character" w:styleId="0880vb">
    <w:name w:val="Hyperlink"/>
    <w:basedOn w:val="yvmm39"/>
    <w:next w:val=""/>
    <w:uiPriority w:val="99"/>
    <w:unhideWhenUsed/>
    <w:rPr>
      <w:color w:val="1E6FFF" w:themeColor="hyperlink"/>
      <w:u w:val="single"/>
    </w:rPr>
  </w:style>
  <w:style w:type="paragraph" w:styleId="v0xojo">
    <w:name w:val="melo-codeblock-Base-theme-para"/>
    <w:basedOn w:val="4ykr5p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table" w:styleId="jhjkhi">
    <w:name w:val="Table Grid"/>
    <w:basedOn w:val="7t15qc"/>
    <w:next w:val=""/>
    <w:uiPriority w:val="3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60" w:type="dxa"/>
        <w:left w:w="60" w:type="dxa"/>
        <w:bottom w:w="45" w:type="dxa"/>
        <w:right w:w="60" w:type="dxa"/>
      </w:tblCellMar>
    </w:tblPr>
    <w:tcPr>
      <w:vAlign w:val="center"/>
    </w:tcPr>
  </w:style>
  <w:style w:type="paragraph" w:styleId="obrja5">
    <w:name w:val="heading 1"/>
    <w:basedOn w:val="wpuwzy"/>
    <w:next w:val="1v03zw"/>
    <w:uiPriority w:val="9"/>
    <w:qFormat/>
    <w:pPr>
      <w:keepNext/>
      <w:keepLines/>
      <w:spacing w:before="240" w:after="240" w:line="408" w:lineRule="auto"/>
      <w:outlineLvl w:val="0"/>
    </w:pPr>
    <w:rPr>
      <w:b/>
      <w:bCs/>
      <w:sz w:val="44"/>
      <w:szCs w:val="44"/>
    </w:rPr>
  </w:style>
  <w:style w:type="paragraph" w:styleId="00hky4" w:default="true">
    <w:name w:val="Normal"/>
    <w:basedOn w:val=""/>
    <w:next w:val=""/>
    <w:pPr>
      <w:widowControl w:val="false"/>
      <w:jc w:val="left"/>
    </w:pPr>
  </w:style>
  <w:style w:type="paragraph" w:styleId="sqjv1h" w:default="true">
    <w:name w:val="Normal"/>
    <w:basedOn w:val=""/>
    <w:next w:val=""/>
    <w:pPr>
      <w:widowControl w:val="false"/>
      <w:jc w:val="left"/>
    </w:pPr>
  </w:style>
  <w:style w:type="paragraph" w:styleId="vq1b83">
    <w:name w:val="heading 3"/>
    <w:basedOn w:val="4ykr5p"/>
    <w:next w:val="4ykr5p"/>
    <w:uiPriority w:val="9"/>
    <w:qFormat/>
    <w:pPr>
      <w:keepNext/>
      <w:keepLines/>
      <w:spacing w:before="200" w:after="200" w:line="360" w:lineRule="auto"/>
      <w:outlineLvl w:val="2"/>
    </w:pPr>
    <w:rPr>
      <w:b/>
      <w:bCs/>
      <w:sz w:val="32"/>
      <w:szCs w:val="32"/>
    </w:rPr>
  </w:style>
  <w:style w:type="character" w:styleId="yvmm39" w:default="true">
    <w:name w:val="Default Paragraph Font"/>
    <w:basedOn w:val=""/>
    <w:next w:val=""/>
    <w:uiPriority w:val="1"/>
    <w:semiHidden/>
    <w:unhideWhenUsed/>
  </w:style>
  <w:style w:type="paragraph" w:styleId="3m9zfc">
    <w:name w:val="heading 2"/>
    <w:basedOn w:val="71x8ap"/>
    <w:next w:val="00hky4"/>
    <w:uiPriority w:val="9"/>
    <w:qFormat/>
    <w:pPr>
      <w:keepNext/>
      <w:keepLines/>
      <w:spacing w:before="240" w:after="240" w:line="408" w:lineRule="auto"/>
      <w:outlineLvl w:val="1"/>
    </w:pPr>
    <w:rPr>
      <w:b/>
      <w:bCs/>
      <w:sz w:val="32"/>
      <w:szCs w:val="32"/>
    </w:rPr>
  </w:style>
  <w:style w:type="table" w:styleId="7t15qc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71x8ap" w:default="true">
    <w:name w:val="Normal"/>
    <w:basedOn w:val=""/>
    <w:next w:val=""/>
    <w:pPr>
      <w:widowControl w:val="false"/>
      <w:jc w:val="left"/>
    </w:pPr>
  </w:style>
  <w:style w:type="paragraph" w:styleId="1v03zw" w:default="true">
    <w:name w:val="Normal"/>
    <w:basedOn w:val=""/>
    <w:next w:val=""/>
    <w:pPr>
      <w:widowControl w:val="false"/>
      <w:jc w:val="left"/>
    </w:pPr>
  </w:style>
  <w:style w:type="paragraph" w:styleId="4ykr5p" w:default="true">
    <w:name w:val="Normal"/>
    <w:basedOn w:val=""/>
    <w:next w:val=""/>
    <w:pPr>
      <w:widowControl w:val="false"/>
      <w:jc w:val="left"/>
    </w:pPr>
  </w:style>
  <w:style w:type="paragraph" w:styleId="j2ezex">
    <w:name w:val="Title"/>
    <w:basedOn w:val="2ljx6q"/>
    <w:next w:val="984x25"/>
    <w:uiPriority w:val="9"/>
    <w:qFormat/>
    <w:pPr>
      <w:keepNext/>
      <w:keepLines/>
      <w:spacing w:before="240" w:after="60" w:lineRule="auto"/>
      <w:jc w:val="center"/>
      <w:outlineLvl w:val="0"/>
    </w:pPr>
    <w:rPr>
      <w:b/>
      <w:bCs/>
      <w:sz w:val="32"/>
      <w:szCs w:val="32"/>
    </w:rPr>
  </w:style>
  <w:style w:type="paragraph" w:styleId="wpuwzy" w:default="true">
    <w:name w:val="Normal"/>
    <w:basedOn w:val=""/>
    <w:next w:val=""/>
    <w:pPr>
      <w:widowControl w:val="false"/>
      <w:jc w:val="left"/>
    </w:pPr>
  </w:style>
  <w:style w:type="paragraph" w:styleId="2ljx6q" w:default="true">
    <w:name w:val="Normal"/>
    <w:basedOn w:val=""/>
    <w:next w:val=""/>
    <w:pPr>
      <w:widowControl w:val="false"/>
      <w:jc w:val="left"/>
    </w:p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5.png" /><Relationship Id="rId7" Type="http://schemas.openxmlformats.org/officeDocument/2006/relationships/image" Target="media/image4.png" /><Relationship Id="rId5" Type="http://schemas.openxmlformats.org/officeDocument/2006/relationships/image" Target="media/image2.png" /><Relationship Id="rId11" Type="http://schemas.openxmlformats.org/officeDocument/2006/relationships/image" Target="media/image8.png" /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0" Type="http://schemas.openxmlformats.org/officeDocument/2006/relationships/styles" Target="styles.xml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6" Type="http://schemas.openxmlformats.org/officeDocument/2006/relationships/image" Target="media/image3.png" /><Relationship Id="rId14" Type="http://schemas.openxmlformats.org/officeDocument/2006/relationships/image" Target="media/image11.png" /><Relationship Id="rId9" Type="http://schemas.openxmlformats.org/officeDocument/2006/relationships/image" Target="media/image6.png" /><Relationship Id="rId3" Type="http://schemas.openxmlformats.org/officeDocument/2006/relationships/numbering" Target="numbering.xml" /><Relationship Id="rId4" Type="http://schemas.openxmlformats.org/officeDocument/2006/relationships/image" Target="media/image1.png" /><Relationship Id="rId2" Type="http://schemas.openxmlformats.org/officeDocument/2006/relationships/fontTable" Target="fontTable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2024-07-09T16:56:52Z</dcterms:created>
  <dcterms:modified xsi:type="dcterms:W3CDTF">2024-07-09T16:56:52Z</dcterms:modified>
</cp:coreProperties>
</file>