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0"/>
      </w:pPr>
      <w:r>
        <w:rPr>
          <w:rFonts w:ascii="Arial" w:hAnsi="Arial"/>
          <w:b/>
          <w:color w:val="17365D"/>
          <w:sz w:val="50"/>
        </w:rPr>
        <w:t>Warehouse Wizard</w:t>
      </w:r>
    </w:p>
    <w:p>
      <w:pPr>
        <w:spacing w:after="200"/>
      </w:pPr>
      <w:r>
        <w:rPr>
          <w:rFonts w:ascii="Arial" w:hAnsi="Arial"/>
          <w:b/>
          <w:color w:val="2F5597"/>
          <w:sz w:val="34"/>
        </w:rPr>
        <w:t>Cloud vs Fully On-Premise Deployment Assessment</w:t>
      </w:r>
    </w:p>
    <w:tbl>
      <w:tblPr>
        <w:tblW w:type="auto" w:w="0"/>
        <w:jc w:val="center"/>
        <w:tblLook w:firstColumn="1" w:firstRow="1" w:lastColumn="0" w:lastRow="0" w:noHBand="0" w:noVBand="1" w:val="04A0"/>
      </w:tblPr>
      <w:tblGrid>
        <w:gridCol w:w="10166"/>
      </w:tblGrid>
      <w:tr>
        <w:trPr>
          <w:cantSplit/>
        </w:trPr>
        <w:tc>
          <w:tcPr>
            <w:tcW w:type="dxa" w:w="10166"/>
            <w:shd w:fill="EAF2F8"/>
            <w:tcBorders>
              <w:top w:val="single" w:sz="6" w:color="9EADBD"/>
              <w:left w:val="single" w:sz="6" w:color="9EADBD"/>
              <w:bottom w:val="single" w:sz="6" w:color="9EADBD"/>
              <w:right w:val="single" w:sz="6" w:color="9EADBD"/>
            </w:tcBorders>
          </w:tcPr>
          <w:p>
            <w:pPr>
              <w:spacing w:after="0"/>
            </w:pPr>
            <w:r>
              <w:rPr>
                <w:b/>
                <w:color w:val="17365D"/>
                <w:sz w:val="21"/>
              </w:rPr>
              <w:t>Executive position</w:t>
            </w:r>
          </w:p>
          <w:p>
            <w:pPr>
              <w:spacing w:after="0"/>
            </w:pPr>
            <w:r>
              <w:rPr>
                <w:sz w:val="20"/>
              </w:rPr>
              <w:t>With NetSuite being implemented from 1 September 2026, Warehouse Wizard is moving into a cloud-connected operating environment. A fully on-premise version remains technically possible, but it would create additional infrastructure, security, integration and support obligations. The more proportionate approach is to retain the cloud architecture and engineer internet and device redundancy to reduce practical downtime risk.</w:t>
            </w:r>
          </w:p>
        </w:tc>
      </w:tr>
    </w:tbl>
    <w:p>
      <w:pPr>
        <w:spacing w:after="60"/>
      </w:pPr>
    </w:p>
    <w:p>
      <w:pPr>
        <w:pStyle w:val="Heading1"/>
      </w:pPr>
      <w:r>
        <w:t>1. Purpose</w:t>
      </w:r>
    </w:p>
    <w:p>
      <w:r>
        <w:t>This document compares the implications of keeping Warehouse Wizard cloud-hosted versus migrating it to a fully on-premise deployment. It is intended to define the scope of work, security considerations, infrastructure requirements, cost areas and operational trade-offs before any migration decision is made.</w:t>
      </w:r>
    </w:p>
    <w:p>
      <w:pPr>
        <w:pStyle w:val="Heading1"/>
      </w:pPr>
      <w:r>
        <w:t>2. Current Context</w:t>
      </w:r>
    </w:p>
    <w:p>
      <w:r>
        <w:t>On-premise deployment was originally considered partly because Synergy is currently hosted locally. That consideration is becoming less important as NetSuite comes on board from 1 September 2026 and the operating environment becomes increasingly cloud-based.</w:t>
      </w:r>
    </w:p>
    <w:p>
      <w:r>
        <w:t>If Warehouse Wizard were fully on-premise, it would still need secure access to NetSuite and potentially other cloud services. The challenge therefore changes from simply “hosting locally” to securely connecting a privately managed local application and network to externally hosted systems.</w:t>
      </w:r>
    </w:p>
    <w:p>
      <w:pPr>
        <w:pStyle w:val="Heading1"/>
      </w:pPr>
      <w:r>
        <w:t>3. Cloud vs On-Premise at a Glance</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1800"/>
            <w:shd w:fill="17365D"/>
            <w:vAlign w:val="center"/>
          </w:tcPr>
          <w:p>
            <w:r>
              <w:rPr>
                <w:b/>
                <w:color w:val="FFFFFF"/>
                <w:sz w:val="18"/>
              </w:rPr>
              <w:t>Area</w:t>
            </w:r>
          </w:p>
        </w:tc>
        <w:tc>
          <w:tcPr>
            <w:tcW w:type="dxa" w:w="3816"/>
            <w:shd w:fill="17365D"/>
            <w:vAlign w:val="center"/>
          </w:tcPr>
          <w:p>
            <w:r>
              <w:rPr>
                <w:b/>
                <w:color w:val="FFFFFF"/>
                <w:sz w:val="18"/>
              </w:rPr>
              <w:t>Cloud</w:t>
            </w:r>
          </w:p>
        </w:tc>
        <w:tc>
          <w:tcPr>
            <w:tcW w:type="dxa" w:w="3816"/>
            <w:shd w:fill="17365D"/>
            <w:vAlign w:val="center"/>
          </w:tcPr>
          <w:p>
            <w:r>
              <w:rPr>
                <w:b/>
                <w:color w:val="FFFFFF"/>
                <w:sz w:val="18"/>
              </w:rPr>
              <w:t>Fully On-Premise</w:t>
            </w:r>
          </w:p>
        </w:tc>
      </w:tr>
      <w:tr>
        <w:trPr>
          <w:cantSplit/>
        </w:trPr>
        <w:tc>
          <w:tcPr>
            <w:tcW w:type="dxa" w:w="1800"/>
            <w:vAlign w:val="top"/>
          </w:tcPr>
          <w:p>
            <w:r>
              <w:rPr>
                <w:sz w:val="17"/>
              </w:rPr>
              <w:t>Infrastructure</w:t>
            </w:r>
          </w:p>
        </w:tc>
        <w:tc>
          <w:tcPr>
            <w:tcW w:type="dxa" w:w="3816"/>
            <w:vAlign w:val="top"/>
          </w:tcPr>
          <w:p>
            <w:r>
              <w:rPr>
                <w:sz w:val="17"/>
              </w:rPr>
              <w:t>Hosting platform carries much of the server/platform burden.</w:t>
            </w:r>
          </w:p>
        </w:tc>
        <w:tc>
          <w:tcPr>
            <w:tcW w:type="dxa" w:w="3816"/>
            <w:vAlign w:val="top"/>
          </w:tcPr>
          <w:p>
            <w:r>
              <w:rPr>
                <w:sz w:val="17"/>
              </w:rPr>
              <w:t>Company must own, size, secure, monitor, patch and replace the server environment.</w:t>
            </w:r>
          </w:p>
        </w:tc>
      </w:tr>
      <w:tr>
        <w:trPr>
          <w:cantSplit/>
        </w:trPr>
        <w:tc>
          <w:tcPr>
            <w:tcW w:type="dxa" w:w="1800"/>
            <w:vAlign w:val="top"/>
            <w:shd w:fill="F7F9FB"/>
          </w:tcPr>
          <w:p>
            <w:r>
              <w:rPr>
                <w:sz w:val="17"/>
              </w:rPr>
              <w:t>NetSuite integration</w:t>
            </w:r>
          </w:p>
        </w:tc>
        <w:tc>
          <w:tcPr>
            <w:tcW w:type="dxa" w:w="3816"/>
            <w:vAlign w:val="top"/>
            <w:shd w:fill="F7F9FB"/>
          </w:tcPr>
          <w:p>
            <w:r>
              <w:rPr>
                <w:sz w:val="17"/>
              </w:rPr>
              <w:t>Natural fit for API-based cloud connectivity.</w:t>
            </w:r>
          </w:p>
        </w:tc>
        <w:tc>
          <w:tcPr>
            <w:tcW w:type="dxa" w:w="3816"/>
            <w:vAlign w:val="top"/>
            <w:shd w:fill="F7F9FB"/>
          </w:tcPr>
          <w:p>
            <w:r>
              <w:rPr>
                <w:sz w:val="17"/>
              </w:rPr>
              <w:t>Requires a controlled secure bridge from the local environment to NetSuite.</w:t>
            </w:r>
          </w:p>
        </w:tc>
      </w:tr>
      <w:tr>
        <w:trPr>
          <w:cantSplit/>
        </w:trPr>
        <w:tc>
          <w:tcPr>
            <w:tcW w:type="dxa" w:w="1800"/>
            <w:vAlign w:val="top"/>
          </w:tcPr>
          <w:p>
            <w:r>
              <w:rPr>
                <w:sz w:val="17"/>
              </w:rPr>
              <w:t>Security boundary</w:t>
            </w:r>
          </w:p>
        </w:tc>
        <w:tc>
          <w:tcPr>
            <w:tcW w:type="dxa" w:w="3816"/>
            <w:vAlign w:val="top"/>
          </w:tcPr>
          <w:p>
            <w:r>
              <w:rPr>
                <w:sz w:val="17"/>
              </w:rPr>
              <w:t>Centralized application and hosting controls.</w:t>
            </w:r>
          </w:p>
        </w:tc>
        <w:tc>
          <w:tcPr>
            <w:tcW w:type="dxa" w:w="3816"/>
            <w:vAlign w:val="top"/>
          </w:tcPr>
          <w:p>
            <w:r>
              <w:rPr>
                <w:sz w:val="17"/>
              </w:rPr>
              <w:t>Adds local server, LAN, firewall, remote access and endpoint exposure to the security model.</w:t>
            </w:r>
          </w:p>
        </w:tc>
      </w:tr>
      <w:tr>
        <w:trPr>
          <w:cantSplit/>
        </w:trPr>
        <w:tc>
          <w:tcPr>
            <w:tcW w:type="dxa" w:w="1800"/>
            <w:vAlign w:val="top"/>
            <w:shd w:fill="F7F9FB"/>
          </w:tcPr>
          <w:p>
            <w:r>
              <w:rPr>
                <w:sz w:val="17"/>
              </w:rPr>
              <w:t>Internet dependency</w:t>
            </w:r>
          </w:p>
        </w:tc>
        <w:tc>
          <w:tcPr>
            <w:tcW w:type="dxa" w:w="3816"/>
            <w:vAlign w:val="top"/>
            <w:shd w:fill="F7F9FB"/>
          </w:tcPr>
          <w:p>
            <w:r>
              <w:rPr>
                <w:sz w:val="17"/>
              </w:rPr>
              <w:t>Requires connectivity, mitigated by building and tablet failover.</w:t>
            </w:r>
          </w:p>
        </w:tc>
        <w:tc>
          <w:tcPr>
            <w:tcW w:type="dxa" w:w="3816"/>
            <w:vAlign w:val="top"/>
            <w:shd w:fill="F7F9FB"/>
          </w:tcPr>
          <w:p>
            <w:r>
              <w:rPr>
                <w:sz w:val="17"/>
              </w:rPr>
              <w:t>Core local functions may continue offline, but NetSuite/cloud-dependent functions still require internet.</w:t>
            </w:r>
          </w:p>
        </w:tc>
      </w:tr>
      <w:tr>
        <w:trPr>
          <w:cantSplit/>
        </w:trPr>
        <w:tc>
          <w:tcPr>
            <w:tcW w:type="dxa" w:w="1800"/>
            <w:vAlign w:val="top"/>
          </w:tcPr>
          <w:p>
            <w:r>
              <w:rPr>
                <w:sz w:val="17"/>
              </w:rPr>
              <w:t>Updates / deployment</w:t>
            </w:r>
          </w:p>
        </w:tc>
        <w:tc>
          <w:tcPr>
            <w:tcW w:type="dxa" w:w="3816"/>
            <w:vAlign w:val="top"/>
          </w:tcPr>
          <w:p>
            <w:r>
              <w:rPr>
                <w:sz w:val="17"/>
              </w:rPr>
              <w:t>Central deployment can update all users at once.</w:t>
            </w:r>
          </w:p>
        </w:tc>
        <w:tc>
          <w:tcPr>
            <w:tcW w:type="dxa" w:w="3816"/>
            <w:vAlign w:val="top"/>
          </w:tcPr>
          <w:p>
            <w:r>
              <w:rPr>
                <w:sz w:val="17"/>
              </w:rPr>
              <w:t>Requires controlled deployment to the local environment and compatibility with local infrastructure.</w:t>
            </w:r>
          </w:p>
        </w:tc>
      </w:tr>
      <w:tr>
        <w:trPr>
          <w:cantSplit/>
        </w:trPr>
        <w:tc>
          <w:tcPr>
            <w:tcW w:type="dxa" w:w="1800"/>
            <w:vAlign w:val="top"/>
            <w:shd w:fill="F7F9FB"/>
          </w:tcPr>
          <w:p>
            <w:r>
              <w:rPr>
                <w:sz w:val="17"/>
              </w:rPr>
              <w:t>Backup / recovery</w:t>
            </w:r>
          </w:p>
        </w:tc>
        <w:tc>
          <w:tcPr>
            <w:tcW w:type="dxa" w:w="3816"/>
            <w:vAlign w:val="top"/>
            <w:shd w:fill="F7F9FB"/>
          </w:tcPr>
          <w:p>
            <w:r>
              <w:rPr>
                <w:sz w:val="17"/>
              </w:rPr>
              <w:t>Can use cloud-native resilience and backup services.</w:t>
            </w:r>
          </w:p>
        </w:tc>
        <w:tc>
          <w:tcPr>
            <w:tcW w:type="dxa" w:w="3816"/>
            <w:vAlign w:val="top"/>
            <w:shd w:fill="F7F9FB"/>
          </w:tcPr>
          <w:p>
            <w:r>
              <w:rPr>
                <w:sz w:val="17"/>
              </w:rPr>
              <w:t>Backup, restore testing and disaster recovery become internal responsibilities.</w:t>
            </w:r>
          </w:p>
        </w:tc>
      </w:tr>
      <w:tr>
        <w:trPr>
          <w:cantSplit/>
        </w:trPr>
        <w:tc>
          <w:tcPr>
            <w:tcW w:type="dxa" w:w="1800"/>
            <w:vAlign w:val="top"/>
          </w:tcPr>
          <w:p>
            <w:r>
              <w:rPr>
                <w:sz w:val="17"/>
              </w:rPr>
              <w:t>Scalability</w:t>
            </w:r>
          </w:p>
        </w:tc>
        <w:tc>
          <w:tcPr>
            <w:tcW w:type="dxa" w:w="3816"/>
            <w:vAlign w:val="top"/>
          </w:tcPr>
          <w:p>
            <w:r>
              <w:rPr>
                <w:sz w:val="17"/>
              </w:rPr>
              <w:t>Generally simpler to scale compute, storage and remote access.</w:t>
            </w:r>
          </w:p>
        </w:tc>
        <w:tc>
          <w:tcPr>
            <w:tcW w:type="dxa" w:w="3816"/>
            <w:vAlign w:val="top"/>
          </w:tcPr>
          <w:p>
            <w:r>
              <w:rPr>
                <w:sz w:val="17"/>
              </w:rPr>
              <w:t>Scaling may require additional hardware, capacity planning and physical intervention.</w:t>
            </w:r>
          </w:p>
        </w:tc>
      </w:tr>
      <w:tr>
        <w:trPr>
          <w:cantSplit/>
        </w:trPr>
        <w:tc>
          <w:tcPr>
            <w:tcW w:type="dxa" w:w="1800"/>
            <w:vAlign w:val="top"/>
            <w:shd w:fill="F7F9FB"/>
          </w:tcPr>
          <w:p>
            <w:r>
              <w:rPr>
                <w:sz w:val="17"/>
              </w:rPr>
              <w:t>Cost profile</w:t>
            </w:r>
          </w:p>
        </w:tc>
        <w:tc>
          <w:tcPr>
            <w:tcW w:type="dxa" w:w="3816"/>
            <w:vAlign w:val="top"/>
            <w:shd w:fill="F7F9FB"/>
          </w:tcPr>
          <w:p>
            <w:r>
              <w:rPr>
                <w:sz w:val="17"/>
              </w:rPr>
              <w:t>Primarily recurring hosting/service cost.</w:t>
            </w:r>
          </w:p>
        </w:tc>
        <w:tc>
          <w:tcPr>
            <w:tcW w:type="dxa" w:w="3816"/>
            <w:vAlign w:val="top"/>
            <w:shd w:fill="F7F9FB"/>
          </w:tcPr>
          <w:p>
            <w:r>
              <w:rPr>
                <w:sz w:val="17"/>
              </w:rPr>
              <w:t>Higher migration/setup cost plus continuing server, security and support overhead.</w:t>
            </w:r>
          </w:p>
        </w:tc>
      </w:tr>
      <w:tr>
        <w:trPr>
          <w:cantSplit/>
        </w:trPr>
        <w:tc>
          <w:tcPr>
            <w:tcW w:type="dxa" w:w="1800"/>
            <w:vAlign w:val="top"/>
          </w:tcPr>
          <w:p>
            <w:r>
              <w:rPr>
                <w:sz w:val="17"/>
              </w:rPr>
              <w:t>Operational ownership</w:t>
            </w:r>
          </w:p>
        </w:tc>
        <w:tc>
          <w:tcPr>
            <w:tcW w:type="dxa" w:w="3816"/>
            <w:vAlign w:val="top"/>
          </w:tcPr>
          <w:p>
            <w:r>
              <w:rPr>
                <w:sz w:val="17"/>
              </w:rPr>
              <w:t>More responsibility sits with the application/hosting platform.</w:t>
            </w:r>
          </w:p>
        </w:tc>
        <w:tc>
          <w:tcPr>
            <w:tcW w:type="dxa" w:w="3816"/>
            <w:vAlign w:val="top"/>
          </w:tcPr>
          <w:p>
            <w:r>
              <w:rPr>
                <w:sz w:val="17"/>
              </w:rPr>
              <w:t>More responsibility sits with internal IT and local infrastructure.</w:t>
            </w:r>
          </w:p>
        </w:tc>
      </w:tr>
    </w:tbl>
    <w:p>
      <w:pPr>
        <w:pStyle w:val="Heading1"/>
      </w:pPr>
      <w:r>
        <w:t>4. Scope of a Fully On-Premise Migration</w:t>
      </w:r>
    </w:p>
    <w:p>
      <w:r>
        <w:t>A fully on-premise migration is not simply a change of hosting location. It would require a defined engineering project covering the application, database, infrastructure, security, deployment and support model.</w:t>
      </w:r>
    </w:p>
    <w:p>
      <w:pPr>
        <w:pStyle w:val="ListBullet"/>
        <w:spacing w:after="40"/>
        <w:ind w:left="317" w:hanging="173"/>
      </w:pPr>
      <w:r>
        <w:rPr>
          <w:sz w:val="20"/>
        </w:rPr>
        <w:t>Application architecture review to identify cloud dependencies and components that must be replaced, relocated or reconfigured.</w:t>
      </w:r>
    </w:p>
    <w:p>
      <w:pPr>
        <w:pStyle w:val="ListBullet"/>
        <w:spacing w:after="40"/>
        <w:ind w:left="317" w:hanging="173"/>
      </w:pPr>
      <w:r>
        <w:rPr>
          <w:sz w:val="20"/>
        </w:rPr>
        <w:t>Provisioning of production server hardware or virtual infrastructure, including CPU, memory, storage and operating system.</w:t>
      </w:r>
    </w:p>
    <w:p>
      <w:pPr>
        <w:pStyle w:val="ListBullet"/>
        <w:spacing w:after="40"/>
        <w:ind w:left="317" w:hanging="173"/>
      </w:pPr>
      <w:r>
        <w:rPr>
          <w:sz w:val="20"/>
        </w:rPr>
        <w:t>Local database installation, hardening, backup design and migration of existing Warehouse Wizard data.</w:t>
      </w:r>
    </w:p>
    <w:p>
      <w:pPr>
        <w:pStyle w:val="ListBullet"/>
        <w:spacing w:after="40"/>
        <w:ind w:left="317" w:hanging="173"/>
      </w:pPr>
      <w:r>
        <w:rPr>
          <w:sz w:val="20"/>
        </w:rPr>
        <w:t>Network and firewall design, including segmentation of the application/server environment from general user traffic where appropriate.</w:t>
      </w:r>
    </w:p>
    <w:p>
      <w:pPr>
        <w:pStyle w:val="ListBullet"/>
        <w:spacing w:after="40"/>
        <w:ind w:left="317" w:hanging="173"/>
      </w:pPr>
      <w:r>
        <w:rPr>
          <w:sz w:val="20"/>
        </w:rPr>
        <w:t>Secure authentication and authorization for users, tablets, administrators and service accounts.</w:t>
      </w:r>
    </w:p>
    <w:p>
      <w:pPr>
        <w:pStyle w:val="ListBullet"/>
        <w:spacing w:after="40"/>
        <w:ind w:left="317" w:hanging="173"/>
      </w:pPr>
      <w:r>
        <w:rPr>
          <w:sz w:val="20"/>
        </w:rPr>
        <w:t>NetSuite API integration from the local environment, including credential management, encryption, access control, auditability and failure handling.</w:t>
      </w:r>
    </w:p>
    <w:p>
      <w:pPr>
        <w:pStyle w:val="ListBullet"/>
        <w:spacing w:after="40"/>
        <w:ind w:left="317" w:hanging="173"/>
      </w:pPr>
      <w:r>
        <w:rPr>
          <w:sz w:val="20"/>
        </w:rPr>
        <w:t>Deployment and update mechanism for application releases, database changes and emergency fixes.</w:t>
      </w:r>
    </w:p>
    <w:p>
      <w:pPr>
        <w:pStyle w:val="ListBullet"/>
        <w:spacing w:after="40"/>
        <w:ind w:left="317" w:hanging="173"/>
      </w:pPr>
      <w:r>
        <w:rPr>
          <w:sz w:val="20"/>
        </w:rPr>
        <w:t>Monitoring, logging, alerting, patching and vulnerability-management procedures.</w:t>
      </w:r>
    </w:p>
    <w:p>
      <w:pPr>
        <w:pStyle w:val="ListBullet"/>
        <w:spacing w:after="40"/>
        <w:ind w:left="317" w:hanging="173"/>
      </w:pPr>
      <w:r>
        <w:rPr>
          <w:sz w:val="20"/>
        </w:rPr>
        <w:t>Backup, restore, disaster-recovery and business-continuity procedures, including periodic restore testing.</w:t>
      </w:r>
    </w:p>
    <w:p>
      <w:pPr>
        <w:pStyle w:val="ListBullet"/>
        <w:spacing w:after="40"/>
        <w:ind w:left="317" w:hanging="173"/>
      </w:pPr>
      <w:r>
        <w:rPr>
          <w:sz w:val="20"/>
        </w:rPr>
        <w:t>Documentation, operational ownership, support escalation and acceptance testing before production cutover.</w:t>
      </w:r>
    </w:p>
    <w:p>
      <w:pPr>
        <w:pStyle w:val="Heading1"/>
      </w:pPr>
      <w:r>
        <w:t>5. Security and Cloud-Integration Considerations</w:t>
      </w:r>
    </w:p>
    <w:p>
      <w:r>
        <w:t>The most significant difficulty with a fully on-premise model is not that it cannot connect to NetSuite; it can. The issue is that the connection must be designed so that neither the local network nor Warehouse Wizard becomes an uncontrolled route into the cloud environment.</w:t>
      </w:r>
    </w:p>
    <w:p>
      <w:pPr>
        <w:pStyle w:val="ListBullet"/>
        <w:spacing w:after="40"/>
        <w:ind w:left="317" w:hanging="173"/>
      </w:pPr>
      <w:r>
        <w:rPr>
          <w:sz w:val="20"/>
        </w:rPr>
        <w:t>Use supported NetSuite APIs and strong application authentication rather than direct or informal access paths.</w:t>
      </w:r>
    </w:p>
    <w:p>
      <w:pPr>
        <w:pStyle w:val="ListBullet"/>
        <w:spacing w:after="40"/>
        <w:ind w:left="317" w:hanging="173"/>
      </w:pPr>
      <w:r>
        <w:rPr>
          <w:sz w:val="20"/>
        </w:rPr>
        <w:t>Encrypt all traffic in transit and protect API keys, tokens and other credentials at rest.</w:t>
      </w:r>
    </w:p>
    <w:p>
      <w:pPr>
        <w:pStyle w:val="ListBullet"/>
        <w:spacing w:after="40"/>
        <w:ind w:left="317" w:hanging="173"/>
      </w:pPr>
      <w:r>
        <w:rPr>
          <w:sz w:val="20"/>
        </w:rPr>
        <w:t>Apply least-privilege permissions so Warehouse Wizard can access only the NetSuite functions and records it requires.</w:t>
      </w:r>
    </w:p>
    <w:p>
      <w:pPr>
        <w:pStyle w:val="ListBullet"/>
        <w:spacing w:after="40"/>
        <w:ind w:left="317" w:hanging="173"/>
      </w:pPr>
      <w:r>
        <w:rPr>
          <w:sz w:val="20"/>
        </w:rPr>
        <w:t>Restrict and monitor network paths between the on-premise environment and cloud services; avoid unnecessary inbound exposure.</w:t>
      </w:r>
    </w:p>
    <w:p>
      <w:pPr>
        <w:pStyle w:val="ListBullet"/>
        <w:spacing w:after="40"/>
        <w:ind w:left="317" w:hanging="173"/>
      </w:pPr>
      <w:r>
        <w:rPr>
          <w:sz w:val="20"/>
        </w:rPr>
        <w:t>Maintain auditable user and system logs so actions can be traced to a user, device or service account.</w:t>
      </w:r>
    </w:p>
    <w:p>
      <w:pPr>
        <w:pStyle w:val="ListBullet"/>
        <w:spacing w:after="40"/>
        <w:ind w:left="317" w:hanging="173"/>
      </w:pPr>
      <w:r>
        <w:rPr>
          <w:sz w:val="20"/>
        </w:rPr>
        <w:t>Keep servers, operating systems, dependencies and application components patched and supported.</w:t>
      </w:r>
    </w:p>
    <w:p>
      <w:pPr>
        <w:pStyle w:val="ListBullet"/>
        <w:spacing w:after="40"/>
        <w:ind w:left="317" w:hanging="173"/>
      </w:pPr>
      <w:r>
        <w:rPr>
          <w:sz w:val="20"/>
        </w:rPr>
        <w:t>Plan for credential rotation, compromised-device response and revocation of access.</w:t>
      </w:r>
    </w:p>
    <w:p>
      <w:pPr>
        <w:pStyle w:val="ListBullet"/>
        <w:spacing w:after="40"/>
        <w:ind w:left="317" w:hanging="173"/>
      </w:pPr>
      <w:r>
        <w:rPr>
          <w:sz w:val="20"/>
        </w:rPr>
        <w:t>Ensure tablets and workstations cannot provide a practical back door into either Warehouse Wizard or NetSuite.</w:t>
      </w:r>
    </w:p>
    <w:p>
      <w:pPr>
        <w:pStyle w:val="Heading1"/>
      </w:pPr>
      <w:r>
        <w:t>6. Availability and Internet Resilience</w:t>
      </w:r>
    </w:p>
    <w:p>
      <w:r>
        <w:t>The main operational argument for on-premise is continued local access during an internet outage. That benefit needs to be measured against the cost of creating and maintaining the on-premise environment, particularly because NetSuite-connected functions will still require external connectivity.</w:t>
      </w:r>
    </w:p>
    <w:p>
      <w:r>
        <w:t>For the cloud option, practical downtime risk can be reduced substantially through layered failover:</w:t>
      </w:r>
    </w:p>
    <w:p>
      <w:pPr>
        <w:pStyle w:val="ListBullet"/>
        <w:spacing w:after="40"/>
        <w:ind w:left="317" w:hanging="173"/>
      </w:pPr>
      <w:r>
        <w:rPr>
          <w:sz w:val="20"/>
        </w:rPr>
        <w:t>Primary building internet connection.</w:t>
      </w:r>
    </w:p>
    <w:p>
      <w:pPr>
        <w:pStyle w:val="ListBullet"/>
        <w:spacing w:after="40"/>
        <w:ind w:left="317" w:hanging="173"/>
      </w:pPr>
      <w:r>
        <w:rPr>
          <w:sz w:val="20"/>
        </w:rPr>
        <w:t>Secondary/failover internet provider for the building.</w:t>
      </w:r>
    </w:p>
    <w:p>
      <w:pPr>
        <w:pStyle w:val="ListBullet"/>
        <w:spacing w:after="40"/>
        <w:ind w:left="317" w:hanging="173"/>
      </w:pPr>
      <w:r>
        <w:rPr>
          <w:sz w:val="20"/>
        </w:rPr>
        <w:t>Tablet-level connectivity failover, such as mobile data/hotspot capability where appropriate.</w:t>
      </w:r>
    </w:p>
    <w:p>
      <w:pPr>
        <w:pStyle w:val="ListBullet"/>
        <w:spacing w:after="40"/>
        <w:ind w:left="317" w:hanging="173"/>
      </w:pPr>
      <w:r>
        <w:rPr>
          <w:sz w:val="20"/>
        </w:rPr>
        <w:t>UPS and network-equipment resilience so a short power event does not automatically become an internet outage.</w:t>
      </w:r>
    </w:p>
    <w:p>
      <w:r>
        <w:t>With these measures in place, Warehouse Wizard would normally become unavailable only during a wider failure affecting the primary connection, the building failover and the device-level fallback at the same time. At that point the business is likely dealing with a broader site-level continuity event rather than a Warehouse Wizard-specific outage.</w:t>
      </w:r>
    </w:p>
    <w:p>
      <w:pPr>
        <w:pStyle w:val="Heading1"/>
      </w:pPr>
      <w:r>
        <w:t>7. Cost of Migrating to Fully On-Premise</w:t>
      </w:r>
    </w:p>
    <w:p>
      <w:r>
        <w:t>A credible on-premise migration estimate should be treated as a separate project estimate. The cost should include both one-time migration work and recurring ownership costs; comparing only server hardware against cloud hosting would materially understate the true cost.</w:t>
      </w:r>
    </w:p>
    <w:p>
      <w:pPr>
        <w:pStyle w:val="Heading2"/>
      </w:pPr>
      <w:r>
        <w:t>One-time migration cost areas</w:t>
      </w:r>
    </w:p>
    <w:p>
      <w:pPr>
        <w:pStyle w:val="ListBullet"/>
        <w:spacing w:after="40"/>
        <w:ind w:left="317" w:hanging="173"/>
      </w:pPr>
      <w:r>
        <w:rPr>
          <w:sz w:val="20"/>
        </w:rPr>
        <w:t>Architecture and security design.</w:t>
      </w:r>
    </w:p>
    <w:p>
      <w:pPr>
        <w:pStyle w:val="ListBullet"/>
        <w:spacing w:after="40"/>
        <w:ind w:left="317" w:hanging="173"/>
      </w:pPr>
      <w:r>
        <w:rPr>
          <w:sz w:val="20"/>
        </w:rPr>
        <w:t>Application refactoring or configuration for local deployment.</w:t>
      </w:r>
    </w:p>
    <w:p>
      <w:pPr>
        <w:pStyle w:val="ListBullet"/>
        <w:spacing w:after="40"/>
        <w:ind w:left="317" w:hanging="173"/>
      </w:pPr>
      <w:r>
        <w:rPr>
          <w:sz w:val="20"/>
        </w:rPr>
        <w:t>Server/virtual infrastructure procurement and setup.</w:t>
      </w:r>
    </w:p>
    <w:p>
      <w:pPr>
        <w:pStyle w:val="ListBullet"/>
        <w:spacing w:after="40"/>
        <w:ind w:left="317" w:hanging="173"/>
      </w:pPr>
      <w:r>
        <w:rPr>
          <w:sz w:val="20"/>
        </w:rPr>
        <w:t>Database installation, migration and validation.</w:t>
      </w:r>
    </w:p>
    <w:p>
      <w:pPr>
        <w:pStyle w:val="ListBullet"/>
        <w:spacing w:after="40"/>
        <w:ind w:left="317" w:hanging="173"/>
      </w:pPr>
      <w:r>
        <w:rPr>
          <w:sz w:val="20"/>
        </w:rPr>
        <w:t>Firewall, network segmentation and secure NetSuite connectivity.</w:t>
      </w:r>
    </w:p>
    <w:p>
      <w:pPr>
        <w:pStyle w:val="ListBullet"/>
        <w:spacing w:after="40"/>
        <w:ind w:left="317" w:hanging="173"/>
      </w:pPr>
      <w:r>
        <w:rPr>
          <w:sz w:val="20"/>
        </w:rPr>
        <w:t>Backup and disaster-recovery implementation.</w:t>
      </w:r>
    </w:p>
    <w:p>
      <w:pPr>
        <w:pStyle w:val="ListBullet"/>
        <w:spacing w:after="40"/>
        <w:ind w:left="317" w:hanging="173"/>
      </w:pPr>
      <w:r>
        <w:rPr>
          <w:sz w:val="20"/>
        </w:rPr>
        <w:t>Deployment tooling and operational documentation.</w:t>
      </w:r>
    </w:p>
    <w:p>
      <w:pPr>
        <w:pStyle w:val="ListBullet"/>
        <w:spacing w:after="40"/>
        <w:ind w:left="317" w:hanging="173"/>
      </w:pPr>
      <w:r>
        <w:rPr>
          <w:sz w:val="20"/>
        </w:rPr>
        <w:t>Security testing, integration testing, performance testing and user acceptance testing.</w:t>
      </w:r>
    </w:p>
    <w:p>
      <w:pPr>
        <w:pStyle w:val="ListBullet"/>
        <w:spacing w:after="40"/>
        <w:ind w:left="317" w:hanging="173"/>
      </w:pPr>
      <w:r>
        <w:rPr>
          <w:sz w:val="20"/>
        </w:rPr>
        <w:t>Production cutover and rollback planning.</w:t>
      </w:r>
    </w:p>
    <w:p>
      <w:pPr>
        <w:pStyle w:val="Heading2"/>
      </w:pPr>
      <w:r>
        <w:t>Recurring ownership cost areas</w:t>
      </w:r>
    </w:p>
    <w:p>
      <w:pPr>
        <w:pStyle w:val="ListBullet"/>
        <w:spacing w:after="40"/>
        <w:ind w:left="317" w:hanging="173"/>
      </w:pPr>
      <w:r>
        <w:rPr>
          <w:sz w:val="20"/>
        </w:rPr>
        <w:t>Server warranty, replacement cycle and spare/failover capacity.</w:t>
      </w:r>
    </w:p>
    <w:p>
      <w:pPr>
        <w:pStyle w:val="ListBullet"/>
        <w:spacing w:after="40"/>
        <w:ind w:left="317" w:hanging="173"/>
      </w:pPr>
      <w:r>
        <w:rPr>
          <w:sz w:val="20"/>
        </w:rPr>
        <w:t>Operating-system and database maintenance or licensing where applicable.</w:t>
      </w:r>
    </w:p>
    <w:p>
      <w:pPr>
        <w:pStyle w:val="ListBullet"/>
        <w:spacing w:after="40"/>
        <w:ind w:left="317" w:hanging="173"/>
      </w:pPr>
      <w:r>
        <w:rPr>
          <w:sz w:val="20"/>
        </w:rPr>
        <w:t>Backup storage and off-site backup retention.</w:t>
      </w:r>
    </w:p>
    <w:p>
      <w:pPr>
        <w:pStyle w:val="ListBullet"/>
        <w:spacing w:after="40"/>
        <w:ind w:left="317" w:hanging="173"/>
      </w:pPr>
      <w:r>
        <w:rPr>
          <w:sz w:val="20"/>
        </w:rPr>
        <w:t>Monitoring, patching, security updates and vulnerability management.</w:t>
      </w:r>
    </w:p>
    <w:p>
      <w:pPr>
        <w:pStyle w:val="ListBullet"/>
        <w:spacing w:after="40"/>
        <w:ind w:left="317" w:hanging="173"/>
      </w:pPr>
      <w:r>
        <w:rPr>
          <w:sz w:val="20"/>
        </w:rPr>
        <w:t>IT administration and incident response.</w:t>
      </w:r>
    </w:p>
    <w:p>
      <w:pPr>
        <w:pStyle w:val="ListBullet"/>
        <w:spacing w:after="40"/>
        <w:ind w:left="317" w:hanging="173"/>
      </w:pPr>
      <w:r>
        <w:rPr>
          <w:sz w:val="20"/>
        </w:rPr>
        <w:t>Application release management and support for local deployment issues.</w:t>
      </w:r>
    </w:p>
    <w:p>
      <w:pPr>
        <w:pStyle w:val="ListBullet"/>
        <w:spacing w:after="40"/>
        <w:ind w:left="317" w:hanging="173"/>
      </w:pPr>
      <w:r>
        <w:rPr>
          <w:sz w:val="20"/>
        </w:rPr>
        <w:t>Periodic disaster-recovery testing and security review.</w:t>
      </w:r>
    </w:p>
    <w:p>
      <w:r>
        <w:rPr>
          <w:b/>
          <w:color w:val="C00000"/>
        </w:rPr>
        <w:t xml:space="preserve">Important: </w:t>
      </w:r>
      <w:r>
        <w:rPr>
          <w:sz w:val="20"/>
        </w:rPr>
        <w:t>No responsible fixed migration figure should be committed until the current Warehouse Wizard architecture, database, hosting dependencies, NetSuite integration method and target server design are reviewed. The estimate should separate one-time migration cost from annual operating cost so the two deployment models can be compared on total cost of ownership.</w:t>
      </w:r>
    </w:p>
    <w:p>
      <w:pPr>
        <w:pStyle w:val="Heading1"/>
      </w:pPr>
      <w:r>
        <w:t>8. Decision Framework</w:t>
      </w:r>
    </w:p>
    <w:p>
      <w:r>
        <w:t>Before choosing a deployment model, the decision should be made against a small set of measurable criteria rather than preference for “cloud” or “local” hosting.</w:t>
      </w:r>
    </w:p>
    <w:p>
      <w:pPr>
        <w:pStyle w:val="ListBullet"/>
        <w:spacing w:after="40"/>
        <w:ind w:left="317" w:hanging="173"/>
      </w:pPr>
      <w:r>
        <w:rPr>
          <w:sz w:val="20"/>
        </w:rPr>
        <w:t>NetSuite integration complexity and supportability.</w:t>
      </w:r>
    </w:p>
    <w:p>
      <w:pPr>
        <w:pStyle w:val="ListBullet"/>
        <w:spacing w:after="40"/>
        <w:ind w:left="317" w:hanging="173"/>
      </w:pPr>
      <w:r>
        <w:rPr>
          <w:sz w:val="20"/>
        </w:rPr>
        <w:t>Required uptime and the actual probability of simultaneous internet failover failure.</w:t>
      </w:r>
    </w:p>
    <w:p>
      <w:pPr>
        <w:pStyle w:val="ListBullet"/>
        <w:spacing w:after="40"/>
        <w:ind w:left="317" w:hanging="173"/>
      </w:pPr>
      <w:r>
        <w:rPr>
          <w:sz w:val="20"/>
        </w:rPr>
        <w:t>Five-year total cost of ownership, not only initial setup cost.</w:t>
      </w:r>
    </w:p>
    <w:p>
      <w:pPr>
        <w:pStyle w:val="ListBullet"/>
        <w:spacing w:after="40"/>
        <w:ind w:left="317" w:hanging="173"/>
      </w:pPr>
      <w:r>
        <w:rPr>
          <w:sz w:val="20"/>
        </w:rPr>
        <w:t>Security responsibility and the resources available to maintain it.</w:t>
      </w:r>
    </w:p>
    <w:p>
      <w:pPr>
        <w:pStyle w:val="ListBullet"/>
        <w:spacing w:after="40"/>
        <w:ind w:left="317" w:hanging="173"/>
      </w:pPr>
      <w:r>
        <w:rPr>
          <w:sz w:val="20"/>
        </w:rPr>
        <w:t>Backup and disaster-recovery capability.</w:t>
      </w:r>
    </w:p>
    <w:p>
      <w:pPr>
        <w:pStyle w:val="ListBullet"/>
        <w:spacing w:after="40"/>
        <w:ind w:left="317" w:hanging="173"/>
      </w:pPr>
      <w:r>
        <w:rPr>
          <w:sz w:val="20"/>
        </w:rPr>
        <w:t>Speed and reliability of application updates.</w:t>
      </w:r>
    </w:p>
    <w:p>
      <w:pPr>
        <w:pStyle w:val="ListBullet"/>
        <w:spacing w:after="40"/>
        <w:ind w:left="317" w:hanging="173"/>
      </w:pPr>
      <w:r>
        <w:rPr>
          <w:sz w:val="20"/>
        </w:rPr>
        <w:t>Ability to scale to more users, devices, warehouses or locations.</w:t>
      </w:r>
    </w:p>
    <w:p>
      <w:pPr>
        <w:pStyle w:val="ListBullet"/>
        <w:spacing w:after="40"/>
        <w:ind w:left="317" w:hanging="173"/>
      </w:pPr>
      <w:r>
        <w:rPr>
          <w:sz w:val="20"/>
        </w:rPr>
        <w:t>Support burden on internal IT and the application development team.</w:t>
      </w:r>
    </w:p>
    <w:p>
      <w:pPr>
        <w:pStyle w:val="Heading1"/>
      </w:pPr>
      <w:r>
        <w:t>9. Recommended Direction</w:t>
      </w:r>
    </w:p>
    <w:tbl>
      <w:tblPr>
        <w:tblW w:type="auto" w:w="0"/>
        <w:tblLook w:firstColumn="1" w:firstRow="1" w:lastColumn="0" w:lastRow="0" w:noHBand="0" w:noVBand="1" w:val="04A0"/>
      </w:tblPr>
      <w:tblGrid>
        <w:gridCol w:w="10166"/>
      </w:tblGrid>
      <w:tr>
        <w:trPr>
          <w:cantSplit/>
        </w:trPr>
        <w:tc>
          <w:tcPr>
            <w:tcW w:type="dxa" w:w="10166"/>
            <w:shd w:fill="E2F0D9"/>
            <w:tcBorders>
              <w:top w:val="single" w:sz="6" w:color="A9C08E"/>
              <w:left w:val="single" w:sz="6" w:color="A9C08E"/>
              <w:bottom w:val="single" w:sz="6" w:color="A9C08E"/>
              <w:right w:val="single" w:sz="6" w:color="A9C08E"/>
            </w:tcBorders>
          </w:tcPr>
          <w:p>
            <w:r>
              <w:rPr>
                <w:b/>
                <w:color w:val="375623"/>
                <w:sz w:val="21"/>
              </w:rPr>
              <w:t>Preferred direction: retain Warehouse Wizard as a cloud application and strengthen connectivity redundancy.</w:t>
            </w:r>
          </w:p>
          <w:p>
            <w:pPr>
              <w:spacing w:after="0"/>
            </w:pPr>
            <w:r>
              <w:rPr>
                <w:sz w:val="20"/>
              </w:rPr>
              <w:t>This aligns better with the NetSuite direction, avoids creating an additional local security and infrastructure boundary, simplifies deployment and maintenance, and addresses the principal cloud risk—loss of connectivity—through redundant internet and device failover rather than through a full architectural migration.</w:t>
            </w:r>
          </w:p>
        </w:tc>
      </w:tr>
    </w:tbl>
    <w:p>
      <w:r>
        <w:t>On-premise should remain an available option only if a quantified business requirement demonstrates that local/offline operation is worth the additional migration cost, security responsibility and ongoing infrastructure burden.</w:t>
      </w:r>
    </w:p>
    <w:p>
      <w:pPr>
        <w:pStyle w:val="Heading1"/>
      </w:pPr>
      <w:r>
        <w:t>10. Proposed Next Steps</w:t>
      </w:r>
    </w:p>
    <w:p>
      <w:pPr>
        <w:pStyle w:val="ListNumber"/>
        <w:spacing w:after="60"/>
      </w:pPr>
      <w:r>
        <w:rPr>
          <w:sz w:val="20"/>
        </w:rPr>
        <w:t>Confirm the intended NetSuite integration pattern and which Warehouse Wizard workflows require real-time cloud access.</w:t>
      </w:r>
    </w:p>
    <w:p>
      <w:pPr>
        <w:pStyle w:val="ListNumber"/>
        <w:spacing w:after="60"/>
      </w:pPr>
      <w:r>
        <w:rPr>
          <w:sz w:val="20"/>
        </w:rPr>
        <w:t>Price the building internet failover and tablet-level failover solution.</w:t>
      </w:r>
    </w:p>
    <w:p>
      <w:pPr>
        <w:pStyle w:val="ListNumber"/>
        <w:spacing w:after="60"/>
      </w:pPr>
      <w:r>
        <w:rPr>
          <w:sz w:val="20"/>
        </w:rPr>
        <w:t>If on-premise remains under consideration, perform a short architecture review and produce a one-time migration estimate plus annual operating-cost estimate.</w:t>
      </w:r>
    </w:p>
    <w:p>
      <w:pPr>
        <w:pStyle w:val="ListNumber"/>
        <w:spacing w:after="60"/>
      </w:pPr>
      <w:r>
        <w:rPr>
          <w:sz w:val="20"/>
        </w:rPr>
        <w:t>Compare both options over a three- to five-year period using total cost of ownership, uptime, security and support effort.</w:t>
      </w:r>
    </w:p>
    <w:p>
      <w:pPr>
        <w:pStyle w:val="ListNumber"/>
        <w:spacing w:after="60"/>
      </w:pPr>
      <w:r>
        <w:rPr>
          <w:sz w:val="20"/>
        </w:rPr>
        <w:t>Make the deployment decision before investing in any architecture changes that would be specific to the on-premise model.</w:t>
      </w:r>
    </w:p>
    <w:p>
      <w:pPr>
        <w:spacing w:before="200" w:after="0"/>
      </w:pPr>
      <w:r>
        <w:rPr>
          <w:i/>
          <w:color w:val="646464"/>
          <w:sz w:val="17"/>
        </w:rPr>
        <w:t>Prepared for internal discussion regarding Warehouse Wizard deployment architecture.</w:t>
      </w:r>
    </w:p>
    <w:sectPr w:rsidR="00FC693F" w:rsidRPr="0006063C" w:rsidSect="00034616">
      <w:headerReference w:type="default" r:id="rId9"/>
      <w:footerReference w:type="default" r:id="rId10"/>
      <w:pgSz w:w="12240" w:h="15840"/>
      <w:pgMar w:top="936"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color w:val="646464"/>
        <w:sz w:val="16"/>
      </w:rPr>
      <w:t>Cloud vs On-Premise Assessment  •  28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5A5A5A"/>
        <w:sz w:val="16"/>
      </w:rPr>
      <w:t>WAREHOUSE WIZARD  |  DEPLOYMENT ASSESSMENT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