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Warehouse Wizard × NetSuite — Integration Proposal</w:t>
      </w:r>
    </w:p>
    <w:p>
      <w:pPr>
        <w:spacing w:after="240"/>
      </w:pPr>
      <w:r>
        <w:rPr>
          <w:color w:val="6B7280"/>
        </w:rPr>
        <w:t xml:space="preserve">Update · 21 October 2026 · Russell Hunte</w:t>
      </w:r>
    </w:p>
    <w:p>
      <w:pPr>
        <w:spacing w:after="120"/>
      </w:pPr>
      <w:r>
        <w:t xml:space="preserve">This update replaces the status sections of the proposal of 22 September 2026. The scope, phases and estimates in that proposal are unchanged. It lists only what is still to do: the remaining Phase 1 work on the Warehouse Wizard side, and what is still needed from Jan, Wilson and Roget.</w:t>
      </w:r>
    </w:p>
    <w:p>
      <w:pPr>
        <w:pStyle w:val="Heading1"/>
      </w:pPr>
      <w:r>
        <w:t xml:space="preserve">Where things stand</w:t>
      </w:r>
    </w:p>
    <w:p>
      <w:pPr>
        <w:pStyle w:val="ListParagraph"/>
        <w:numPr>
          <w:ilvl w:val="0"/>
          <w:numId w:val="2"/>
        </w:numPr>
        <w:spacing w:after="80"/>
      </w:pPr>
      <w:r>
        <w:rPr>
          <w:b/>
          <w:bCs/>
        </w:rPr>
        <w:t xml:space="preserve">The most important risk from September is resolved.</w:t>
      </w:r>
      <w:r>
        <w:t xml:space="preserve"> Receiving against an inbound shipment needed code inside NetSuite. Jan has built and released that service in the NetSuite sandbox.</w:t>
      </w:r>
    </w:p>
    <w:p>
      <w:pPr>
        <w:pStyle w:val="ListParagraph"/>
        <w:numPr>
          <w:ilvl w:val="0"/>
          <w:numId w:val="2"/>
        </w:numPr>
        <w:spacing w:after="80"/>
      </w:pPr>
      <w:r>
        <w:rPr>
          <w:b/>
          <w:bCs/>
        </w:rPr>
        <w:t xml:space="preserve">The sandbox connection works.</w:t>
      </w:r>
      <w:r>
        <w:t xml:space="preserve"> Warehouse Wizard signs in to the NetSuite sandbox, and stock adjustments posted from Warehouse Wizard reached it on 10 October.</w:t>
      </w:r>
    </w:p>
    <w:p>
      <w:pPr>
        <w:pStyle w:val="ListParagraph"/>
        <w:numPr>
          <w:ilvl w:val="0"/>
          <w:numId w:val="2"/>
        </w:numPr>
        <w:spacing w:after="80"/>
      </w:pPr>
      <w:r>
        <w:rPr>
          <w:b/>
          <w:bCs/>
        </w:rPr>
        <w:t xml:space="preserve">Jan has supplied the sandbox test data</w:t>
      </w:r>
      <w:r>
        <w:t xml:space="preserve"> the brief asked for: an inbound shipment carrying two purchase orders, a lot-tracked item, a location with bins, a transfer order, a sales order and a return authorisation.</w:t>
      </w:r>
    </w:p>
    <w:p>
      <w:pPr>
        <w:pStyle w:val="ListParagraph"/>
        <w:numPr>
          <w:ilvl w:val="0"/>
          <w:numId w:val="2"/>
        </w:numPr>
        <w:spacing w:after="80"/>
      </w:pPr>
      <w:r>
        <w:rPr>
          <w:b/>
          <w:bCs/>
        </w:rPr>
        <w:t xml:space="preserve">Nothing has reached live NetSuite.</w:t>
      </w:r>
      <w:r>
        <w:t xml:space="preserve"> The production connection is not set up yet. Its certificate is still to be uploaded (J1).</w:t>
      </w:r>
    </w:p>
    <w:p>
      <w:pPr>
        <w:pStyle w:val="ListParagraph"/>
        <w:numPr>
          <w:ilvl w:val="0"/>
          <w:numId w:val="2"/>
        </w:numPr>
        <w:spacing w:after="80"/>
      </w:pPr>
      <w:r>
        <w:rPr>
          <w:b/>
          <w:bCs/>
        </w:rPr>
        <w:t xml:space="preserve">Phases 2 and 3 are unchanged</w:t>
      </w:r>
      <w:r>
        <w:t xml:space="preserve"> and still awaiting approval. This update does not cover them.</w:t>
      </w:r>
    </w:p>
    <w:p>
      <w:pPr>
        <w:pStyle w:val="Heading2"/>
      </w:pPr>
      <w:r>
        <w:t xml:space="preserve">What blocks progress now</w:t>
      </w:r>
    </w:p>
    <w:p>
      <w:pPr>
        <w:pStyle w:val="ListParagraph"/>
        <w:numPr>
          <w:ilvl w:val="0"/>
          <w:numId w:val="3"/>
        </w:numPr>
        <w:spacing w:after="80"/>
      </w:pPr>
      <w:r>
        <w:rPr>
          <w:b/>
          <w:bCs/>
        </w:rPr>
        <w:t xml:space="preserve">The short-delivery policy:</w:t>
      </w:r>
      <w:r>
        <w:t xml:space="preserve"> what happens when 95 arrive against an order for 100. The receiving screens cannot be finished without it. The recommendation is still to receive and flag. (Roget and Wilson)</w:t>
      </w:r>
    </w:p>
    <w:p>
      <w:pPr>
        <w:pStyle w:val="ListParagraph"/>
        <w:numPr>
          <w:ilvl w:val="0"/>
          <w:numId w:val="3"/>
        </w:numPr>
        <w:spacing w:after="80"/>
      </w:pPr>
      <w:r>
        <w:rPr>
          <w:b/>
          <w:bCs/>
        </w:rPr>
        <w:t xml:space="preserve">Bins for Pine and Lower Estate,</w:t>
      </w:r>
      <w:r>
        <w:t xml:space="preserve"> defined in Warehouse Wizard and mirrored in NetSuite. Bin mapping cannot start until they exist. (Wilson, with Jan)</w:t>
      </w:r>
    </w:p>
    <w:p>
      <w:pPr>
        <w:pStyle w:val="ListParagraph"/>
        <w:numPr>
          <w:ilvl w:val="0"/>
          <w:numId w:val="3"/>
        </w:numPr>
        <w:spacing w:after="80"/>
      </w:pPr>
      <w:r>
        <w:rPr>
          <w:b/>
          <w:bCs/>
        </w:rPr>
        <w:t xml:space="preserve">Jan's two sandbox tests:</w:t>
      </w:r>
      <w:r>
        <w:t xml:space="preserve"> whether a purchase order on an inbound shipment can be received directly, and whether a transfer order receipt can name the despatch it belongs to. Both decide how receipts are posted. (Jan)</w:t>
      </w:r>
    </w:p>
    <w:p>
      <w:pPr>
        <w:pStyle w:val="ListParagraph"/>
        <w:numPr>
          <w:ilvl w:val="0"/>
          <w:numId w:val="3"/>
        </w:numPr>
        <w:spacing w:after="80"/>
      </w:pPr>
      <w:r>
        <w:rPr>
          <w:b/>
          <w:bCs/>
        </w:rPr>
        <w:t xml:space="preserve">NetSuite feature settings,</w:t>
      </w:r>
      <w:r>
        <w:t xml:space="preserve"> in particular Advanced Shipping and Advanced Receiving. (Wilson)</w:t>
      </w:r>
    </w:p>
    <w:p>
      <w:pPr>
        <w:pStyle w:val="Heading1"/>
      </w:pPr>
      <w:r>
        <w:t xml:space="preserve">Remaining Phase 1 work — Warehouse Wizard</w:t>
      </w:r>
    </w:p>
    <w:p>
      <w:pPr>
        <w:spacing w:after="120"/>
      </w:pPr>
      <w:r>
        <w:t xml:space="preserve">Phase 1 is one-entry receiving against purchase orders, inbound shipments and transfer orders. The estimate is unchanged at 60 to 96 working days. Finished work is not listed.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2380"/>
        <w:gridCol w:w="1150"/>
        <w:gridCol w:w="3288"/>
        <w:gridCol w:w="2200"/>
      </w:tblGrid>
      <w:tr>
        <w:trPr>
          <w:tblHeader/>
        </w:trPr>
        <w:tc>
          <w:tcPr>
            <w:tcW w:type="dxa" w:w="62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pPr>
            <w:r>
              <w:rPr>
                <w:b/>
                <w:bCs/>
                <w:sz w:val="18"/>
                <w:szCs w:val="18"/>
              </w:rPr>
              <w:t xml:space="preserve">#</w:t>
            </w:r>
          </w:p>
        </w:tc>
        <w:tc>
          <w:tcPr>
            <w:tcW w:type="dxa" w:w="238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pPr>
            <w:r>
              <w:rPr>
                <w:b/>
                <w:bCs/>
                <w:sz w:val="18"/>
                <w:szCs w:val="18"/>
              </w:rPr>
              <w:t xml:space="preserve">Work package</w:t>
            </w:r>
          </w:p>
        </w:tc>
        <w:tc>
          <w:tcPr>
            <w:tcW w:type="dxa" w:w="115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pPr>
            <w:r>
              <w:rPr>
                <w:b/>
                <w:bCs/>
                <w:sz w:val="18"/>
                <w:szCs w:val="18"/>
              </w:rPr>
              <w:t xml:space="preserve">Status</w:t>
            </w:r>
          </w:p>
        </w:tc>
        <w:tc>
          <w:tcPr>
            <w:tcW w:type="dxa" w:w="328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pPr>
            <w:r>
              <w:rPr>
                <w:b/>
                <w:bCs/>
                <w:sz w:val="18"/>
                <w:szCs w:val="18"/>
              </w:rPr>
              <w:t xml:space="preserve">What is left</w:t>
            </w:r>
          </w:p>
        </w:tc>
        <w:tc>
          <w:tcPr>
            <w:tcW w:type="dxa" w:w="22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pPr>
            <w:r>
              <w:rPr>
                <w:b/>
                <w:bCs/>
                <w:sz w:val="18"/>
                <w:szCs w:val="18"/>
              </w:rPr>
              <w:t xml:space="preserve">Waiting on</w:t>
            </w:r>
          </w:p>
        </w:tc>
      </w:tr>
      <w:tr>
        <w:trPr>
          <w:cantSplit/>
        </w:trPr>
        <w:tc>
          <w:tcPr>
            <w:tcW w:type="dxa" w:w="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W1</w:t>
            </w:r>
          </w:p>
        </w:tc>
        <w:tc>
          <w:tcPr>
            <w:tcW w:type="dxa" w:w="23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Bring Pine and Lower Estate into Warehouse Wizard; audit single-warehouse assumptions (5–8 days)</w:t>
            </w:r>
          </w:p>
        </w:tc>
        <w:tc>
          <w:tcPr>
            <w:tcW w:type="dxa" w:w="11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b/>
                <w:bCs/>
                <w:color w:val="B45309"/>
                <w:sz w:val="18"/>
                <w:szCs w:val="18"/>
              </w:rPr>
              <w:t xml:space="preserve">Not started</w:t>
            </w:r>
          </w:p>
        </w:tc>
        <w:tc>
          <w:tcPr>
            <w:tcW w:type="dxa" w:w="32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All of it. The audit can start now; loading the warehouses needs their structure</w:t>
            </w:r>
          </w:p>
        </w:tc>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P2: zone and bin structure</w:t>
            </w:r>
          </w:p>
        </w:tc>
      </w:tr>
      <w:tr>
        <w:trPr>
          <w:cantSplit/>
        </w:trPr>
        <w:tc>
          <w:tcPr>
            <w:tcW w:type="dxa" w:w="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W2</w:t>
            </w:r>
          </w:p>
        </w:tc>
        <w:tc>
          <w:tcPr>
            <w:tcW w:type="dxa" w:w="23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Look up purchase orders, inbound shipments and transfer orders from NetSuite on demand (10–15 days)</w:t>
            </w:r>
          </w:p>
        </w:tc>
        <w:tc>
          <w:tcPr>
            <w:tcW w:type="dxa" w:w="11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b/>
                <w:bCs/>
                <w:color w:val="1D4ED8"/>
                <w:sz w:val="18"/>
                <w:szCs w:val="18"/>
              </w:rPr>
              <w:t xml:space="preserve">In progress</w:t>
            </w:r>
          </w:p>
        </w:tc>
        <w:tc>
          <w:tcPr>
            <w:tcW w:type="dxa" w:w="32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Run the lookups against the NetSuite sandbox, confirm the inbound shipment's container number field and line columns, and deploy to the beta</w:t>
            </w:r>
          </w:p>
        </w:tc>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Nothing; ours to do now</w:t>
            </w:r>
          </w:p>
        </w:tc>
      </w:tr>
      <w:tr>
        <w:trPr>
          <w:cantSplit/>
        </w:trPr>
        <w:tc>
          <w:tcPr>
            <w:tcW w:type="dxa" w:w="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W3</w:t>
            </w:r>
          </w:p>
        </w:tc>
        <w:tc>
          <w:tcPr>
            <w:tcW w:type="dxa" w:w="23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Post receipts back to NetSuite for all three document types (12–18 days)</w:t>
            </w:r>
          </w:p>
        </w:tc>
        <w:tc>
          <w:tcPr>
            <w:tcW w:type="dxa" w:w="11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b/>
                <w:bCs/>
                <w:color w:val="1D4ED8"/>
                <w:sz w:val="18"/>
                <w:szCs w:val="18"/>
              </w:rPr>
              <w:t xml:space="preserve">Started</w:t>
            </w:r>
          </w:p>
        </w:tc>
        <w:tc>
          <w:tcPr>
            <w:tcW w:type="dxa" w:w="32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Purchase order receipts, tested on a standalone sandbox order; transfer order receipts, tested on TO05; inbound shipment receipts through Jan's service, tested on IS052 once agreed with Jan</w:t>
            </w:r>
          </w:p>
        </w:tc>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R1 short-delivery policy; J6; the transfer order despatch question</w:t>
            </w:r>
          </w:p>
        </w:tc>
      </w:tr>
      <w:tr>
        <w:trPr>
          <w:cantSplit/>
        </w:trPr>
        <w:tc>
          <w:tcPr>
            <w:tcW w:type="dxa" w:w="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W5</w:t>
            </w:r>
          </w:p>
        </w:tc>
        <w:tc>
          <w:tcPr>
            <w:tcW w:type="dxa" w:w="23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Map Warehouse Wizard bins to NetSuite bins, with tooling to create them (4–7 days)</w:t>
            </w:r>
          </w:p>
        </w:tc>
        <w:tc>
          <w:tcPr>
            <w:tcW w:type="dxa" w:w="11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b/>
                <w:bCs/>
                <w:color w:val="B91C1C"/>
                <w:sz w:val="18"/>
                <w:szCs w:val="18"/>
              </w:rPr>
              <w:t xml:space="preserve">Blocked</w:t>
            </w:r>
          </w:p>
        </w:tc>
        <w:tc>
          <w:tcPr>
            <w:tcW w:type="dxa" w:w="32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All of it</w:t>
            </w:r>
          </w:p>
        </w:tc>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P2 and P3: bins defined and mirrored</w:t>
            </w:r>
          </w:p>
        </w:tc>
      </w:tr>
      <w:tr>
        <w:trPr>
          <w:cantSplit/>
        </w:trPr>
        <w:tc>
          <w:tcPr>
            <w:tcW w:type="dxa" w:w="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W15</w:t>
            </w:r>
          </w:p>
        </w:tc>
        <w:tc>
          <w:tcPr>
            <w:tcW w:type="dxa" w:w="23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Beta sandbox, parallel running and cutover (6–10 days)</w:t>
            </w:r>
          </w:p>
        </w:tc>
        <w:tc>
          <w:tcPr>
            <w:tcW w:type="dxa" w:w="11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b/>
                <w:bCs/>
                <w:color w:val="1D4ED8"/>
                <w:sz w:val="18"/>
                <w:szCs w:val="18"/>
              </w:rPr>
              <w:t xml:space="preserve">In progress</w:t>
            </w:r>
          </w:p>
        </w:tc>
        <w:tc>
          <w:tcPr>
            <w:tcW w:type="dxa" w:w="32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Parallel running, a rehearsed cutover with a written rollback plan, then the cutover itself</w:t>
            </w:r>
          </w:p>
        </w:tc>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J1, S2 and the other production items in Jan's list</w:t>
            </w:r>
          </w:p>
        </w:tc>
      </w:tr>
      <w:tr>
        <w:trPr>
          <w:cantSplit/>
        </w:trPr>
        <w:tc>
          <w:tcPr>
            <w:tcW w:type="dxa" w:w="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W16</w:t>
            </w:r>
          </w:p>
        </w:tc>
        <w:tc>
          <w:tcPr>
            <w:tcW w:type="dxa" w:w="23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Integration reliability: ordering, retries, monitoring and an operations runbook (5–8 days)</w:t>
            </w:r>
          </w:p>
        </w:tc>
        <w:tc>
          <w:tcPr>
            <w:tcW w:type="dxa" w:w="11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b/>
                <w:bCs/>
                <w:color w:val="B45309"/>
                <w:sz w:val="18"/>
                <w:szCs w:val="18"/>
              </w:rPr>
              <w:t xml:space="preserve">Not started</w:t>
            </w:r>
          </w:p>
        </w:tc>
        <w:tc>
          <w:tcPr>
            <w:tcW w:type="dxa" w:w="32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All of it</w:t>
            </w:r>
          </w:p>
        </w:tc>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Nothing</w:t>
            </w:r>
          </w:p>
        </w:tc>
      </w:tr>
      <w:tr>
        <w:trPr>
          <w:cantSplit/>
        </w:trPr>
        <w:tc>
          <w:tcPr>
            <w:tcW w:type="dxa" w:w="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J10</w:t>
            </w:r>
          </w:p>
        </w:tc>
        <w:tc>
          <w:tcPr>
            <w:tcW w:type="dxa" w:w="23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Confirm NetSuite field names and line identifiers against the sandbox</w:t>
            </w:r>
          </w:p>
        </w:tc>
        <w:tc>
          <w:tcPr>
            <w:tcW w:type="dxa" w:w="11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b/>
                <w:bCs/>
                <w:color w:val="1D4ED8"/>
                <w:sz w:val="18"/>
                <w:szCs w:val="18"/>
              </w:rPr>
              <w:t xml:space="preserve">Ours now</w:t>
            </w:r>
          </w:p>
        </w:tc>
        <w:tc>
          <w:tcPr>
            <w:tcW w:type="dxa" w:w="32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Run the read-only checks and record the results</w:t>
            </w:r>
          </w:p>
        </w:tc>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Nothing</w:t>
            </w:r>
          </w:p>
        </w:tc>
      </w:tr>
      <w:tr>
        <w:trPr>
          <w:cantSplit/>
        </w:trPr>
        <w:tc>
          <w:tcPr>
            <w:tcW w:type="dxa" w:w="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w:t>
            </w:r>
          </w:p>
        </w:tc>
        <w:tc>
          <w:tcPr>
            <w:tcW w:type="dxa" w:w="23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Acceptance testing and sign-off</w:t>
            </w:r>
          </w:p>
        </w:tc>
        <w:tc>
          <w:tcPr>
            <w:tcW w:type="dxa" w:w="11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b/>
                <w:bCs/>
                <w:color w:val="B45309"/>
                <w:sz w:val="18"/>
                <w:szCs w:val="18"/>
              </w:rPr>
              <w:t xml:space="preserve">Not started</w:t>
            </w:r>
          </w:p>
        </w:tc>
        <w:tc>
          <w:tcPr>
            <w:tcW w:type="dxa" w:w="328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Wilson and the warehouse team run a real container, a real short delivery and a real transfer in the sandbox</w:t>
            </w:r>
          </w:p>
        </w:tc>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R6: who signs off</w:t>
            </w:r>
          </w:p>
        </w:tc>
      </w:tr>
    </w:tbl>
    <w:p>
      <w:pPr>
        <w:pStyle w:val="Heading1"/>
      </w:pPr>
      <w:r>
        <w:t xml:space="preserve">What is needed from others</w:t>
      </w:r>
    </w:p>
    <w:p>
      <w:pPr>
        <w:spacing w:after="120"/>
      </w:pPr>
      <w:r>
        <w:t xml:space="preserve">Items marked Received are confirmed done. Everything else is outstanding.</w:t>
      </w:r>
    </w:p>
    <w:p>
      <w:pPr>
        <w:pStyle w:val="Heading2"/>
      </w:pPr>
      <w:r>
        <w:t xml:space="preserve">Jan Roel — NetSuite development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418"/>
        <w:gridCol w:w="1300"/>
        <w:gridCol w:w="3300"/>
      </w:tblGrid>
      <w:tr>
        <w:trPr>
          <w:tblHeader/>
        </w:trPr>
        <w:tc>
          <w:tcPr>
            <w:tcW w:type="dxa" w:w="62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pPr>
            <w:r>
              <w:rPr>
                <w:b/>
                <w:bCs/>
                <w:sz w:val="18"/>
                <w:szCs w:val="18"/>
              </w:rPr>
              <w:t xml:space="preserve">#</w:t>
            </w:r>
          </w:p>
        </w:tc>
        <w:tc>
          <w:tcPr>
            <w:tcW w:type="dxa" w:w="441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pPr>
            <w:r>
              <w:rPr>
                <w:b/>
                <w:bCs/>
                <w:sz w:val="18"/>
                <w:szCs w:val="18"/>
              </w:rPr>
              <w:t xml:space="preserve">Item</w:t>
            </w:r>
          </w:p>
        </w:tc>
        <w:tc>
          <w:tcPr>
            <w:tcW w:type="dxa" w:w="13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pPr>
            <w:r>
              <w:rPr>
                <w:b/>
                <w:bCs/>
                <w:sz w:val="18"/>
                <w:szCs w:val="18"/>
              </w:rPr>
              <w:t xml:space="preserve">Status</w:t>
            </w:r>
          </w:p>
        </w:tc>
        <w:tc>
          <w:tcPr>
            <w:tcW w:type="dxa" w:w="33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pPr>
            <w:r>
              <w:rPr>
                <w:b/>
                <w:bCs/>
                <w:sz w:val="18"/>
                <w:szCs w:val="18"/>
              </w:rPr>
              <w:t xml:space="preserve">Needed for</w:t>
            </w:r>
          </w:p>
        </w:tc>
      </w:tr>
      <w:tr>
        <w:trPr>
          <w:cantSplit/>
        </w:trPr>
        <w:tc>
          <w:tcPr>
            <w:tcW w:type="dxa" w:w="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J2</w:t>
            </w:r>
          </w:p>
        </w:tc>
        <w:tc>
          <w:tcPr>
            <w:tcW w:type="dxa" w:w="44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Inbound shipment receiving service, deployed and released in the sandbox</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b/>
                <w:bCs/>
                <w:color w:val="15803D"/>
                <w:sz w:val="18"/>
                <w:szCs w:val="18"/>
              </w:rPr>
              <w:t xml:space="preserve">Received</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W3 inbound shipment receipts</w:t>
            </w:r>
          </w:p>
        </w:tc>
      </w:tr>
      <w:tr>
        <w:trPr>
          <w:cantSplit/>
        </w:trPr>
        <w:tc>
          <w:tcPr>
            <w:tcW w:type="dxa" w:w="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J5</w:t>
            </w:r>
          </w:p>
        </w:tc>
        <w:tc>
          <w:tcPr>
            <w:tcW w:type="dxa" w:w="44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Sandbox integration record and certificate; connection test passes</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b/>
                <w:bCs/>
                <w:color w:val="15803D"/>
                <w:sz w:val="18"/>
                <w:szCs w:val="18"/>
              </w:rPr>
              <w:t xml:space="preserve">Received</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Beta testing</w:t>
            </w:r>
          </w:p>
        </w:tc>
      </w:tr>
      <w:tr>
        <w:trPr>
          <w:cantSplit/>
        </w:trPr>
        <w:tc>
          <w:tcPr>
            <w:tcW w:type="dxa" w:w="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S1</w:t>
            </w:r>
          </w:p>
        </w:tc>
        <w:tc>
          <w:tcPr>
            <w:tcW w:type="dxa" w:w="44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Sandbox test data: IS052 (POs 76 and 233), lot-tracked item TC5226Y, LOC-01 Lower Estate with bins, TO05, SO1948, RMA07</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b/>
                <w:bCs/>
                <w:color w:val="15803D"/>
                <w:sz w:val="18"/>
                <w:szCs w:val="18"/>
              </w:rPr>
              <w:t xml:space="preserve">Received</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Acceptance testing</w:t>
            </w:r>
          </w:p>
        </w:tc>
      </w:tr>
      <w:tr>
        <w:trPr>
          <w:cantSplit/>
        </w:trPr>
        <w:tc>
          <w:tcPr>
            <w:tcW w:type="dxa" w:w="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J3</w:t>
            </w:r>
          </w:p>
        </w:tc>
        <w:tc>
          <w:tcPr>
            <w:tcW w:type="dxa" w:w="44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General ledger account for stock adjustments, sandbox</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b/>
                <w:bCs/>
                <w:color w:val="15803D"/>
                <w:sz w:val="18"/>
                <w:szCs w:val="18"/>
              </w:rPr>
              <w:t xml:space="preserve">Received</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Stock corrections</w:t>
            </w:r>
          </w:p>
        </w:tc>
      </w:tr>
      <w:tr>
        <w:trPr>
          <w:cantSplit/>
        </w:trPr>
        <w:tc>
          <w:tcPr>
            <w:tcW w:type="dxa" w:w="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J6</w:t>
            </w:r>
          </w:p>
        </w:tc>
        <w:tc>
          <w:tcPr>
            <w:tcW w:type="dxa" w:w="44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Can a purchase order on an inbound shipment be received directly, or does NetSuite refuse?</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b/>
                <w:bCs/>
                <w:color w:val="1D4ED8"/>
                <w:sz w:val="18"/>
                <w:szCs w:val="18"/>
              </w:rPr>
              <w:t xml:space="preserve">In progress</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How W3 posts receipts</w:t>
            </w:r>
          </w:p>
        </w:tc>
      </w:tr>
      <w:tr>
        <w:trPr>
          <w:cantSplit/>
        </w:trPr>
        <w:tc>
          <w:tcPr>
            <w:tcW w:type="dxa" w:w="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w:t>
            </w:r>
          </w:p>
        </w:tc>
        <w:tc>
          <w:tcPr>
            <w:tcW w:type="dxa" w:w="44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Can a transfer order receipt name its despatch through the standard interface? If not, it goes through the receiving service too</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b/>
                <w:bCs/>
                <w:color w:val="1D4ED8"/>
                <w:sz w:val="18"/>
                <w:szCs w:val="18"/>
              </w:rPr>
              <w:t xml:space="preserve">In progress</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W3 transfer order receipts</w:t>
            </w:r>
          </w:p>
        </w:tc>
      </w:tr>
      <w:tr>
        <w:trPr>
          <w:cantSplit/>
        </w:trPr>
        <w:tc>
          <w:tcPr>
            <w:tcW w:type="dxa" w:w="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w:t>
            </w:r>
          </w:p>
        </w:tc>
        <w:tc>
          <w:tcPr>
            <w:tcW w:type="dxa" w:w="44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The integration role cannot read bin or wave records in the sandbox. Is that a permission or a feature that is off?</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b/>
                <w:bCs/>
                <w:color w:val="B45309"/>
                <w:sz w:val="18"/>
                <w:szCs w:val="18"/>
              </w:rPr>
              <w:t xml:space="preserve">Outstanding</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W5 bin mapping; coexistence with NetSuite's warehouse module</w:t>
            </w:r>
          </w:p>
        </w:tc>
      </w:tr>
      <w:tr>
        <w:trPr>
          <w:cantSplit/>
        </w:trPr>
        <w:tc>
          <w:tcPr>
            <w:tcW w:type="dxa" w:w="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J7</w:t>
            </w:r>
          </w:p>
        </w:tc>
        <w:tc>
          <w:tcPr>
            <w:tcW w:type="dxa" w:w="44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Add the purchase order number to the printed receiving report</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b/>
                <w:bCs/>
                <w:color w:val="B45309"/>
                <w:sz w:val="18"/>
                <w:szCs w:val="18"/>
              </w:rPr>
              <w:t xml:space="preserve">Outstanding</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The scan that starts receiving</w:t>
            </w:r>
          </w:p>
        </w:tc>
      </w:tr>
      <w:tr>
        <w:trPr>
          <w:cantSplit/>
        </w:trPr>
        <w:tc>
          <w:tcPr>
            <w:tcW w:type="dxa" w:w="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S3</w:t>
            </w:r>
          </w:p>
        </w:tc>
        <w:tc>
          <w:tcPr>
            <w:tcW w:type="dxa" w:w="44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Run the read-only discovery queries from the Developer Brief and share the results</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b/>
                <w:bCs/>
                <w:color w:val="B45309"/>
                <w:sz w:val="18"/>
                <w:szCs w:val="18"/>
              </w:rPr>
              <w:t xml:space="preserve">Outstanding</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Answers several open questions</w:t>
            </w:r>
          </w:p>
        </w:tc>
      </w:tr>
      <w:tr>
        <w:trPr>
          <w:cantSplit/>
        </w:trPr>
        <w:tc>
          <w:tcPr>
            <w:tcW w:type="dxa" w:w="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S5</w:t>
            </w:r>
          </w:p>
        </w:tc>
        <w:tc>
          <w:tcPr>
            <w:tcW w:type="dxa" w:w="44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Create the mirrored bins for Pine and Lower Estate, with Wilson</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b/>
                <w:bCs/>
                <w:color w:val="B45309"/>
                <w:sz w:val="18"/>
                <w:szCs w:val="18"/>
              </w:rPr>
              <w:t xml:space="preserve">Outstanding</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W5</w:t>
            </w:r>
          </w:p>
        </w:tc>
      </w:tr>
      <w:tr>
        <w:trPr>
          <w:cantSplit/>
        </w:trPr>
        <w:tc>
          <w:tcPr>
            <w:tcW w:type="dxa" w:w="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J4</w:t>
            </w:r>
          </w:p>
        </w:tc>
        <w:tc>
          <w:tcPr>
            <w:tcW w:type="dxa" w:w="44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Integration capacity: the account's concurrency limit and how much is in use</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b/>
                <w:bCs/>
                <w:color w:val="B45309"/>
                <w:sz w:val="18"/>
                <w:szCs w:val="18"/>
              </w:rPr>
              <w:t xml:space="preserve">Outstanding</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How hard the integration may run</w:t>
            </w:r>
          </w:p>
        </w:tc>
      </w:tr>
      <w:tr>
        <w:trPr>
          <w:cantSplit/>
        </w:trPr>
        <w:tc>
          <w:tcPr>
            <w:tcW w:type="dxa" w:w="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J8</w:t>
            </w:r>
          </w:p>
        </w:tc>
        <w:tc>
          <w:tcPr>
            <w:tcW w:type="dxa" w:w="44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Result of the pallet test</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b/>
                <w:bCs/>
                <w:color w:val="B45309"/>
                <w:sz w:val="18"/>
                <w:szCs w:val="18"/>
              </w:rPr>
              <w:t xml:space="preserve">Outstanding</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Recording the pallet decision</w:t>
            </w:r>
          </w:p>
        </w:tc>
      </w:tr>
      <w:tr>
        <w:trPr>
          <w:cantSplit/>
        </w:trPr>
        <w:tc>
          <w:tcPr>
            <w:tcW w:type="dxa" w:w="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J9</w:t>
            </w:r>
          </w:p>
        </w:tc>
        <w:tc>
          <w:tcPr>
            <w:tcW w:type="dxa" w:w="44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If NetSuite's warehouse module is active at a location, can a despatch be recorded there without a wave?</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b/>
                <w:bCs/>
                <w:color w:val="B45309"/>
                <w:sz w:val="18"/>
                <w:szCs w:val="18"/>
              </w:rPr>
              <w:t xml:space="preserve">Outstanding</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Whether both systems can run side by side</w:t>
            </w:r>
          </w:p>
        </w:tc>
      </w:tr>
    </w:tbl>
    <w:p>
      <w:pPr>
        <w:spacing w:after="120"/>
      </w:pPr>
    </w:p>
    <w:p>
      <w:pPr>
        <w:spacing w:after="120"/>
      </w:pPr>
      <w:r>
        <w:rPr>
          <w:b/>
          <w:bCs/>
        </w:rPr>
        <w:t xml:space="preserve">Before go-live.</w:t>
      </w:r>
      <w:r>
        <w:t xml:space="preserve"> These are not needed for sandbox testing, but production cannot start without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418"/>
        <w:gridCol w:w="1300"/>
        <w:gridCol w:w="3300"/>
      </w:tblGrid>
      <w:tr>
        <w:trPr>
          <w:tblHeader/>
        </w:trPr>
        <w:tc>
          <w:tcPr>
            <w:tcW w:type="dxa" w:w="62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pPr>
            <w:r>
              <w:rPr>
                <w:b/>
                <w:bCs/>
                <w:sz w:val="18"/>
                <w:szCs w:val="18"/>
              </w:rPr>
              <w:t xml:space="preserve">#</w:t>
            </w:r>
          </w:p>
        </w:tc>
        <w:tc>
          <w:tcPr>
            <w:tcW w:type="dxa" w:w="441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pPr>
            <w:r>
              <w:rPr>
                <w:b/>
                <w:bCs/>
                <w:sz w:val="18"/>
                <w:szCs w:val="18"/>
              </w:rPr>
              <w:t xml:space="preserve">Item</w:t>
            </w:r>
          </w:p>
        </w:tc>
        <w:tc>
          <w:tcPr>
            <w:tcW w:type="dxa" w:w="13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pPr>
            <w:r>
              <w:rPr>
                <w:b/>
                <w:bCs/>
                <w:sz w:val="18"/>
                <w:szCs w:val="18"/>
              </w:rPr>
              <w:t xml:space="preserve">Status</w:t>
            </w:r>
          </w:p>
        </w:tc>
        <w:tc>
          <w:tcPr>
            <w:tcW w:type="dxa" w:w="33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pPr>
            <w:r>
              <w:rPr>
                <w:b/>
                <w:bCs/>
                <w:sz w:val="18"/>
                <w:szCs w:val="18"/>
              </w:rPr>
              <w:t xml:space="preserve">Needed for</w:t>
            </w:r>
          </w:p>
        </w:tc>
      </w:tr>
      <w:tr>
        <w:trPr>
          <w:cantSplit/>
        </w:trPr>
        <w:tc>
          <w:tcPr>
            <w:tcW w:type="dxa" w:w="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J1</w:t>
            </w:r>
          </w:p>
        </w:tc>
        <w:tc>
          <w:tcPr>
            <w:tcW w:type="dxa" w:w="44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Upload the production certificate and confirm the connection test passes</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b/>
                <w:bCs/>
                <w:color w:val="B45309"/>
                <w:sz w:val="18"/>
                <w:szCs w:val="18"/>
              </w:rPr>
              <w:t xml:space="preserve">Outstanding</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Everything in production</w:t>
            </w:r>
          </w:p>
        </w:tc>
      </w:tr>
      <w:tr>
        <w:trPr>
          <w:cantSplit/>
        </w:trPr>
        <w:tc>
          <w:tcPr>
            <w:tcW w:type="dxa" w:w="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S2</w:t>
            </w:r>
          </w:p>
        </w:tc>
        <w:tc>
          <w:tcPr>
            <w:tcW w:type="dxa" w:w="44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A dedicated integration role with only the permissions in the brief, with the receiving service limited to it</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b/>
                <w:bCs/>
                <w:color w:val="B45309"/>
                <w:sz w:val="18"/>
                <w:szCs w:val="18"/>
              </w:rPr>
              <w:t xml:space="preserve">Outstanding</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Production</w:t>
            </w:r>
          </w:p>
        </w:tc>
      </w:tr>
      <w:tr>
        <w:trPr>
          <w:cantSplit/>
        </w:trPr>
        <w:tc>
          <w:tcPr>
            <w:tcW w:type="dxa" w:w="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J3</w:t>
            </w:r>
          </w:p>
        </w:tc>
        <w:tc>
          <w:tcPr>
            <w:tcW w:type="dxa" w:w="44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General ledger account for stock adjustments, production</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b/>
                <w:bCs/>
                <w:color w:val="B45309"/>
                <w:sz w:val="18"/>
                <w:szCs w:val="18"/>
              </w:rPr>
              <w:t xml:space="preserve">Outstanding</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Stock corrections in production</w:t>
            </w:r>
          </w:p>
        </w:tc>
      </w:tr>
      <w:tr>
        <w:trPr>
          <w:cantSplit/>
        </w:trPr>
        <w:tc>
          <w:tcPr>
            <w:tcW w:type="dxa" w:w="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w:t>
            </w:r>
          </w:p>
        </w:tc>
        <w:tc>
          <w:tcPr>
            <w:tcW w:type="dxa" w:w="44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Deploy the receiving service to production</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b/>
                <w:bCs/>
                <w:color w:val="B45309"/>
                <w:sz w:val="18"/>
                <w:szCs w:val="18"/>
              </w:rPr>
              <w:t xml:space="preserve">Outstanding</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Inbound shipment receipts in production</w:t>
            </w:r>
          </w:p>
        </w:tc>
      </w:tr>
    </w:tbl>
    <w:p>
      <w:pPr>
        <w:pStyle w:val="Heading2"/>
      </w:pPr>
      <w:r>
        <w:t xml:space="preserve">Wilson Reyes — inventory and NetSuite configuration</w:t>
      </w:r>
    </w:p>
    <w:p>
      <w:pPr>
        <w:spacing w:after="120"/>
      </w:pPr>
      <w:r>
        <w:t xml:space="preserve">None of these has been answered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5718"/>
        <w:gridCol w:w="3300"/>
      </w:tblGrid>
      <w:tr>
        <w:trPr>
          <w:tblHeader/>
        </w:trPr>
        <w:tc>
          <w:tcPr>
            <w:tcW w:type="dxa" w:w="62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pPr>
            <w:r>
              <w:rPr>
                <w:b/>
                <w:bCs/>
                <w:sz w:val="18"/>
                <w:szCs w:val="18"/>
              </w:rPr>
              <w:t xml:space="preserve">#</w:t>
            </w:r>
          </w:p>
        </w:tc>
        <w:tc>
          <w:tcPr>
            <w:tcW w:type="dxa" w:w="571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pPr>
            <w:r>
              <w:rPr>
                <w:b/>
                <w:bCs/>
                <w:sz w:val="18"/>
                <w:szCs w:val="18"/>
              </w:rPr>
              <w:t xml:space="preserve">Item</w:t>
            </w:r>
          </w:p>
        </w:tc>
        <w:tc>
          <w:tcPr>
            <w:tcW w:type="dxa" w:w="33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pPr>
            <w:r>
              <w:rPr>
                <w:b/>
                <w:bCs/>
                <w:sz w:val="18"/>
                <w:szCs w:val="18"/>
              </w:rPr>
              <w:t xml:space="preserve">Needed for</w:t>
            </w:r>
          </w:p>
        </w:tc>
      </w:tr>
      <w:tr>
        <w:trPr>
          <w:cantSplit/>
        </w:trPr>
        <w:tc>
          <w:tcPr>
            <w:tcW w:type="dxa" w:w="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P2</w:t>
            </w:r>
          </w:p>
        </w:tc>
        <w:tc>
          <w:tcPr>
            <w:tcW w:type="dxa" w:w="57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Name and structure Pine and Lower Estate: zones, aisles and bins (with Roget)</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W1, W5</w:t>
            </w:r>
          </w:p>
        </w:tc>
      </w:tr>
      <w:tr>
        <w:trPr>
          <w:cantSplit/>
        </w:trPr>
        <w:tc>
          <w:tcPr>
            <w:tcW w:type="dxa" w:w="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P3</w:t>
            </w:r>
          </w:p>
        </w:tc>
        <w:tc>
          <w:tcPr>
            <w:tcW w:type="dxa" w:w="57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Create the matching bins in NetSuite (with Jan)</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W5</w:t>
            </w:r>
          </w:p>
        </w:tc>
      </w:tr>
      <w:tr>
        <w:trPr>
          <w:cantSplit/>
        </w:trPr>
        <w:tc>
          <w:tcPr>
            <w:tcW w:type="dxa" w:w="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W1</w:t>
            </w:r>
          </w:p>
        </w:tc>
        <w:tc>
          <w:tcPr>
            <w:tcW w:type="dxa" w:w="57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Is Advanced Receiving switched on?</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Receipt statuses; customer returns</w:t>
            </w:r>
          </w:p>
        </w:tc>
      </w:tr>
      <w:tr>
        <w:trPr>
          <w:cantSplit/>
        </w:trPr>
        <w:tc>
          <w:tcPr>
            <w:tcW w:type="dxa" w:w="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W2</w:t>
            </w:r>
          </w:p>
        </w:tc>
        <w:tc>
          <w:tcPr>
            <w:tcW w:type="dxa" w:w="57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Is Advanced Shipping switched on? Sandbox records suggest it is, but it needs confirming. If it is off, every despatch Warehouse Wizard records would also invoice the customer</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Financial safety</w:t>
            </w:r>
          </w:p>
        </w:tc>
      </w:tr>
      <w:tr>
        <w:trPr>
          <w:cantSplit/>
        </w:trPr>
        <w:tc>
          <w:tcPr>
            <w:tcW w:type="dxa" w:w="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W3</w:t>
            </w:r>
          </w:p>
        </w:tc>
        <w:tc>
          <w:tcPr>
            <w:tcW w:type="dxa" w:w="57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Is Pack used, or only Pick and Ship? The sandbox has Pick, Pack and Ship switched on</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How many steps Warehouse Wizard reports back</w:t>
            </w:r>
          </w:p>
        </w:tc>
      </w:tr>
      <w:tr>
        <w:trPr>
          <w:cantSplit/>
        </w:trPr>
        <w:tc>
          <w:tcPr>
            <w:tcW w:type="dxa" w:w="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W4</w:t>
            </w:r>
          </w:p>
        </w:tc>
        <w:tc>
          <w:tcPr>
            <w:tcW w:type="dxa" w:w="57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Are Advanced Bin Management and Inventory Status switched on?</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Whether bin and status detail can be sent</w:t>
            </w:r>
          </w:p>
        </w:tc>
      </w:tr>
      <w:tr>
        <w:trPr>
          <w:cantSplit/>
        </w:trPr>
        <w:tc>
          <w:tcPr>
            <w:tcW w:type="dxa" w:w="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W5</w:t>
            </w:r>
          </w:p>
        </w:tc>
        <w:tc>
          <w:tcPr>
            <w:tcW w:type="dxa" w:w="57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Which products are lot or serial tracked today, and how many would need converting for expiry tracking?</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Pallet and expiry decision</w:t>
            </w:r>
          </w:p>
        </w:tc>
      </w:tr>
      <w:tr>
        <w:trPr>
          <w:cantSplit/>
        </w:trPr>
        <w:tc>
          <w:tcPr>
            <w:tcW w:type="dxa" w:w="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W6</w:t>
            </w:r>
          </w:p>
        </w:tc>
        <w:tc>
          <w:tcPr>
            <w:tcW w:type="dxa" w:w="57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Real examples of multi-level units of measure, such as the rice bale and bag</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Phase 2 estimate</w:t>
            </w:r>
          </w:p>
        </w:tc>
      </w:tr>
      <w:tr>
        <w:trPr>
          <w:cantSplit/>
        </w:trPr>
        <w:tc>
          <w:tcPr>
            <w:tcW w:type="dxa" w:w="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W7</w:t>
            </w:r>
          </w:p>
        </w:tc>
        <w:tc>
          <w:tcPr>
            <w:tcW w:type="dxa" w:w="57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Is “Allow Overage on Item Receipts” switched on?</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Whether over-receipt is allowed</w:t>
            </w:r>
          </w:p>
        </w:tc>
      </w:tr>
      <w:tr>
        <w:trPr>
          <w:cantSplit/>
        </w:trPr>
        <w:tc>
          <w:tcPr>
            <w:tcW w:type="dxa" w:w="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W8</w:t>
            </w:r>
          </w:p>
        </w:tc>
        <w:tc>
          <w:tcPr>
            <w:tcW w:type="dxa" w:w="57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Short deliveries: see R1 (with Roget)</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W3 receiving screens</w:t>
            </w:r>
          </w:p>
        </w:tc>
      </w:tr>
      <w:tr>
        <w:trPr>
          <w:cantSplit/>
        </w:trPr>
        <w:tc>
          <w:tcPr>
            <w:tcW w:type="dxa" w:w="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W9</w:t>
            </w:r>
          </w:p>
        </w:tc>
        <w:tc>
          <w:tcPr>
            <w:tcW w:type="dxa" w:w="57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Customer returns: who decides restock or write-off?</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Phase 3</w:t>
            </w:r>
          </w:p>
        </w:tc>
      </w:tr>
      <w:tr>
        <w:trPr>
          <w:cantSplit/>
        </w:trPr>
        <w:tc>
          <w:tcPr>
            <w:tcW w:type="dxa" w:w="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W10</w:t>
            </w:r>
          </w:p>
        </w:tc>
        <w:tc>
          <w:tcPr>
            <w:tcW w:type="dxa" w:w="57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Transfers: is in-transit ownership used, and is “Use Item Cost as Transfer Cost” set?</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Transfer order receipts</w:t>
            </w:r>
          </w:p>
        </w:tc>
      </w:tr>
      <w:tr>
        <w:trPr>
          <w:cantSplit/>
        </w:trPr>
        <w:tc>
          <w:tcPr>
            <w:tcW w:type="dxa" w:w="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W11</w:t>
            </w:r>
          </w:p>
        </w:tc>
        <w:tc>
          <w:tcPr>
            <w:tcW w:type="dxa" w:w="57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Should automatic purchase orders from reorder points stay in NetSuite? Recommendation: yes</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Scope</w:t>
            </w:r>
          </w:p>
        </w:tc>
      </w:tr>
      <w:tr>
        <w:trPr>
          <w:cantSplit/>
        </w:trPr>
        <w:tc>
          <w:tcPr>
            <w:tcW w:type="dxa" w:w="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W12</w:t>
            </w:r>
          </w:p>
        </w:tc>
        <w:tc>
          <w:tcPr>
            <w:tcW w:type="dxa" w:w="57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Is NetSuite's warehouse module licensed and in use at any location?</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Whether both systems can run side by side</w:t>
            </w:r>
          </w:p>
        </w:tc>
      </w:tr>
    </w:tbl>
    <w:p>
      <w:pPr>
        <w:pStyle w:val="Heading2"/>
      </w:pPr>
      <w:r>
        <w:t xml:space="preserve">Roget Williams — policy and commercial</w:t>
      </w:r>
    </w:p>
    <w:p>
      <w:pPr>
        <w:spacing w:after="120"/>
      </w:pPr>
      <w:r>
        <w:t xml:space="preserve">None of these has been answered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5718"/>
        <w:gridCol w:w="3300"/>
      </w:tblGrid>
      <w:tr>
        <w:trPr>
          <w:tblHeader/>
        </w:trPr>
        <w:tc>
          <w:tcPr>
            <w:tcW w:type="dxa" w:w="62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pPr>
            <w:r>
              <w:rPr>
                <w:b/>
                <w:bCs/>
                <w:sz w:val="18"/>
                <w:szCs w:val="18"/>
              </w:rPr>
              <w:t xml:space="preserve">#</w:t>
            </w:r>
          </w:p>
        </w:tc>
        <w:tc>
          <w:tcPr>
            <w:tcW w:type="dxa" w:w="571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pPr>
            <w:r>
              <w:rPr>
                <w:b/>
                <w:bCs/>
                <w:sz w:val="18"/>
                <w:szCs w:val="18"/>
              </w:rPr>
              <w:t xml:space="preserve">Decision</w:t>
            </w:r>
          </w:p>
        </w:tc>
        <w:tc>
          <w:tcPr>
            <w:tcW w:type="dxa" w:w="33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0"/>
            </w:pPr>
            <w:r>
              <w:rPr>
                <w:b/>
                <w:bCs/>
                <w:sz w:val="18"/>
                <w:szCs w:val="18"/>
              </w:rPr>
              <w:t xml:space="preserve">Needed for</w:t>
            </w:r>
          </w:p>
        </w:tc>
      </w:tr>
      <w:tr>
        <w:trPr>
          <w:cantSplit/>
        </w:trPr>
        <w:tc>
          <w:tcPr>
            <w:tcW w:type="dxa" w:w="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R1</w:t>
            </w:r>
          </w:p>
        </w:tc>
        <w:tc>
          <w:tcPr>
            <w:tcW w:type="dxa" w:w="57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Short-delivery policy: 95 arrive against an order for 100. Recommendation: receive and flag</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W3 receiving screens</w:t>
            </w:r>
          </w:p>
        </w:tc>
      </w:tr>
      <w:tr>
        <w:trPr>
          <w:cantSplit/>
        </w:trPr>
        <w:tc>
          <w:tcPr>
            <w:tcW w:type="dxa" w:w="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R2</w:t>
            </w:r>
          </w:p>
        </w:tc>
        <w:tc>
          <w:tcPr>
            <w:tcW w:type="dxa" w:w="57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Is the interim GL account a firm requirement, or would a live picking-area report do?</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Phase 3 scope</w:t>
            </w:r>
          </w:p>
        </w:tc>
      </w:tr>
      <w:tr>
        <w:trPr>
          <w:cantSplit/>
        </w:trPr>
        <w:tc>
          <w:tcPr>
            <w:tcW w:type="dxa" w:w="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R3</w:t>
            </w:r>
          </w:p>
        </w:tc>
        <w:tc>
          <w:tcPr>
            <w:tcW w:type="dxa" w:w="57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Should the picking aisles become storage bins, with a staging area by the doors?</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Phase 2 design</w:t>
            </w:r>
          </w:p>
        </w:tc>
      </w:tr>
      <w:tr>
        <w:trPr>
          <w:cantSplit/>
        </w:trPr>
        <w:tc>
          <w:tcPr>
            <w:tcW w:type="dxa" w:w="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R4</w:t>
            </w:r>
          </w:p>
        </w:tc>
        <w:tc>
          <w:tcPr>
            <w:tcW w:type="dxa" w:w="57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Which products genuinely need expiry tracking (with Wilson)</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Cutover</w:t>
            </w:r>
          </w:p>
        </w:tc>
      </w:tr>
      <w:tr>
        <w:trPr>
          <w:cantSplit/>
        </w:trPr>
        <w:tc>
          <w:tcPr>
            <w:tcW w:type="dxa" w:w="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R5</w:t>
            </w:r>
          </w:p>
        </w:tc>
        <w:tc>
          <w:tcPr>
            <w:tcW w:type="dxa" w:w="57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Confirm in writing which phases are approved, and in what order</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Planning</w:t>
            </w:r>
          </w:p>
        </w:tc>
      </w:tr>
      <w:tr>
        <w:trPr>
          <w:cantSplit/>
        </w:trPr>
        <w:tc>
          <w:tcPr>
            <w:tcW w:type="dxa" w:w="62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R6</w:t>
            </w:r>
          </w:p>
        </w:tc>
        <w:tc>
          <w:tcPr>
            <w:tcW w:type="dxa" w:w="571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Who signs off acceptance testing, and who authorises cutover</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sz w:val="18"/>
                <w:szCs w:val="18"/>
              </w:rPr>
              <w:t xml:space="preserve">Acceptance and cutover</w:t>
            </w:r>
          </w:p>
        </w:tc>
      </w:tr>
    </w:tbl>
    <w:p>
      <w:pPr>
        <w:pStyle w:val="Heading2"/>
      </w:pPr>
      <w:r>
        <w:t xml:space="preserve">Simplex — resources outside development</w:t>
      </w:r>
    </w:p>
    <w:p>
      <w:pPr>
        <w:spacing w:after="120"/>
      </w:pPr>
      <w:r>
        <w:t xml:space="preserve">These were excluded from the estimates in September and are still needed.</w:t>
      </w:r>
    </w:p>
    <w:p>
      <w:pPr>
        <w:pStyle w:val="ListParagraph"/>
        <w:numPr>
          <w:ilvl w:val="0"/>
          <w:numId w:val="2"/>
        </w:numPr>
        <w:spacing w:after="80"/>
      </w:pPr>
      <w:r>
        <w:t xml:space="preserve">Data entry for the Pine and Lower Estate zones and bins, in both systems.</w:t>
      </w:r>
    </w:p>
    <w:p>
      <w:pPr>
        <w:pStyle w:val="ListParagraph"/>
        <w:numPr>
          <w:ilvl w:val="0"/>
          <w:numId w:val="2"/>
        </w:numPr>
        <w:spacing w:after="80"/>
      </w:pPr>
      <w:r>
        <w:t xml:space="preserve">Scanners, label printers and tablets for Pine and Lower Estate.</w:t>
      </w:r>
    </w:p>
    <w:p>
      <w:pPr>
        <w:pStyle w:val="ListParagraph"/>
        <w:numPr>
          <w:ilvl w:val="0"/>
          <w:numId w:val="2"/>
        </w:numPr>
        <w:spacing w:after="80"/>
      </w:pPr>
      <w:r>
        <w:t xml:space="preserve">Warehouse staff time for acceptance testing with a real container, a short delivery and a transfer.</w:t>
      </w:r>
    </w:p>
    <w:p>
      <w:pPr>
        <w:pStyle w:val="Heading1"/>
      </w:pPr>
      <w:r>
        <w:t xml:space="preserve">Recommendation</w:t>
      </w:r>
    </w:p>
    <w:p>
      <w:pPr>
        <w:pStyle w:val="ListParagraph"/>
        <w:numPr>
          <w:ilvl w:val="0"/>
          <w:numId w:val="4"/>
        </w:numPr>
        <w:spacing w:after="80"/>
      </w:pPr>
      <w:r>
        <w:rPr>
          <w:b/>
          <w:bCs/>
        </w:rPr>
        <w:t xml:space="preserve">Settle R1 and answer Wilson's W1, W2 and W7</w:t>
      </w:r>
      <w:r>
        <w:t xml:space="preserve"> in one short meeting. None of them needs development.</w:t>
      </w:r>
    </w:p>
    <w:p>
      <w:pPr>
        <w:pStyle w:val="ListParagraph"/>
        <w:numPr>
          <w:ilvl w:val="0"/>
          <w:numId w:val="4"/>
        </w:numPr>
        <w:spacing w:after="80"/>
      </w:pPr>
      <w:r>
        <w:rPr>
          <w:b/>
          <w:bCs/>
        </w:rPr>
        <w:t xml:space="preserve">Start the bin data now</w:t>
      </w:r>
      <w:r>
        <w:t xml:space="preserve"> (P2, P3). It is still the item most likely to delay Phase 1.</w:t>
      </w:r>
    </w:p>
    <w:p>
      <w:pPr>
        <w:pStyle w:val="ListParagraph"/>
        <w:numPr>
          <w:ilvl w:val="0"/>
          <w:numId w:val="4"/>
        </w:numPr>
        <w:spacing w:after="80"/>
      </w:pPr>
      <w:r>
        <w:rPr>
          <w:b/>
          <w:bCs/>
        </w:rPr>
        <w:t xml:space="preserve">Jan:</w:t>
      </w:r>
      <w:r>
        <w:t xml:space="preserve"> finish the two sandbox tests (J6 and the transfer order question), add the PO number to the receiving report (J7), and run the discovery queries (S3).</w:t>
      </w:r>
    </w:p>
    <w:p>
      <w:pPr>
        <w:pStyle w:val="ListParagraph"/>
        <w:numPr>
          <w:ilvl w:val="0"/>
          <w:numId w:val="4"/>
        </w:numPr>
        <w:spacing w:after="80"/>
      </w:pPr>
      <w:r>
        <w:rPr>
          <w:b/>
          <w:bCs/>
        </w:rPr>
        <w:t xml:space="preserve">Schedule the production items</w:t>
      </w:r>
      <w:r>
        <w:t xml:space="preserve"> (J1, S2, the production GL account and the production deployment of the receiving service) so they are ready when acceptance testing ends, not after.</w:t>
      </w:r>
    </w:p>
    <w:p>
      <w:pPr>
        <w:pStyle w:val="ListParagraph"/>
        <w:numPr>
          <w:ilvl w:val="0"/>
          <w:numId w:val="4"/>
        </w:numPr>
        <w:spacing w:after="80"/>
      </w:pPr>
      <w:r>
        <w:rPr>
          <w:b/>
          <w:bCs/>
        </w:rPr>
        <w:t xml:space="preserve">Confirm Phase 1 approval and the acceptance sign-off owner in writing</w:t>
      </w:r>
      <w:r>
        <w:t xml:space="preserve"> (R5, R6).</w:t>
      </w:r>
    </w:p>
    <w:p>
      <w:pPr>
        <w:spacing w:after="120"/>
      </w:pPr>
    </w:p>
    <w:p>
      <w:pPr>
        <w:spacing w:after="120"/>
      </w:pPr>
      <w:r>
        <w:rPr>
          <w:i/>
          <w:iCs/>
          <w:color w:val="6B7280"/>
        </w:rPr>
        <w:t xml:space="preserve">Estimates, phase costs and the reasoning behind them are in the proposal of 22 September 2026.</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6B7280"/>
        <w:sz w:val="15"/>
        <w:szCs w:val="15"/>
      </w:rPr>
      <w:t xml:space="preserve">Warehouse Wizard × NetSuite — Integration Proposal (Update)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80"/>
    </w:pPr>
    <w:rPr>
      <w:rFonts w:ascii="Georgia" w:cs="Georgia" w:eastAsia="Georgia" w:hAnsi="Georgia"/>
      <w:sz w:val="40"/>
      <w:szCs w:val="40"/>
    </w:rPr>
  </w:style>
  <w:style w:type="paragraph" w:styleId="Heading1">
    <w:name w:val="Heading 1"/>
    <w:basedOn w:val="Normal"/>
    <w:next w:val="Normal"/>
    <w:qFormat/>
    <w:pPr>
      <w:keepNext/>
      <w:spacing w:before="360" w:after="140"/>
      <w:outlineLvl w:val="0"/>
    </w:pPr>
    <w:rPr>
      <w:rFonts w:ascii="Georgia" w:cs="Georgia" w:eastAsia="Georgia" w:hAnsi="Georgia"/>
      <w:sz w:val="30"/>
      <w:szCs w:val="30"/>
    </w:rPr>
  </w:style>
  <w:style w:type="paragraph" w:styleId="Heading2">
    <w:name w:val="Heading 2"/>
    <w:basedOn w:val="Normal"/>
    <w:next w:val="Normal"/>
    <w:qFormat/>
    <w:pPr>
      <w:keepNext/>
      <w:spacing w:before="260" w:after="100"/>
      <w:outlineLvl w:val="1"/>
    </w:pPr>
    <w:rPr>
      <w:rFonts w:ascii="Georgia" w:cs="Georgia" w:eastAsia="Georgia" w:hAnsi="Georgi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Warehouse Wizard × NetSuite — Integration Proposal (Update)</dc:title>
  <dc:creator>Russell Hunte</dc:creator>
  <cp:lastModifiedBy>Un-named</cp:lastModifiedBy>
  <cp:revision>1</cp:revision>
  <dcterms:created xsi:type="dcterms:W3CDTF">2026-10-21T20:56:24.477Z</dcterms:created>
  <dcterms:modified xsi:type="dcterms:W3CDTF">2026-10-21T20:56:24.479Z</dcterms:modified>
</cp:coreProperties>
</file>

<file path=docProps/custom.xml><?xml version="1.0" encoding="utf-8"?>
<Properties xmlns="http://schemas.openxmlformats.org/officeDocument/2006/custom-properties" xmlns:vt="http://schemas.openxmlformats.org/officeDocument/2006/docPropsVTypes"/>
</file>