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B32F" w14:textId="4028FA2F" w:rsidR="006B5EA8" w:rsidRDefault="006B5EA8">
      <w:pPr>
        <w:pStyle w:val="Corpsdetexte"/>
      </w:pPr>
      <w:bookmarkStart w:id="0" w:name="notes"/>
      <w:bookmarkEnd w:id="0"/>
    </w:p>
    <w:sectPr w:rsidR="006B5EA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96716" w14:textId="77777777" w:rsidR="002A6BE6" w:rsidRDefault="002A6BE6">
      <w:pPr>
        <w:spacing w:after="0"/>
      </w:pPr>
      <w:r>
        <w:separator/>
      </w:r>
    </w:p>
  </w:endnote>
  <w:endnote w:type="continuationSeparator" w:id="0">
    <w:p w14:paraId="6F228A59" w14:textId="77777777" w:rsidR="002A6BE6" w:rsidRDefault="002A6B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9E9F" w14:textId="77777777" w:rsidR="002A6BE6" w:rsidRDefault="002A6BE6">
      <w:r>
        <w:separator/>
      </w:r>
    </w:p>
  </w:footnote>
  <w:footnote w:type="continuationSeparator" w:id="0">
    <w:p w14:paraId="4113A530" w14:textId="77777777" w:rsidR="002A6BE6" w:rsidRDefault="002A6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F062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186E8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E254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2658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5CE9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2C0B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F4B8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A59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CCCB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9833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7AA50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53676395">
    <w:abstractNumId w:val="10"/>
  </w:num>
  <w:num w:numId="2" w16cid:durableId="840972605">
    <w:abstractNumId w:val="4"/>
  </w:num>
  <w:num w:numId="3" w16cid:durableId="2069840118">
    <w:abstractNumId w:val="5"/>
  </w:num>
  <w:num w:numId="4" w16cid:durableId="1677074427">
    <w:abstractNumId w:val="6"/>
  </w:num>
  <w:num w:numId="5" w16cid:durableId="174734283">
    <w:abstractNumId w:val="7"/>
  </w:num>
  <w:num w:numId="6" w16cid:durableId="39943361">
    <w:abstractNumId w:val="9"/>
  </w:num>
  <w:num w:numId="7" w16cid:durableId="1559321834">
    <w:abstractNumId w:val="0"/>
  </w:num>
  <w:num w:numId="8" w16cid:durableId="801581905">
    <w:abstractNumId w:val="1"/>
  </w:num>
  <w:num w:numId="9" w16cid:durableId="1104612504">
    <w:abstractNumId w:val="2"/>
  </w:num>
  <w:num w:numId="10" w16cid:durableId="895778391">
    <w:abstractNumId w:val="3"/>
  </w:num>
  <w:num w:numId="11" w16cid:durableId="913124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B5EA8"/>
    <w:rsid w:val="002A6BE6"/>
    <w:rsid w:val="00531641"/>
    <w:rsid w:val="006B5EA8"/>
    <w:rsid w:val="00762F4F"/>
    <w:rsid w:val="00825996"/>
    <w:rsid w:val="00B15991"/>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F230E8"/>
  <w15:docId w15:val="{55B8C1CB-AEDD-7B46-8138-BD10A0D4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B15991"/>
    <w:pPr>
      <w:keepNext/>
      <w:keepLines/>
      <w:suppressAutoHyphens/>
      <w:spacing w:before="480" w:after="0"/>
      <w:outlineLvl w:val="0"/>
    </w:pPr>
    <w:rPr>
      <w:rFonts w:ascii="Garamond" w:eastAsiaTheme="majorEastAsia" w:hAnsi="Garamond" w:cstheme="majorBidi"/>
      <w:b/>
      <w:bCs/>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15991"/>
    <w:pPr>
      <w:suppressAutoHyphens/>
      <w:spacing w:before="180" w:after="180"/>
    </w:pPr>
    <w:rPr>
      <w:rFonts w:ascii="Garamond" w:hAnsi="Garamond"/>
    </w:rPr>
  </w:style>
  <w:style w:type="paragraph" w:customStyle="1" w:styleId="FirstParagraph">
    <w:name w:val="First Paragraph"/>
    <w:basedOn w:val="Corpsdetexte"/>
    <w:next w:val="Corpsdetexte"/>
    <w:qFormat/>
    <w:rsid w:val="00B15991"/>
  </w:style>
  <w:style w:type="paragraph" w:customStyle="1" w:styleId="Compact">
    <w:name w:val="Compact"/>
    <w:basedOn w:val="Corpsdetexte"/>
    <w:qFormat/>
    <w:pPr>
      <w:spacing w:before="36" w:after="36"/>
    </w:pPr>
  </w:style>
  <w:style w:type="paragraph" w:styleId="Titre">
    <w:name w:val="Title"/>
    <w:basedOn w:val="Normal"/>
    <w:next w:val="Corpsdetexte"/>
    <w:qFormat/>
    <w:rsid w:val="00B15991"/>
    <w:pPr>
      <w:keepNext/>
      <w:keepLines/>
      <w:suppressAutoHyphens/>
      <w:spacing w:before="480" w:after="240"/>
      <w:jc w:val="both"/>
    </w:pPr>
    <w:rPr>
      <w:rFonts w:ascii="Garamond" w:eastAsiaTheme="majorEastAsia" w:hAnsi="Garamond" w:cstheme="majorBidi"/>
      <w:b/>
      <w:bCs/>
      <w:color w:val="345A8A" w:themeColor="accent1" w:themeShade="B5"/>
      <w:sz w:val="28"/>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B15991"/>
    <w:pPr>
      <w:keepNext/>
      <w:keepLines/>
      <w:suppressAutoHyphens/>
      <w:jc w:val="both"/>
    </w:pPr>
    <w:rPr>
      <w:rFonts w:ascii="Garamond" w:hAnsi="Garamond"/>
    </w:rPr>
  </w:style>
  <w:style w:type="paragraph" w:styleId="Date">
    <w:name w:val="Date"/>
    <w:next w:val="Corpsdetexte"/>
    <w:qFormat/>
    <w:rsid w:val="00B15991"/>
    <w:pPr>
      <w:keepNext/>
      <w:keepLines/>
      <w:suppressAutoHyphens/>
      <w:jc w:val="both"/>
    </w:pPr>
    <w:rPr>
      <w:rFonts w:ascii="Garamond" w:hAnsi="Garamond"/>
      <w:sz w:val="20"/>
    </w:rPr>
  </w:style>
  <w:style w:type="paragraph" w:customStyle="1" w:styleId="Abstract">
    <w:name w:val="Abstract"/>
    <w:basedOn w:val="Normal"/>
    <w:next w:val="Corpsdetexte"/>
    <w:qFormat/>
    <w:rsid w:val="00B15991"/>
    <w:pPr>
      <w:keepNext/>
      <w:keepLines/>
      <w:suppressAutoHyphens/>
      <w:spacing w:before="300" w:after="300"/>
    </w:pPr>
    <w:rPr>
      <w:rFonts w:ascii="Garamond" w:hAnsi="Garamond"/>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rpsdetexteCar">
    <w:name w:val="Corps de texte Car"/>
    <w:basedOn w:val="Policepardfaut"/>
    <w:link w:val="Corpsdetexte"/>
    <w:rsid w:val="00B15991"/>
    <w:rPr>
      <w:rFonts w:ascii="Garamond" w:hAnsi="Garamond"/>
    </w:rPr>
  </w:style>
  <w:style w:type="paragraph" w:styleId="Notedefin">
    <w:name w:val="endnote text"/>
    <w:basedOn w:val="Normal"/>
    <w:link w:val="NotedefinCar"/>
    <w:rsid w:val="00762F4F"/>
    <w:pPr>
      <w:suppressLineNumbers/>
      <w:suppressAutoHyphens/>
      <w:ind w:left="340" w:hanging="340"/>
    </w:pPr>
    <w:rPr>
      <w:rFonts w:ascii="Garamond" w:hAnsi="Garamond"/>
      <w:szCs w:val="20"/>
    </w:rPr>
  </w:style>
  <w:style w:type="character" w:customStyle="1" w:styleId="NotedefinCar">
    <w:name w:val="Note de fin Car"/>
    <w:basedOn w:val="Policepardfaut"/>
    <w:link w:val="Notedefin"/>
    <w:rsid w:val="00825996"/>
    <w:rPr>
      <w:rFonts w:ascii="Garamond" w:hAnsi="Garamond"/>
      <w:szCs w:val="20"/>
    </w:rPr>
  </w:style>
  <w:style w:type="character" w:styleId="Appeldenotedefin">
    <w:name w:val="endnote reference"/>
    <w:basedOn w:val="Policepardfaut"/>
    <w:semiHidden/>
    <w:unhideWhenUsed/>
    <w:rsid w:val="008259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Histories of Architecture</dc:title>
  <dc:creator>Pedro P. Palazzo</dc:creator>
  <cp:keywords>Comparative history, Idealism, Professional education, Textbooks, 19th, 20th, and 21st centuries</cp:keywords>
  <cp:lastModifiedBy>pedro paulo palazzo de almeida</cp:lastModifiedBy>
  <cp:revision>5</cp:revision>
  <dcterms:created xsi:type="dcterms:W3CDTF">2022-04-15T17:59:00Z</dcterms:created>
  <dcterms:modified xsi:type="dcterms:W3CDTF">2022-04-15T18:06:00Z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contrasts comparative histories of architecture, prevalent from the 19th and 20th centuries, to the critical method of history that is claimed by recent works. Comparative history arose out of the Idealist philosophy of history and combined its deterministic narrative with a disciplinary bounding of architecture that followed modern assumptions about decision-making in design. Critical history, on the other hand, is a materialistic approach that sees the discipline as one aspect within broader social forces. Whereas critical history may lay claim, nowadays, to being the only proper form of historiography, comparative histories were more closely linked to the methods and categorizations of the discipline of architecture. Some 21st-century architectural history textbooks, committed as they were to the critical method, nevertheless allowed Idealistic determinism to creep into their narrative structure. I argue this creep is not a shortcoming of these individual works, but a consequence of the contradictions between the non-disciplinary project of critical history and its uncertain place in the professional architectural education. I further develop on this contradiction by comparing it to the broader problem of how the critical history of architecture relates to supporting disciplines such as building archaeology, the archaeology of architecture, or the scholarship of vernacular environments. These fields interact with history by providing source material and preliminary interpretations, yet they have an uneasy relationship to critical history due to their partial reliance on concepts and categories developed in the professional practice of architecture. The inability of critical architectural history to come to terms with the historical legitimacy of its supporting disciplines is akin to its inability to acknowledge the persistence of Idealistic assumptions in textbooks that cater to the professional education market.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_bibliography.yaml</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https://raw.githubusercontent.com/citation-style-language/styles/master/chicago-fullnote-bibliography-with-ibid.csl</vt:lpwstr>
  </property>
  <property fmtid="{D5CDD505-2E9C-101B-9397-08002B2CF9AE}" pid="16" name="date">
    <vt:lpwstr>School of Architecture and Urbanism, University of Brasilia, Brazil, palazzo@unb.br</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nameInLink">
    <vt:lpwstr>False</vt:lpwstr>
  </property>
  <property fmtid="{D5CDD505-2E9C-101B-9397-08002B2CF9AE}" pid="38" name="numberSections">
    <vt:lpwstr>False</vt:lpwstr>
  </property>
  <property fmtid="{D5CDD505-2E9C-101B-9397-08002B2CF9AE}" pid="39" name="pairDelim">
    <vt:lpwstr>,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isecHeaderDelim[n]t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subtitle">
    <vt:lpwstr>History, Architecture, or Idealism?</vt:lpwstr>
  </property>
  <property fmtid="{D5CDD505-2E9C-101B-9397-08002B2CF9AE}" pid="55" name="suppress-bibliography">
    <vt:lpwstr>True</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