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A9E77" w14:textId="77777777" w:rsidR="00E061B7" w:rsidRPr="007B0EDB" w:rsidRDefault="00E061B7" w:rsidP="00E061B7">
      <w:pPr>
        <w:jc w:val="center"/>
        <w:rPr>
          <w:rFonts w:cs="Times New Roman"/>
          <w:color w:val="auto"/>
          <w:szCs w:val="24"/>
        </w:rPr>
      </w:pPr>
    </w:p>
    <w:p w14:paraId="463F1FEF" w14:textId="77777777" w:rsidR="00E061B7" w:rsidRDefault="00E061B7" w:rsidP="00E061B7">
      <w:pPr>
        <w:jc w:val="center"/>
        <w:rPr>
          <w:rFonts w:cs="Times New Roman"/>
          <w:color w:val="auto"/>
          <w:szCs w:val="24"/>
        </w:rPr>
      </w:pPr>
    </w:p>
    <w:p w14:paraId="19E0E925" w14:textId="77777777" w:rsidR="00E061B7" w:rsidRDefault="00E061B7" w:rsidP="00E061B7">
      <w:pPr>
        <w:jc w:val="center"/>
        <w:rPr>
          <w:rFonts w:cs="Times New Roman"/>
          <w:color w:val="auto"/>
          <w:szCs w:val="24"/>
        </w:rPr>
      </w:pPr>
    </w:p>
    <w:p w14:paraId="5C7DAA93" w14:textId="77777777" w:rsidR="00E061B7" w:rsidRDefault="00E061B7" w:rsidP="00E061B7">
      <w:pPr>
        <w:jc w:val="center"/>
        <w:rPr>
          <w:rFonts w:cs="Times New Roman"/>
          <w:color w:val="auto"/>
          <w:szCs w:val="24"/>
        </w:rPr>
      </w:pPr>
    </w:p>
    <w:p w14:paraId="603A48D9" w14:textId="77777777" w:rsidR="00E061B7" w:rsidRDefault="00E061B7" w:rsidP="00E061B7">
      <w:pPr>
        <w:jc w:val="center"/>
        <w:rPr>
          <w:rFonts w:cs="Times New Roman"/>
          <w:color w:val="auto"/>
          <w:szCs w:val="24"/>
        </w:rPr>
      </w:pPr>
    </w:p>
    <w:p w14:paraId="05C4EC09" w14:textId="77777777" w:rsidR="00E061B7" w:rsidRDefault="00E061B7" w:rsidP="00E061B7">
      <w:pPr>
        <w:jc w:val="center"/>
        <w:rPr>
          <w:rFonts w:cs="Times New Roman"/>
          <w:color w:val="auto"/>
          <w:szCs w:val="24"/>
        </w:rPr>
      </w:pPr>
    </w:p>
    <w:p w14:paraId="736E1C69" w14:textId="36A7AB24" w:rsidR="00E061B7" w:rsidRPr="007B0EDB" w:rsidRDefault="00E061B7" w:rsidP="00E061B7">
      <w:pPr>
        <w:jc w:val="center"/>
        <w:rPr>
          <w:rFonts w:cs="Times New Roman"/>
          <w:color w:val="auto"/>
          <w:szCs w:val="24"/>
        </w:rPr>
      </w:pPr>
      <w:r w:rsidRPr="007B0EDB">
        <w:rPr>
          <w:rFonts w:cs="Times New Roman"/>
          <w:color w:val="auto"/>
          <w:szCs w:val="24"/>
        </w:rPr>
        <w:t xml:space="preserve">Unit </w:t>
      </w:r>
      <w:r w:rsidR="007C3C33">
        <w:rPr>
          <w:rFonts w:cs="Times New Roman"/>
          <w:color w:val="auto"/>
          <w:szCs w:val="24"/>
        </w:rPr>
        <w:t>6</w:t>
      </w:r>
      <w:r>
        <w:rPr>
          <w:rFonts w:cs="Times New Roman"/>
          <w:color w:val="auto"/>
          <w:szCs w:val="24"/>
        </w:rPr>
        <w:t>: Enron to the Future</w:t>
      </w:r>
    </w:p>
    <w:p w14:paraId="6244D889" w14:textId="77777777" w:rsidR="00E061B7" w:rsidRPr="007B0EDB" w:rsidRDefault="00E061B7" w:rsidP="00E061B7">
      <w:pPr>
        <w:rPr>
          <w:rFonts w:cs="Times New Roman"/>
          <w:b/>
          <w:color w:val="auto"/>
          <w:szCs w:val="24"/>
        </w:rPr>
      </w:pPr>
    </w:p>
    <w:p w14:paraId="0633EB4C" w14:textId="77777777" w:rsidR="00E061B7" w:rsidRPr="007B0EDB" w:rsidRDefault="00E061B7" w:rsidP="00E061B7">
      <w:pPr>
        <w:jc w:val="center"/>
        <w:rPr>
          <w:rFonts w:cs="Times New Roman"/>
          <w:b/>
          <w:color w:val="auto"/>
          <w:szCs w:val="24"/>
        </w:rPr>
      </w:pPr>
      <w:r w:rsidRPr="007B0EDB">
        <w:rPr>
          <w:rFonts w:cs="Times New Roman"/>
          <w:b/>
          <w:color w:val="auto"/>
          <w:szCs w:val="24"/>
        </w:rPr>
        <w:t>Corey Crooks</w:t>
      </w:r>
    </w:p>
    <w:p w14:paraId="10D668D3" w14:textId="77777777" w:rsidR="00E061B7" w:rsidRPr="007B0EDB" w:rsidRDefault="00E061B7" w:rsidP="00E061B7">
      <w:pPr>
        <w:jc w:val="center"/>
        <w:rPr>
          <w:rFonts w:cs="Times New Roman"/>
          <w:b/>
          <w:color w:val="auto"/>
          <w:szCs w:val="24"/>
        </w:rPr>
      </w:pPr>
      <w:r w:rsidRPr="007B0EDB">
        <w:rPr>
          <w:rFonts w:cs="Times New Roman"/>
          <w:b/>
          <w:color w:val="auto"/>
          <w:szCs w:val="24"/>
        </w:rPr>
        <w:t>Purdue University Global</w:t>
      </w:r>
    </w:p>
    <w:p w14:paraId="0C80328F" w14:textId="77777777" w:rsidR="00E061B7" w:rsidRPr="007B0EDB" w:rsidRDefault="00E061B7" w:rsidP="00E061B7">
      <w:pPr>
        <w:jc w:val="center"/>
        <w:rPr>
          <w:rFonts w:cs="Times New Roman"/>
          <w:b/>
          <w:color w:val="auto"/>
          <w:szCs w:val="24"/>
        </w:rPr>
      </w:pPr>
      <w:r w:rsidRPr="007B0EDB">
        <w:rPr>
          <w:rFonts w:cs="Times New Roman"/>
          <w:b/>
          <w:color w:val="auto"/>
          <w:szCs w:val="24"/>
        </w:rPr>
        <w:t>IT40</w:t>
      </w:r>
      <w:r>
        <w:rPr>
          <w:rFonts w:cs="Times New Roman"/>
          <w:b/>
          <w:color w:val="auto"/>
          <w:szCs w:val="24"/>
        </w:rPr>
        <w:t>2—IT Consulting Skills</w:t>
      </w:r>
    </w:p>
    <w:p w14:paraId="2D204B80" w14:textId="77777777" w:rsidR="00E061B7" w:rsidRPr="007B0EDB" w:rsidRDefault="00E061B7" w:rsidP="00E061B7">
      <w:pPr>
        <w:jc w:val="center"/>
        <w:rPr>
          <w:rFonts w:cs="Times New Roman"/>
          <w:b/>
          <w:color w:val="auto"/>
          <w:szCs w:val="24"/>
        </w:rPr>
      </w:pPr>
      <w:r>
        <w:rPr>
          <w:rFonts w:cs="Times New Roman"/>
          <w:b/>
          <w:color w:val="auto"/>
          <w:szCs w:val="24"/>
        </w:rPr>
        <w:t>Tom Olmstead</w:t>
      </w:r>
    </w:p>
    <w:p w14:paraId="4AFD4624" w14:textId="1983169C" w:rsidR="00E061B7" w:rsidRDefault="00E061B7" w:rsidP="00E061B7">
      <w:pPr>
        <w:jc w:val="center"/>
        <w:rPr>
          <w:rFonts w:cs="Times New Roman"/>
          <w:b/>
          <w:color w:val="auto"/>
          <w:szCs w:val="24"/>
        </w:rPr>
      </w:pPr>
      <w:r>
        <w:rPr>
          <w:rFonts w:cs="Times New Roman"/>
          <w:b/>
          <w:color w:val="auto"/>
          <w:szCs w:val="24"/>
        </w:rPr>
        <w:t>November 1</w:t>
      </w:r>
      <w:r w:rsidRPr="00E061B7">
        <w:rPr>
          <w:rFonts w:cs="Times New Roman"/>
          <w:b/>
          <w:color w:val="auto"/>
          <w:szCs w:val="24"/>
          <w:vertAlign w:val="superscript"/>
        </w:rPr>
        <w:t>st</w:t>
      </w:r>
      <w:r w:rsidRPr="007B0EDB">
        <w:rPr>
          <w:rFonts w:cs="Times New Roman"/>
          <w:b/>
          <w:color w:val="auto"/>
          <w:szCs w:val="24"/>
        </w:rPr>
        <w:t>, 2023</w:t>
      </w:r>
    </w:p>
    <w:p w14:paraId="2CC5AC63" w14:textId="7178A858" w:rsidR="00E061B7" w:rsidRDefault="00E061B7">
      <w:pPr>
        <w:rPr>
          <w:rFonts w:cs="Times New Roman"/>
          <w:color w:val="auto"/>
          <w:szCs w:val="24"/>
        </w:rPr>
      </w:pPr>
    </w:p>
    <w:p w14:paraId="58CB9521" w14:textId="77777777" w:rsidR="00E061B7" w:rsidRDefault="00E061B7">
      <w:pPr>
        <w:rPr>
          <w:rFonts w:cs="Times New Roman"/>
          <w:color w:val="auto"/>
          <w:szCs w:val="24"/>
        </w:rPr>
      </w:pPr>
      <w:r>
        <w:rPr>
          <w:rFonts w:cs="Times New Roman"/>
          <w:color w:val="auto"/>
          <w:szCs w:val="24"/>
        </w:rPr>
        <w:br w:type="page"/>
      </w:r>
    </w:p>
    <w:p w14:paraId="04C6C043" w14:textId="3CDF2CEF" w:rsidR="000D7612" w:rsidRPr="00E061B7" w:rsidRDefault="00306FF8" w:rsidP="00306FF8">
      <w:pPr>
        <w:ind w:firstLine="720"/>
        <w:rPr>
          <w:rFonts w:cs="Times New Roman"/>
          <w:color w:val="auto"/>
          <w:szCs w:val="24"/>
        </w:rPr>
      </w:pPr>
      <w:r w:rsidRPr="00E061B7">
        <w:rPr>
          <w:rFonts w:cs="Times New Roman"/>
          <w:color w:val="auto"/>
          <w:szCs w:val="24"/>
        </w:rPr>
        <w:lastRenderedPageBreak/>
        <w:t xml:space="preserve">Enron was a company created after a corporate merger of two smaller energy companies, Houston Natural Gas, and InterNorth. This new company used Mark to Market accounting in order to over-estimate the company’s actual worth with overvalued assets. This would in turn hide the massive debt that Enron had accrued over its business lifetime. After a healthy valuation of its stock, numerous CEO departures among other suspicious business activities prompted the U.S. Securities and Exchange Commission to </w:t>
      </w:r>
      <w:r w:rsidR="00E061B7" w:rsidRPr="00E061B7">
        <w:rPr>
          <w:rFonts w:cs="Times New Roman"/>
          <w:color w:val="auto"/>
          <w:szCs w:val="24"/>
        </w:rPr>
        <w:t>investigate</w:t>
      </w:r>
      <w:r w:rsidRPr="00E061B7">
        <w:rPr>
          <w:rFonts w:cs="Times New Roman"/>
          <w:color w:val="auto"/>
          <w:szCs w:val="24"/>
        </w:rPr>
        <w:t xml:space="preserve"> the aforementioned accounting that Enron had been practicing. It was then revealed that Enron had hid nearly $630 million in debt from the public and investors. This caused both a failure of contract for an interested company to merge with Enron, and also investors to pursue a </w:t>
      </w:r>
      <w:r w:rsidR="00E061B7" w:rsidRPr="00E061B7">
        <w:rPr>
          <w:rFonts w:cs="Times New Roman"/>
          <w:color w:val="auto"/>
          <w:szCs w:val="24"/>
        </w:rPr>
        <w:t xml:space="preserve">$40 billion lawsuit. With this now public, Enron was forced to file for Bankruptcy </w:t>
      </w:r>
      <w:sdt>
        <w:sdtPr>
          <w:rPr>
            <w:rFonts w:cs="Times New Roman"/>
            <w:color w:val="auto"/>
            <w:szCs w:val="24"/>
          </w:rPr>
          <w:id w:val="469091433"/>
          <w:citation/>
        </w:sdtPr>
        <w:sdtContent>
          <w:r w:rsidR="00E061B7" w:rsidRPr="00E061B7">
            <w:rPr>
              <w:rFonts w:cs="Times New Roman"/>
              <w:color w:val="auto"/>
              <w:szCs w:val="24"/>
            </w:rPr>
            <w:fldChar w:fldCharType="begin"/>
          </w:r>
          <w:r w:rsidR="00E061B7" w:rsidRPr="00E061B7">
            <w:rPr>
              <w:rFonts w:cs="Times New Roman"/>
              <w:color w:val="auto"/>
              <w:szCs w:val="24"/>
            </w:rPr>
            <w:instrText xml:space="preserve"> CITATION Rac181 \l 1033 </w:instrText>
          </w:r>
          <w:r w:rsidR="00E061B7" w:rsidRPr="00E061B7">
            <w:rPr>
              <w:rFonts w:cs="Times New Roman"/>
              <w:color w:val="auto"/>
              <w:szCs w:val="24"/>
            </w:rPr>
            <w:fldChar w:fldCharType="separate"/>
          </w:r>
          <w:r w:rsidR="00E061B7" w:rsidRPr="00E061B7">
            <w:rPr>
              <w:rFonts w:cs="Times New Roman"/>
              <w:noProof/>
              <w:color w:val="auto"/>
              <w:szCs w:val="24"/>
            </w:rPr>
            <w:t>(Smith, 2018)</w:t>
          </w:r>
          <w:r w:rsidR="00E061B7" w:rsidRPr="00E061B7">
            <w:rPr>
              <w:rFonts w:cs="Times New Roman"/>
              <w:color w:val="auto"/>
              <w:szCs w:val="24"/>
            </w:rPr>
            <w:fldChar w:fldCharType="end"/>
          </w:r>
        </w:sdtContent>
      </w:sdt>
      <w:r w:rsidR="00E061B7" w:rsidRPr="00E061B7">
        <w:rPr>
          <w:rFonts w:cs="Times New Roman"/>
          <w:color w:val="auto"/>
          <w:szCs w:val="24"/>
        </w:rPr>
        <w:t>.</w:t>
      </w:r>
    </w:p>
    <w:p w14:paraId="108369AE" w14:textId="1E3B4B21" w:rsidR="00E061B7" w:rsidRPr="00E061B7" w:rsidRDefault="00E061B7" w:rsidP="00306FF8">
      <w:pPr>
        <w:ind w:firstLine="720"/>
        <w:rPr>
          <w:rFonts w:cs="Times New Roman"/>
          <w:color w:val="auto"/>
          <w:szCs w:val="24"/>
        </w:rPr>
      </w:pPr>
      <w:r w:rsidRPr="00E061B7">
        <w:rPr>
          <w:rFonts w:cs="Times New Roman"/>
          <w:color w:val="auto"/>
          <w:szCs w:val="24"/>
        </w:rPr>
        <w:t xml:space="preserve">The size of this fraud scandal did prompt some changes to accounting heuristics. The huge amount of fraud exposed by malpractice risks created a precedent. It showed that any company, no matter the value or standing, is susceptible to bankruptcy and law. Enron had previously been touted as the most innovative company in America, and it had a thriving market behind it </w:t>
      </w:r>
      <w:sdt>
        <w:sdtPr>
          <w:rPr>
            <w:rFonts w:cs="Times New Roman"/>
            <w:color w:val="auto"/>
            <w:szCs w:val="24"/>
          </w:rPr>
          <w:id w:val="1069164259"/>
          <w:citation/>
        </w:sdtPr>
        <w:sdtContent>
          <w:r w:rsidRPr="00E061B7">
            <w:rPr>
              <w:rFonts w:cs="Times New Roman"/>
              <w:color w:val="auto"/>
              <w:szCs w:val="24"/>
            </w:rPr>
            <w:fldChar w:fldCharType="begin"/>
          </w:r>
          <w:r w:rsidRPr="00E061B7">
            <w:rPr>
              <w:rFonts w:cs="Times New Roman"/>
              <w:color w:val="auto"/>
              <w:szCs w:val="24"/>
            </w:rPr>
            <w:instrText xml:space="preserve"> CITATION Rac181 \l 1033 </w:instrText>
          </w:r>
          <w:r w:rsidRPr="00E061B7">
            <w:rPr>
              <w:rFonts w:cs="Times New Roman"/>
              <w:color w:val="auto"/>
              <w:szCs w:val="24"/>
            </w:rPr>
            <w:fldChar w:fldCharType="separate"/>
          </w:r>
          <w:r w:rsidRPr="00E061B7">
            <w:rPr>
              <w:rFonts w:cs="Times New Roman"/>
              <w:noProof/>
              <w:color w:val="auto"/>
              <w:szCs w:val="24"/>
            </w:rPr>
            <w:t>(Smith, 2018)</w:t>
          </w:r>
          <w:r w:rsidRPr="00E061B7">
            <w:rPr>
              <w:rFonts w:cs="Times New Roman"/>
              <w:color w:val="auto"/>
              <w:szCs w:val="24"/>
            </w:rPr>
            <w:fldChar w:fldCharType="end"/>
          </w:r>
        </w:sdtContent>
      </w:sdt>
      <w:r w:rsidRPr="00E061B7">
        <w:rPr>
          <w:rFonts w:cs="Times New Roman"/>
          <w:color w:val="auto"/>
          <w:szCs w:val="24"/>
        </w:rPr>
        <w:t xml:space="preserve">. This scandal had completely toppled the company in one consolidated swing. Because of this event, companies sized from local businesses to even giants such as Microsoft must adhere to professional practices put forth by the SEC </w:t>
      </w:r>
      <w:sdt>
        <w:sdtPr>
          <w:rPr>
            <w:rFonts w:cs="Times New Roman"/>
            <w:color w:val="auto"/>
            <w:szCs w:val="24"/>
          </w:rPr>
          <w:id w:val="-1670790646"/>
          <w:citation/>
        </w:sdtPr>
        <w:sdtContent>
          <w:r w:rsidRPr="00E061B7">
            <w:rPr>
              <w:rFonts w:cs="Times New Roman"/>
              <w:color w:val="auto"/>
              <w:szCs w:val="24"/>
            </w:rPr>
            <w:fldChar w:fldCharType="begin"/>
          </w:r>
          <w:r w:rsidRPr="00E061B7">
            <w:rPr>
              <w:rFonts w:cs="Times New Roman"/>
              <w:color w:val="auto"/>
              <w:szCs w:val="24"/>
            </w:rPr>
            <w:instrText xml:space="preserve"> CITATION Vic21 \l 1033 </w:instrText>
          </w:r>
          <w:r w:rsidRPr="00E061B7">
            <w:rPr>
              <w:rFonts w:cs="Times New Roman"/>
              <w:color w:val="auto"/>
              <w:szCs w:val="24"/>
            </w:rPr>
            <w:fldChar w:fldCharType="separate"/>
          </w:r>
          <w:r w:rsidRPr="00E061B7">
            <w:rPr>
              <w:rFonts w:cs="Times New Roman"/>
              <w:noProof/>
              <w:color w:val="auto"/>
              <w:szCs w:val="24"/>
            </w:rPr>
            <w:t>(Flatt, 2021)</w:t>
          </w:r>
          <w:r w:rsidRPr="00E061B7">
            <w:rPr>
              <w:rFonts w:cs="Times New Roman"/>
              <w:color w:val="auto"/>
              <w:szCs w:val="24"/>
            </w:rPr>
            <w:fldChar w:fldCharType="end"/>
          </w:r>
        </w:sdtContent>
      </w:sdt>
      <w:r w:rsidRPr="00E061B7">
        <w:rPr>
          <w:rFonts w:cs="Times New Roman"/>
          <w:color w:val="auto"/>
          <w:szCs w:val="24"/>
        </w:rPr>
        <w:t xml:space="preserve">, and will have consultation experts to help manage this endeavor. The landscape of technology, and markets of the nation have little room for corporate fraud, no matter the company scale. </w:t>
      </w:r>
    </w:p>
    <w:p w14:paraId="63BE0162" w14:textId="77777777" w:rsidR="00E061B7" w:rsidRPr="00E061B7" w:rsidRDefault="00E061B7">
      <w:pPr>
        <w:rPr>
          <w:rFonts w:cs="Times New Roman"/>
          <w:color w:val="auto"/>
          <w:szCs w:val="24"/>
        </w:rPr>
      </w:pPr>
      <w:r w:rsidRPr="00E061B7">
        <w:rPr>
          <w:rFonts w:cs="Times New Roman"/>
          <w:color w:val="auto"/>
          <w:szCs w:val="24"/>
        </w:rPr>
        <w:br w:type="page"/>
      </w:r>
    </w:p>
    <w:sdt>
      <w:sdtPr>
        <w:rPr>
          <w:rFonts w:ascii="Times New Roman" w:hAnsi="Times New Roman" w:cs="Times New Roman"/>
          <w:color w:val="auto"/>
          <w:sz w:val="24"/>
          <w:szCs w:val="24"/>
        </w:rPr>
        <w:id w:val="829717957"/>
        <w:docPartObj>
          <w:docPartGallery w:val="Bibliographies"/>
          <w:docPartUnique/>
        </w:docPartObj>
      </w:sdtPr>
      <w:sdtEndPr>
        <w:rPr>
          <w:rFonts w:eastAsiaTheme="minorHAnsi"/>
        </w:rPr>
      </w:sdtEndPr>
      <w:sdtContent>
        <w:p w14:paraId="79FD52CE" w14:textId="078BC968" w:rsidR="00E061B7" w:rsidRPr="00E061B7" w:rsidRDefault="00E061B7" w:rsidP="00E061B7">
          <w:pPr>
            <w:pStyle w:val="Heading1"/>
            <w:jc w:val="center"/>
            <w:rPr>
              <w:rFonts w:ascii="Times New Roman" w:hAnsi="Times New Roman" w:cs="Times New Roman"/>
              <w:b/>
              <w:bCs/>
              <w:color w:val="auto"/>
              <w:sz w:val="24"/>
              <w:szCs w:val="24"/>
            </w:rPr>
          </w:pPr>
          <w:r w:rsidRPr="00E061B7">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14:paraId="20BF0729" w14:textId="77777777" w:rsidR="00E061B7" w:rsidRPr="00E061B7" w:rsidRDefault="00E061B7" w:rsidP="00E061B7">
              <w:pPr>
                <w:pStyle w:val="Bibliography"/>
                <w:ind w:left="720" w:hanging="720"/>
                <w:rPr>
                  <w:rFonts w:cs="Times New Roman"/>
                  <w:noProof/>
                  <w:color w:val="auto"/>
                  <w:szCs w:val="24"/>
                </w:rPr>
              </w:pPr>
              <w:r w:rsidRPr="00E061B7">
                <w:rPr>
                  <w:rFonts w:cs="Times New Roman"/>
                  <w:color w:val="auto"/>
                  <w:szCs w:val="24"/>
                </w:rPr>
                <w:fldChar w:fldCharType="begin"/>
              </w:r>
              <w:r w:rsidRPr="00E061B7">
                <w:rPr>
                  <w:rFonts w:cs="Times New Roman"/>
                  <w:color w:val="auto"/>
                  <w:szCs w:val="24"/>
                </w:rPr>
                <w:instrText xml:space="preserve"> BIBLIOGRAPHY </w:instrText>
              </w:r>
              <w:r w:rsidRPr="00E061B7">
                <w:rPr>
                  <w:rFonts w:cs="Times New Roman"/>
                  <w:color w:val="auto"/>
                  <w:szCs w:val="24"/>
                </w:rPr>
                <w:fldChar w:fldCharType="separate"/>
              </w:r>
              <w:r w:rsidRPr="00E061B7">
                <w:rPr>
                  <w:rFonts w:cs="Times New Roman"/>
                  <w:noProof/>
                  <w:color w:val="auto"/>
                  <w:szCs w:val="24"/>
                </w:rPr>
                <w:t xml:space="preserve">Flatt, V. B. (2021, December 27). </w:t>
              </w:r>
              <w:r w:rsidRPr="00E061B7">
                <w:rPr>
                  <w:rFonts w:cs="Times New Roman"/>
                  <w:i/>
                  <w:iCs/>
                  <w:noProof/>
                  <w:color w:val="auto"/>
                  <w:szCs w:val="24"/>
                </w:rPr>
                <w:t>Enron’s Collapse 20 Years Later—Lessons Not Learned</w:t>
              </w:r>
              <w:r w:rsidRPr="00E061B7">
                <w:rPr>
                  <w:rFonts w:cs="Times New Roman"/>
                  <w:noProof/>
                  <w:color w:val="auto"/>
                  <w:szCs w:val="24"/>
                </w:rPr>
                <w:t>. Retrieved from Bloomberg Law: https://news.bloomberglaw.com/environment-and-energy/enrons-collapse-20-years-later-lessons-not-learned</w:t>
              </w:r>
            </w:p>
            <w:p w14:paraId="5B826F95" w14:textId="77777777" w:rsidR="00E061B7" w:rsidRPr="00E061B7" w:rsidRDefault="00E061B7" w:rsidP="00E061B7">
              <w:pPr>
                <w:pStyle w:val="Bibliography"/>
                <w:ind w:left="720" w:hanging="720"/>
                <w:rPr>
                  <w:rFonts w:cs="Times New Roman"/>
                  <w:noProof/>
                  <w:color w:val="auto"/>
                  <w:szCs w:val="24"/>
                </w:rPr>
              </w:pPr>
              <w:r w:rsidRPr="00E061B7">
                <w:rPr>
                  <w:rFonts w:cs="Times New Roman"/>
                  <w:noProof/>
                  <w:color w:val="auto"/>
                  <w:szCs w:val="24"/>
                </w:rPr>
                <w:t xml:space="preserve">Smith, R. (2018, December 10). </w:t>
              </w:r>
              <w:r w:rsidRPr="00E061B7">
                <w:rPr>
                  <w:rFonts w:cs="Times New Roman"/>
                  <w:i/>
                  <w:iCs/>
                  <w:noProof/>
                  <w:color w:val="auto"/>
                  <w:szCs w:val="24"/>
                </w:rPr>
                <w:t>The Enron Scandal</w:t>
              </w:r>
              <w:r w:rsidRPr="00E061B7">
                <w:rPr>
                  <w:rFonts w:cs="Times New Roman"/>
                  <w:noProof/>
                  <w:color w:val="auto"/>
                  <w:szCs w:val="24"/>
                </w:rPr>
                <w:t>. Retrieved from stanford.edu: http://large.stanford.edu/courses/2018/ph240/smith1/</w:t>
              </w:r>
            </w:p>
            <w:p w14:paraId="065EB435" w14:textId="723F7581" w:rsidR="00E061B7" w:rsidRPr="00E061B7" w:rsidRDefault="00E061B7" w:rsidP="00E061B7">
              <w:pPr>
                <w:rPr>
                  <w:rFonts w:cs="Times New Roman"/>
                  <w:color w:val="auto"/>
                  <w:szCs w:val="24"/>
                </w:rPr>
              </w:pPr>
              <w:r w:rsidRPr="00E061B7">
                <w:rPr>
                  <w:rFonts w:cs="Times New Roman"/>
                  <w:b/>
                  <w:bCs/>
                  <w:noProof/>
                  <w:color w:val="auto"/>
                  <w:szCs w:val="24"/>
                </w:rPr>
                <w:fldChar w:fldCharType="end"/>
              </w:r>
            </w:p>
          </w:sdtContent>
        </w:sdt>
      </w:sdtContent>
    </w:sdt>
    <w:p w14:paraId="5D804DF3" w14:textId="77777777" w:rsidR="00E061B7" w:rsidRPr="00E061B7" w:rsidRDefault="00E061B7" w:rsidP="00306FF8">
      <w:pPr>
        <w:ind w:firstLine="720"/>
        <w:rPr>
          <w:rFonts w:cs="Times New Roman"/>
          <w:color w:val="auto"/>
          <w:szCs w:val="24"/>
        </w:rPr>
      </w:pPr>
    </w:p>
    <w:sectPr w:rsidR="00E061B7" w:rsidRPr="00E061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2AEE4" w14:textId="77777777" w:rsidR="008A3F20" w:rsidRDefault="008A3F20" w:rsidP="00E061B7">
      <w:pPr>
        <w:spacing w:line="240" w:lineRule="auto"/>
      </w:pPr>
      <w:r>
        <w:separator/>
      </w:r>
    </w:p>
  </w:endnote>
  <w:endnote w:type="continuationSeparator" w:id="0">
    <w:p w14:paraId="1210278C" w14:textId="77777777" w:rsidR="008A3F20" w:rsidRDefault="008A3F20" w:rsidP="00E061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1ED1D" w14:textId="77777777" w:rsidR="008A3F20" w:rsidRDefault="008A3F20" w:rsidP="00E061B7">
      <w:pPr>
        <w:spacing w:line="240" w:lineRule="auto"/>
      </w:pPr>
      <w:r>
        <w:separator/>
      </w:r>
    </w:p>
  </w:footnote>
  <w:footnote w:type="continuationSeparator" w:id="0">
    <w:p w14:paraId="76916415" w14:textId="77777777" w:rsidR="008A3F20" w:rsidRDefault="008A3F20" w:rsidP="00E061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079255"/>
      <w:docPartObj>
        <w:docPartGallery w:val="Page Numbers (Top of Page)"/>
        <w:docPartUnique/>
      </w:docPartObj>
    </w:sdtPr>
    <w:sdtEndPr>
      <w:rPr>
        <w:noProof/>
      </w:rPr>
    </w:sdtEndPr>
    <w:sdtContent>
      <w:p w14:paraId="7BD0E852" w14:textId="3E641093" w:rsidR="00E061B7" w:rsidRDefault="00E061B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86EDB7" w14:textId="77777777" w:rsidR="00E061B7" w:rsidRDefault="00E061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Y0NDU2NjAwMjW1NDVR0lEKTi0uzszPAykwrAUA8zX2gCwAAAA="/>
  </w:docVars>
  <w:rsids>
    <w:rsidRoot w:val="00306FF8"/>
    <w:rsid w:val="000D7612"/>
    <w:rsid w:val="00152930"/>
    <w:rsid w:val="00306FF8"/>
    <w:rsid w:val="007C3C33"/>
    <w:rsid w:val="007C72E8"/>
    <w:rsid w:val="008A3F20"/>
    <w:rsid w:val="00AF2AE3"/>
    <w:rsid w:val="00E0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21DE"/>
  <w15:chartTrackingRefBased/>
  <w15:docId w15:val="{D0AD80D0-8D47-4A00-A4C4-B57540C2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E061B7"/>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1B7"/>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E061B7"/>
  </w:style>
  <w:style w:type="paragraph" w:styleId="Header">
    <w:name w:val="header"/>
    <w:basedOn w:val="Normal"/>
    <w:link w:val="HeaderChar"/>
    <w:uiPriority w:val="99"/>
    <w:unhideWhenUsed/>
    <w:rsid w:val="00E061B7"/>
    <w:pPr>
      <w:tabs>
        <w:tab w:val="center" w:pos="4680"/>
        <w:tab w:val="right" w:pos="9360"/>
      </w:tabs>
      <w:spacing w:line="240" w:lineRule="auto"/>
    </w:pPr>
  </w:style>
  <w:style w:type="character" w:customStyle="1" w:styleId="HeaderChar">
    <w:name w:val="Header Char"/>
    <w:basedOn w:val="DefaultParagraphFont"/>
    <w:link w:val="Header"/>
    <w:uiPriority w:val="99"/>
    <w:rsid w:val="00E061B7"/>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E061B7"/>
    <w:pPr>
      <w:tabs>
        <w:tab w:val="center" w:pos="4680"/>
        <w:tab w:val="right" w:pos="9360"/>
      </w:tabs>
      <w:spacing w:line="240" w:lineRule="auto"/>
    </w:pPr>
  </w:style>
  <w:style w:type="character" w:customStyle="1" w:styleId="FooterChar">
    <w:name w:val="Footer Char"/>
    <w:basedOn w:val="DefaultParagraphFont"/>
    <w:link w:val="Footer"/>
    <w:uiPriority w:val="99"/>
    <w:rsid w:val="00E061B7"/>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237950">
      <w:bodyDiv w:val="1"/>
      <w:marLeft w:val="0"/>
      <w:marRight w:val="0"/>
      <w:marTop w:val="0"/>
      <w:marBottom w:val="0"/>
      <w:divBdr>
        <w:top w:val="none" w:sz="0" w:space="0" w:color="auto"/>
        <w:left w:val="none" w:sz="0" w:space="0" w:color="auto"/>
        <w:bottom w:val="none" w:sz="0" w:space="0" w:color="auto"/>
        <w:right w:val="none" w:sz="0" w:space="0" w:color="auto"/>
      </w:divBdr>
    </w:div>
    <w:div w:id="1651591383">
      <w:bodyDiv w:val="1"/>
      <w:marLeft w:val="0"/>
      <w:marRight w:val="0"/>
      <w:marTop w:val="0"/>
      <w:marBottom w:val="0"/>
      <w:divBdr>
        <w:top w:val="none" w:sz="0" w:space="0" w:color="auto"/>
        <w:left w:val="none" w:sz="0" w:space="0" w:color="auto"/>
        <w:bottom w:val="none" w:sz="0" w:space="0" w:color="auto"/>
        <w:right w:val="none" w:sz="0" w:space="0" w:color="auto"/>
      </w:divBdr>
    </w:div>
    <w:div w:id="1917204735">
      <w:bodyDiv w:val="1"/>
      <w:marLeft w:val="0"/>
      <w:marRight w:val="0"/>
      <w:marTop w:val="0"/>
      <w:marBottom w:val="0"/>
      <w:divBdr>
        <w:top w:val="none" w:sz="0" w:space="0" w:color="auto"/>
        <w:left w:val="none" w:sz="0" w:space="0" w:color="auto"/>
        <w:bottom w:val="none" w:sz="0" w:space="0" w:color="auto"/>
        <w:right w:val="none" w:sz="0" w:space="0" w:color="auto"/>
      </w:divBdr>
    </w:div>
    <w:div w:id="205017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Rac181</b:Tag>
    <b:SourceType>InternetSite</b:SourceType>
    <b:Guid>{B48014B3-6391-439A-B2C3-FE5DEE84AABF}</b:Guid>
    <b:Author>
      <b:Author>
        <b:NameList>
          <b:Person>
            <b:Last>Smith</b:Last>
            <b:First>Rachel</b:First>
          </b:Person>
        </b:NameList>
      </b:Author>
    </b:Author>
    <b:Title>The Enron Scandal</b:Title>
    <b:InternetSiteTitle>stanford.edu</b:InternetSiteTitle>
    <b:Year>2018</b:Year>
    <b:Month>December</b:Month>
    <b:Day>10</b:Day>
    <b:URL>http://large.stanford.edu/courses/2018/ph240/smith1/</b:URL>
    <b:RefOrder>1</b:RefOrder>
  </b:Source>
  <b:Source>
    <b:Tag>Vic21</b:Tag>
    <b:SourceType>InternetSite</b:SourceType>
    <b:Guid>{0E7BB0F7-4007-44FD-8723-BC32E0B12E50}</b:Guid>
    <b:Author>
      <b:Author>
        <b:NameList>
          <b:Person>
            <b:Last>Flatt</b:Last>
            <b:First>Victor</b:First>
            <b:Middle>B.</b:Middle>
          </b:Person>
        </b:NameList>
      </b:Author>
    </b:Author>
    <b:Title>Enron’s Collapse 20 Years Later—Lessons Not Learned</b:Title>
    <b:InternetSiteTitle>Bloomberg Law</b:InternetSiteTitle>
    <b:Year>2021</b:Year>
    <b:Month>December</b:Month>
    <b:Day>27</b:Day>
    <b:URL>https://news.bloomberglaw.com/environment-and-energy/enrons-collapse-20-years-later-lessons-not-learned</b:URL>
    <b:RefOrder>2</b:RefOrder>
  </b:Source>
</b:Sources>
</file>

<file path=customXml/itemProps1.xml><?xml version="1.0" encoding="utf-8"?>
<ds:datastoreItem xmlns:ds="http://schemas.openxmlformats.org/officeDocument/2006/customXml" ds:itemID="{D9D7AA44-AD10-4B71-82E3-875CFCDCC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2</cp:revision>
  <dcterms:created xsi:type="dcterms:W3CDTF">2023-11-08T11:08:00Z</dcterms:created>
  <dcterms:modified xsi:type="dcterms:W3CDTF">2023-11-08T11:30:00Z</dcterms:modified>
</cp:coreProperties>
</file>