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120" w:before="0" w:line="276" w:lineRule="auto"/>
        <w:jc w:val="center"/>
      </w:pPr>
      <w:r>
        <w:rPr>
          <w:rFonts w:ascii="Calibri" w:cs="Calibri" w:eastAsia="Calibri" w:hAnsi="Calibri"/>
          <w:b/>
          <w:bCs/>
          <w:i w:val="false"/>
          <w:iCs w:val="false"/>
          <w:color w:val="000000"/>
          <w:sz w:val="28"/>
          <w:szCs w:val="28"/>
        </w:rPr>
        <w:t xml:space="preserve">UNIVERSITY OF MASSACHUSETTS DARTMOUTH</w:t>
      </w:r>
    </w:p>
    <w:p>
      <w:pPr>
        <w:spacing w:after="80" w:before="0" w:line="276" w:lineRule="auto"/>
        <w:jc w:val="center"/>
      </w:pPr>
      <w:r>
        <w:rPr>
          <w:rFonts w:ascii="Calibri" w:cs="Calibri" w:eastAsia="Calibri" w:hAnsi="Calibri"/>
          <w:b w:val="false"/>
          <w:bCs w:val="false"/>
          <w:i w:val="false"/>
          <w:iCs w:val="false"/>
          <w:color w:val="000000"/>
          <w:sz w:val="24"/>
          <w:szCs w:val="24"/>
        </w:rPr>
        <w:t xml:space="preserve">FALL '24 / SPRING '25</w:t>
      </w:r>
    </w:p>
    <w:p>
      <w:pPr>
        <w:spacing w:after="600" w:before="0" w:line="276" w:lineRule="auto"/>
        <w:jc w:val="center"/>
      </w:pPr>
      <w:r>
        <w:rPr>
          <w:rFonts w:ascii="Calibri" w:cs="Calibri" w:eastAsia="Calibri" w:hAnsi="Calibri"/>
          <w:b/>
          <w:bCs/>
          <w:i w:val="false"/>
          <w:iCs w:val="false"/>
          <w:color w:val="000000"/>
          <w:sz w:val="26"/>
          <w:szCs w:val="26"/>
        </w:rPr>
        <w:t xml:space="preserve">DSC 500 — MASTER'S CAPSTONE PROJECT REPORT</w:t>
      </w:r>
    </w:p>
    <w:p>
      <w:pPr>
        <w:spacing w:after="80" w:before="0" w:line="276" w:lineRule="auto"/>
        <w:jc w:val="center"/>
      </w:pPr>
      <w:r>
        <w:rPr>
          <w:rFonts w:ascii="Calibri" w:cs="Calibri" w:eastAsia="Calibri" w:hAnsi="Calibri"/>
          <w:b/>
          <w:bCs/>
          <w:i w:val="false"/>
          <w:iCs w:val="false"/>
          <w:color w:val="000000"/>
          <w:sz w:val="32"/>
          <w:szCs w:val="32"/>
        </w:rPr>
        <w:t xml:space="preserve">MULTI-TABLE CUSTOMER CHURN PREDICTION:</w:t>
      </w:r>
    </w:p>
    <w:p>
      <w:pPr>
        <w:spacing w:after="80" w:before="0" w:line="276" w:lineRule="auto"/>
        <w:jc w:val="center"/>
      </w:pPr>
      <w:r>
        <w:rPr>
          <w:rFonts w:ascii="Calibri" w:cs="Calibri" w:eastAsia="Calibri" w:hAnsi="Calibri"/>
          <w:b/>
          <w:bCs/>
          <w:i w:val="false"/>
          <w:iCs w:val="false"/>
          <w:color w:val="000000"/>
          <w:sz w:val="28"/>
          <w:szCs w:val="28"/>
        </w:rPr>
        <w:t xml:space="preserve">A Two-Phase Scalability Study from Synthetic Telecom Data</w:t>
      </w:r>
    </w:p>
    <w:p>
      <w:pPr>
        <w:spacing w:after="800" w:before="0" w:line="276" w:lineRule="auto"/>
        <w:jc w:val="center"/>
      </w:pPr>
      <w:r>
        <w:rPr>
          <w:rFonts w:ascii="Calibri" w:cs="Calibri" w:eastAsia="Calibri" w:hAnsi="Calibri"/>
          <w:b/>
          <w:bCs/>
          <w:i w:val="false"/>
          <w:iCs w:val="false"/>
          <w:color w:val="000000"/>
          <w:sz w:val="28"/>
          <w:szCs w:val="28"/>
        </w:rPr>
        <w:t xml:space="preserve">to Real-World Music Streaming Behavior</w:t>
      </w:r>
    </w:p>
    <w:p>
      <w:pPr>
        <w:spacing w:after="80" w:before="0" w:line="276" w:lineRule="auto"/>
        <w:jc w:val="center"/>
      </w:pPr>
      <w:r>
        <w:rPr>
          <w:rFonts w:ascii="Calibri" w:cs="Calibri" w:eastAsia="Calibri" w:hAnsi="Calibri"/>
          <w:b/>
          <w:bCs/>
          <w:i w:val="false"/>
          <w:iCs w:val="false"/>
          <w:color w:val="000000"/>
          <w:sz w:val="26"/>
          <w:szCs w:val="26"/>
        </w:rPr>
        <w:t xml:space="preserve">BY: SIDDHARTH MUNAGALA</w:t>
      </w:r>
    </w:p>
    <w:p>
      <w:pPr>
        <w:spacing w:after="80" w:before="0" w:line="276" w:lineRule="auto"/>
        <w:jc w:val="center"/>
      </w:pPr>
      <w:r>
        <w:rPr>
          <w:rFonts w:ascii="Calibri" w:cs="Calibri" w:eastAsia="Calibri" w:hAnsi="Calibri"/>
          <w:b w:val="false"/>
          <w:bCs w:val="false"/>
          <w:i w:val="false"/>
          <w:iCs w:val="false"/>
          <w:color w:val="000000"/>
          <w:sz w:val="24"/>
          <w:szCs w:val="24"/>
        </w:rPr>
        <w:t xml:space="preserve">Student ID: 02082171</w:t>
      </w:r>
    </w:p>
    <w:p>
      <w:pPr>
        <w:spacing w:after="80" w:before="0" w:line="276" w:lineRule="auto"/>
        <w:jc w:val="center"/>
      </w:pPr>
      <w:r>
        <w:rPr>
          <w:rFonts w:ascii="Calibri" w:cs="Calibri" w:eastAsia="Calibri" w:hAnsi="Calibri"/>
          <w:b w:val="false"/>
          <w:bCs w:val="false"/>
          <w:i/>
          <w:iCs/>
          <w:color w:val="000000"/>
          <w:sz w:val="24"/>
          <w:szCs w:val="24"/>
        </w:rPr>
        <w:t xml:space="preserve">Under Guidance of: Dr. Ashok Kumar Patel</w:t>
      </w:r>
    </w:p>
    <w:p>
      <w:pPr>
        <w:spacing w:after="80" w:before="0" w:line="276" w:lineRule="auto"/>
        <w:jc w:val="center"/>
      </w:pPr>
      <w:r>
        <w:rPr>
          <w:rFonts w:ascii="Calibri" w:cs="Calibri" w:eastAsia="Calibri" w:hAnsi="Calibri"/>
          <w:b w:val="false"/>
          <w:bCs w:val="false"/>
          <w:i w:val="false"/>
          <w:iCs w:val="false"/>
          <w:color w:val="000000"/>
          <w:sz w:val="24"/>
          <w:szCs w:val="24"/>
        </w:rPr>
        <w:t xml:space="preserve">Submission Date: April 2025</w:t>
      </w:r>
    </w:p>
    <w:p>
      <w:pPr>
        <w:spacing w:after="0" w:before="0" w:line="276" w:lineRule="auto"/>
        <w:jc w:val="center"/>
      </w:pPr>
      <w:r>
        <w:rPr>
          <w:rFonts w:ascii="Calibri" w:cs="Calibri" w:eastAsia="Calibri" w:hAnsi="Calibri"/>
          <w:b w:val="false"/>
          <w:bCs w:val="false"/>
          <w:i w:val="false"/>
          <w:iCs w:val="false"/>
          <w:color w:val="000000"/>
          <w:sz w:val="24"/>
          <w:szCs w:val="24"/>
        </w:rPr>
        <w:t xml:space="preserve">University of Massachusetts Dartmouth</w:t>
      </w:r>
    </w:p>
    <w:p>
      <w:r>
        <w:br w:type="page"/>
      </w:r>
    </w:p>
    <w:p>
      <w:pPr>
        <w:sectPr>
          <w:headerReference w:type="default" r:id="rId7"/>
          <w:footerReference w:type="default" r:id="rId8"/>
          <w:pgSz w:w="12240" w:h="15840" w:orient="portrait"/>
          <w:pgMar w:top="1440" w:right="1440" w:bottom="1440" w:left="1440" w:header="708" w:footer="708" w:gutter="0"/>
          <w:pgNumType/>
          <w:docGrid w:linePitch="360"/>
        </w:sectPr>
      </w:pP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360"/>
      </w:pPr>
      <w:r>
        <w:rPr>
          <w:rFonts w:ascii="Calibri" w:cs="Calibri" w:eastAsia="Calibri" w:hAnsi="Calibri"/>
          <w:b/>
          <w:bCs/>
        </w:rPr>
        <w:t xml:space="preserve">Abstract</w:t>
      </w:r>
    </w:p>
    <w:p>
      <w:pPr>
        <w:spacing w:after="160" w:before="0" w:line="276" w:lineRule="auto"/>
        <w:jc w:val="both"/>
      </w:pPr>
      <w:r>
        <w:rPr>
          <w:rFonts w:ascii="Calibri" w:cs="Calibri" w:eastAsia="Calibri" w:hAnsi="Calibri"/>
          <w:b w:val="false"/>
          <w:bCs w:val="false"/>
          <w:i w:val="false"/>
          <w:iCs w:val="false"/>
          <w:color w:val="000000"/>
          <w:sz w:val="24"/>
          <w:szCs w:val="24"/>
        </w:rPr>
        <w:t xml:space="preserve">Customer churn prediction is one of the highest-impact applications of machine learning in industry. This project presents a comprehensive two-phase study in end-to-end churn prediction system development. Phase 1 established a proof-of-concept pipeline using the IBM Telco Customer Churn dataset enriched with four synthetic behavioral tables, totaling over 1.4 million records across transactions, web sessions, and support ticket data. Phase 2 applied the validated pipeline to the WSDM KKBox Music Streaming Churn Prediction Challenge dataset, comprising over 18 million rows across four real-world tables including 970,960 labeled subscribers.</w:t>
      </w:r>
    </w:p>
    <w:p>
      <w:pPr>
        <w:spacing w:after="160" w:before="0" w:line="276" w:lineRule="auto"/>
        <w:jc w:val="both"/>
      </w:pPr>
      <w:r>
        <w:rPr>
          <w:rFonts w:ascii="Calibri" w:cs="Calibri" w:eastAsia="Calibri" w:hAnsi="Calibri"/>
          <w:b w:val="false"/>
          <w:bCs w:val="false"/>
          <w:i w:val="false"/>
          <w:iCs w:val="false"/>
          <w:color w:val="000000"/>
          <w:sz w:val="24"/>
          <w:szCs w:val="24"/>
        </w:rPr>
        <w:t xml:space="preserve">Both phases trained and compared three classifiers — Logistic Regression, LightGBM, and XGBoost — with consistent feature engineering methodology. The Phase 1 XGBoost model achieved an AUC of 0.9983 and Recall of 0.9972. The Phase 2 LightGBM model, trained under strict temporal train/test splitting to prevent data leakage, achieved an AUC of 0.9686 and an F1 score of 0.8191 after optimal threshold calibration, placing it competitively against top solutions on the original Kaggle competition leaderboard (0.91 to 0.93 AUC). Each phase was deployed as a production-ready REST API using FastAPI and Docker, with experiment tracking via MLflow.</w:t>
      </w:r>
    </w:p>
    <w:p>
      <w:r>
        <w:br w:type="page"/>
      </w:r>
    </w:p>
    <w:p>
      <w:pPr>
        <w:pStyle w:val="Heading1"/>
        <w:spacing w:after="120" w:before="360"/>
      </w:pPr>
      <w:r>
        <w:rPr>
          <w:rFonts w:ascii="Calibri" w:cs="Calibri" w:eastAsia="Calibri" w:hAnsi="Calibri"/>
          <w:b/>
          <w:bCs/>
        </w:rPr>
        <w:t xml:space="preserve">1. Introduction</w:t>
      </w:r>
    </w:p>
    <w:p>
      <w:pPr>
        <w:pStyle w:val="Heading2"/>
        <w:spacing w:after="80" w:before="240"/>
      </w:pPr>
      <w:r>
        <w:rPr>
          <w:rFonts w:ascii="Calibri" w:cs="Calibri" w:eastAsia="Calibri" w:hAnsi="Calibri"/>
          <w:b/>
          <w:bCs/>
        </w:rPr>
        <w:t xml:space="preserve">1.1 Problem Statement</w:t>
      </w:r>
    </w:p>
    <w:p>
      <w:pPr>
        <w:spacing w:after="160" w:before="0" w:line="276" w:lineRule="auto"/>
        <w:jc w:val="both"/>
      </w:pPr>
      <w:r>
        <w:rPr>
          <w:rFonts w:ascii="Calibri" w:cs="Calibri" w:eastAsia="Calibri" w:hAnsi="Calibri"/>
          <w:b w:val="false"/>
          <w:bCs w:val="false"/>
          <w:i w:val="false"/>
          <w:iCs w:val="false"/>
          <w:color w:val="000000"/>
          <w:sz w:val="24"/>
          <w:szCs w:val="24"/>
        </w:rPr>
        <w:t xml:space="preserve">Subscription-based businesses across telecommunications, music streaming, software, and media verticals share a common and costly problem: customers who cancel or do not renew their subscriptions. Identifying which subscribers are at risk of churning before they leave allows businesses to deploy targeted retention campaigns, personalized offers, or service improvement initiatives.</w:t>
      </w:r>
    </w:p>
    <w:p>
      <w:pPr>
        <w:spacing w:after="160" w:before="0" w:line="276" w:lineRule="auto"/>
        <w:jc w:val="both"/>
      </w:pPr>
      <w:r>
        <w:rPr>
          <w:rFonts w:ascii="Calibri" w:cs="Calibri" w:eastAsia="Calibri" w:hAnsi="Calibri"/>
          <w:b w:val="false"/>
          <w:bCs w:val="false"/>
          <w:i w:val="false"/>
          <w:iCs w:val="false"/>
          <w:color w:val="000000"/>
          <w:sz w:val="24"/>
          <w:szCs w:val="24"/>
        </w:rPr>
        <w:t xml:space="preserve">The challenge is not simply predicting churn, but predicting it accurately and early enough to act. Churn rates are typically low (8 to 27% depending on industry), creating severe class imbalance. Behavioral signals are distributed across multiple data sources — subscription records, usage logs, support interactions, payment history — requiring non-trivial feature engineering. The temporal nature of churn also demands evaluation strategies that simulate real deployment conditions, not idealized random splits.</w:t>
      </w:r>
    </w:p>
    <w:p>
      <w:pPr>
        <w:pStyle w:val="Heading2"/>
        <w:spacing w:after="80" w:before="240"/>
      </w:pPr>
      <w:r>
        <w:rPr>
          <w:rFonts w:ascii="Calibri" w:cs="Calibri" w:eastAsia="Calibri" w:hAnsi="Calibri"/>
          <w:b/>
          <w:bCs/>
        </w:rPr>
        <w:t xml:space="preserve">1.2 Motivation</w:t>
      </w:r>
    </w:p>
    <w:p>
      <w:pPr>
        <w:spacing w:after="160" w:before="0" w:line="276" w:lineRule="auto"/>
        <w:jc w:val="both"/>
      </w:pPr>
      <w:r>
        <w:rPr>
          <w:rFonts w:ascii="Calibri" w:cs="Calibri" w:eastAsia="Calibri" w:hAnsi="Calibri"/>
          <w:b w:val="false"/>
          <w:bCs w:val="false"/>
          <w:i w:val="false"/>
          <w:iCs w:val="false"/>
          <w:color w:val="000000"/>
          <w:sz w:val="24"/>
          <w:szCs w:val="24"/>
        </w:rPr>
        <w:t xml:space="preserve">This project was motivated by the desire to build a production-grade, end-to-end machine learning system that addresses the full lifecycle of a churn prediction problem: data ingestion and cleaning, multi-table feature engineering, model training with proper validation methodology, threshold optimization, API deployment, and containerization. The project explicitly tests whether a pipeline developed on one domain generalizes to a much larger real-world dataset.</w:t>
      </w:r>
    </w:p>
    <w:p>
      <w:pPr>
        <w:spacing w:after="160" w:before="0" w:line="276" w:lineRule="auto"/>
        <w:jc w:val="both"/>
      </w:pPr>
      <w:r>
        <w:rPr>
          <w:rFonts w:ascii="Calibri" w:cs="Calibri" w:eastAsia="Calibri" w:hAnsi="Calibri"/>
          <w:b w:val="false"/>
          <w:bCs w:val="false"/>
          <w:i w:val="false"/>
          <w:iCs w:val="false"/>
          <w:color w:val="000000"/>
          <w:sz w:val="24"/>
          <w:szCs w:val="24"/>
        </w:rPr>
        <w:t xml:space="preserve">A secondary motivation was practical: developing and validating the pipeline on a smaller, controlled dataset (IBM Telco with synthetic extensions) before scaling to a dataset nearly 1,000 times larger (KKBox with 18+ million rows) allowed rapid iteration without committing computational resources to a flawed approach. This mirrors the way production ML teams build and validate systems before scaling.</w:t>
      </w:r>
    </w:p>
    <w:p>
      <w:pPr>
        <w:pStyle w:val="Heading2"/>
        <w:spacing w:after="80" w:before="240"/>
      </w:pPr>
      <w:r>
        <w:rPr>
          <w:rFonts w:ascii="Calibri" w:cs="Calibri" w:eastAsia="Calibri" w:hAnsi="Calibri"/>
          <w:b/>
          <w:bCs/>
        </w:rPr>
        <w:t xml:space="preserve">1.3 Project Phases</w:t>
      </w:r>
    </w:p>
    <w:p>
      <w:pPr>
        <w:spacing w:after="160" w:before="0" w:line="276" w:lineRule="auto"/>
        <w:jc w:val="both"/>
      </w:pPr>
      <w:r>
        <w:rPr>
          <w:rFonts w:ascii="Calibri" w:cs="Calibri" w:eastAsia="Calibri" w:hAnsi="Calibri"/>
          <w:b w:val="false"/>
          <w:bCs w:val="false"/>
          <w:i w:val="false"/>
          <w:iCs w:val="false"/>
          <w:color w:val="000000"/>
          <w:sz w:val="24"/>
          <w:szCs w:val="24"/>
        </w:rPr>
        <w:t xml:space="preserve">Phase 1 (Proof of Concept): Used the IBM Telco Customer Churn dataset (7,043 customers, 26.5% churn rate) as a base, extended with four synthetically generated behavioral tables, totaling 49 engineered features across customer demographics, transactions, web sessions, and support tickets.</w:t>
      </w:r>
    </w:p>
    <w:p>
      <w:pPr>
        <w:spacing w:after="160" w:before="0" w:line="276" w:lineRule="auto"/>
        <w:jc w:val="both"/>
      </w:pPr>
      <w:r>
        <w:rPr>
          <w:rFonts w:ascii="Calibri" w:cs="Calibri" w:eastAsia="Calibri" w:hAnsi="Calibri"/>
          <w:b w:val="false"/>
          <w:bCs w:val="false"/>
          <w:i w:val="false"/>
          <w:iCs w:val="false"/>
          <w:color w:val="000000"/>
          <w:sz w:val="24"/>
          <w:szCs w:val="24"/>
        </w:rPr>
        <w:t xml:space="preserve">Phase 2 (Production Scale): Applied the validated pipeline to the WSDM KKBox dataset, a real-world dataset with 970,960 subscribers and over 18 million rows of listening behavior. This phase introduced additional rigor: temporal train/test splitting, leakage detection and removal, and threshold optimization to address a 3.14% churn rate in the temporal test set.</w:t>
      </w:r>
    </w:p>
    <w:p>
      <w:r>
        <w:br w:type="page"/>
      </w:r>
    </w:p>
    <w:p>
      <w:pPr>
        <w:pStyle w:val="Heading1"/>
        <w:spacing w:after="120" w:before="360"/>
      </w:pPr>
      <w:r>
        <w:rPr>
          <w:rFonts w:ascii="Calibri" w:cs="Calibri" w:eastAsia="Calibri" w:hAnsi="Calibri"/>
          <w:b/>
          <w:bCs/>
        </w:rPr>
        <w:t xml:space="preserve">2. Literature Review</w:t>
      </w:r>
    </w:p>
    <w:p>
      <w:pPr>
        <w:pStyle w:val="Heading2"/>
        <w:spacing w:after="80" w:before="240"/>
      </w:pPr>
      <w:r>
        <w:rPr>
          <w:rFonts w:ascii="Calibri" w:cs="Calibri" w:eastAsia="Calibri" w:hAnsi="Calibri"/>
          <w:b/>
          <w:bCs/>
        </w:rPr>
        <w:t xml:space="preserve">2.1 Churn Prediction Methods</w:t>
      </w:r>
    </w:p>
    <w:p>
      <w:pPr>
        <w:spacing w:after="160" w:before="0" w:line="276" w:lineRule="auto"/>
        <w:jc w:val="both"/>
      </w:pPr>
      <w:r>
        <w:rPr>
          <w:rFonts w:ascii="Calibri" w:cs="Calibri" w:eastAsia="Calibri" w:hAnsi="Calibri"/>
          <w:b w:val="false"/>
          <w:bCs w:val="false"/>
          <w:i w:val="false"/>
          <w:iCs w:val="false"/>
          <w:color w:val="000000"/>
          <w:sz w:val="24"/>
          <w:szCs w:val="24"/>
        </w:rPr>
        <w:t xml:space="preserve">The academic literature on churn prediction spans over two decades. Early work relied on logistic regression and decision trees, which remain competitive baselines for interpretability. Ensemble methods, particularly gradient boosted trees (XGBoost and LightGBM), have become the dominant approach due to their strong empirical performance on tabular data (Chen and Guestrin, 2016; Ke et al., 2017). In the music streaming domain, the WSDM KKBox Challenge produced top solutions with AUC scores of 0.91 to 0.93 using LightGBM and XGBoost with extensive feature engineering.</w:t>
      </w:r>
    </w:p>
    <w:p>
      <w:pPr>
        <w:pStyle w:val="Heading2"/>
        <w:spacing w:after="80" w:before="240"/>
      </w:pPr>
      <w:r>
        <w:rPr>
          <w:rFonts w:ascii="Calibri" w:cs="Calibri" w:eastAsia="Calibri" w:hAnsi="Calibri"/>
          <w:b/>
          <w:bCs/>
        </w:rPr>
        <w:t xml:space="preserve">2.2 Handling Class Imbalance</w:t>
      </w:r>
    </w:p>
    <w:p>
      <w:pPr>
        <w:spacing w:after="160" w:before="0" w:line="276" w:lineRule="auto"/>
        <w:jc w:val="both"/>
      </w:pPr>
      <w:r>
        <w:rPr>
          <w:rFonts w:ascii="Calibri" w:cs="Calibri" w:eastAsia="Calibri" w:hAnsi="Calibri"/>
          <w:b w:val="false"/>
          <w:bCs w:val="false"/>
          <w:i w:val="false"/>
          <w:iCs w:val="false"/>
          <w:color w:val="000000"/>
          <w:sz w:val="24"/>
          <w:szCs w:val="24"/>
        </w:rPr>
        <w:t xml:space="preserve">Class imbalance is a persistent challenge in churn prediction. Techniques include cost-sensitive learning, threshold shifting, SMOTE oversampling, and undersampling. This project uses class weighting combined with threshold optimization via the precision-recall curve, choosing the threshold that maximizes F1 score rather than defaulting to 0.5, which is inappropriate when the positive class is rare.</w:t>
      </w:r>
    </w:p>
    <w:p>
      <w:pPr>
        <w:pStyle w:val="Heading2"/>
        <w:spacing w:after="80" w:before="240"/>
      </w:pPr>
      <w:r>
        <w:rPr>
          <w:rFonts w:ascii="Calibri" w:cs="Calibri" w:eastAsia="Calibri" w:hAnsi="Calibri"/>
          <w:b/>
          <w:bCs/>
        </w:rPr>
        <w:t xml:space="preserve">2.3 Data Leakage in Churn Models</w:t>
      </w:r>
    </w:p>
    <w:p>
      <w:pPr>
        <w:spacing w:after="160" w:before="0" w:line="276" w:lineRule="auto"/>
        <w:jc w:val="both"/>
      </w:pPr>
      <w:r>
        <w:rPr>
          <w:rFonts w:ascii="Calibri" w:cs="Calibri" w:eastAsia="Calibri" w:hAnsi="Calibri"/>
          <w:b w:val="false"/>
          <w:bCs w:val="false"/>
          <w:i w:val="false"/>
          <w:iCs w:val="false"/>
          <w:color w:val="000000"/>
          <w:sz w:val="24"/>
          <w:szCs w:val="24"/>
        </w:rPr>
        <w:t xml:space="preserve">Data leakage is a common but underreported problem in churn prediction literature. This project detected and removed a near-leaky feature (days_until_expiry) in Phase 2, where feature importance analysis showed it was 3 to 4 times more important than any other predictor. Since churn is defined as not renewing within 30 days of expiry, this feature partially encodes the churn event timing. Removing it dropped AUC from 0.9950 to 0.9686, a more defensible and generalizable result.</w:t>
      </w:r>
    </w:p>
    <w:p>
      <w:pPr>
        <w:pStyle w:val="Heading2"/>
        <w:spacing w:after="80" w:before="240"/>
      </w:pPr>
      <w:r>
        <w:rPr>
          <w:rFonts w:ascii="Calibri" w:cs="Calibri" w:eastAsia="Calibri" w:hAnsi="Calibri"/>
          <w:b/>
          <w:bCs/>
        </w:rPr>
        <w:t xml:space="preserve">2.4 Research Gaps Addressed</w:t>
      </w:r>
    </w:p>
    <w:p>
      <w:pPr>
        <w:spacing w:after="160" w:before="0" w:line="276" w:lineRule="auto"/>
        <w:jc w:val="both"/>
      </w:pPr>
      <w:r>
        <w:rPr>
          <w:rFonts w:ascii="Calibri" w:cs="Calibri" w:eastAsia="Calibri" w:hAnsi="Calibri"/>
          <w:b w:val="false"/>
          <w:bCs w:val="false"/>
          <w:i w:val="false"/>
          <w:iCs w:val="false"/>
          <w:color w:val="000000"/>
          <w:sz w:val="24"/>
          <w:szCs w:val="24"/>
        </w:rPr>
        <w:t xml:space="preserve">Much published work on churn prediction evaluates a single model on a single dataset without addressing multi-table feature engineering from realistic relational schemas, temporal validation as opposed to random splitting, full deployment artifacts including REST APIs and containerization, or the scalability of a pipeline across datasets of very different sizes and domains. This project explicitly addresses all four gaps.</w:t>
      </w:r>
    </w:p>
    <w:p>
      <w:r>
        <w:br w:type="page"/>
      </w:r>
    </w:p>
    <w:p>
      <w:pPr>
        <w:pStyle w:val="Heading1"/>
        <w:spacing w:after="120" w:before="360"/>
      </w:pPr>
      <w:r>
        <w:rPr>
          <w:rFonts w:ascii="Calibri" w:cs="Calibri" w:eastAsia="Calibri" w:hAnsi="Calibri"/>
          <w:b/>
          <w:bCs/>
        </w:rPr>
        <w:t xml:space="preserve">3. Project Pipeline</w:t>
      </w:r>
    </w:p>
    <w:p>
      <w:pPr>
        <w:spacing w:after="160" w:before="0" w:line="276" w:lineRule="auto"/>
        <w:jc w:val="both"/>
      </w:pPr>
      <w:r>
        <w:rPr>
          <w:rFonts w:ascii="Calibri" w:cs="Calibri" w:eastAsia="Calibri" w:hAnsi="Calibri"/>
          <w:b w:val="false"/>
          <w:bCs w:val="false"/>
          <w:i w:val="false"/>
          <w:iCs w:val="false"/>
          <w:color w:val="000000"/>
          <w:sz w:val="24"/>
          <w:szCs w:val="24"/>
        </w:rPr>
        <w:t xml:space="preserve">The end-to-end pipeline for both phases of this project follows a consistent structure, adapted to the specifics of each dataset. The pipeline consists of six stages: data ingestion, data cleaning and preprocessing, feature engineering, model training and evaluation, threshold optimization, and deployment.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6560"/>
      </w:tblGrid>
      <w:tr>
        <w:trPr>
          <w:tblHeader/>
        </w:trP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2"/>
                <w:szCs w:val="22"/>
              </w:rPr>
              <w:t xml:space="preserve">Stage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2"/>
                <w:szCs w:val="22"/>
              </w:rPr>
              <w:t xml:space="preserve">Name</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2"/>
                <w:szCs w:val="22"/>
              </w:rPr>
              <w:t xml:space="preserve">Description</w:t>
            </w:r>
          </w:p>
        </w:tc>
      </w:tr>
      <w:tr>
        <w:tc>
          <w:tcPr>
            <w:tcW w:type="dxa" w:w="8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Calibri" w:cs="Calibri" w:eastAsia="Calibri" w:hAnsi="Calibri"/>
                <w:sz w:val="22"/>
                <w:szCs w:val="22"/>
              </w:rPr>
              <w:t xml:space="preserve">1</w:t>
            </w:r>
          </w:p>
        </w:tc>
        <w:tc>
          <w:tcPr>
            <w:tcW w:type="dxa" w:w="20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Calibri" w:cs="Calibri" w:eastAsia="Calibri" w:hAnsi="Calibri"/>
                <w:sz w:val="22"/>
                <w:szCs w:val="22"/>
              </w:rPr>
              <w:t xml:space="preserve">Data Ingestion</w:t>
            </w:r>
          </w:p>
        </w:tc>
        <w:tc>
          <w:tcPr>
            <w:tcW w:type="dxa" w:w="65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Calibri" w:cs="Calibri" w:eastAsia="Calibri" w:hAnsi="Calibri"/>
                <w:sz w:val="22"/>
                <w:szCs w:val="22"/>
              </w:rPr>
              <w:t xml:space="preserve">Load raw CSV files; chunked reading for large files (18M+ row KKBox logs)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2"/>
                <w:szCs w:val="22"/>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2"/>
                <w:szCs w:val="22"/>
              </w:rPr>
              <w:t xml:space="preserve">Data Cleaning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2"/>
                <w:szCs w:val="22"/>
              </w:rPr>
              <w:t xml:space="preserve">Handle missing values, outlier removal, merging of relational tables</w:t>
            </w:r>
          </w:p>
        </w:tc>
      </w:tr>
      <w:tr>
        <w:tc>
          <w:tcPr>
            <w:tcW w:type="dxa" w:w="8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Calibri" w:cs="Calibri" w:eastAsia="Calibri" w:hAnsi="Calibri"/>
                <w:sz w:val="22"/>
                <w:szCs w:val="22"/>
              </w:rPr>
              <w:t xml:space="preserve">3</w:t>
            </w:r>
          </w:p>
        </w:tc>
        <w:tc>
          <w:tcPr>
            <w:tcW w:type="dxa" w:w="20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Calibri" w:cs="Calibri" w:eastAsia="Calibri" w:hAnsi="Calibri"/>
                <w:sz w:val="22"/>
                <w:szCs w:val="22"/>
              </w:rPr>
              <w:t xml:space="preserve">Feature Engineering</w:t>
            </w:r>
          </w:p>
        </w:tc>
        <w:tc>
          <w:tcPr>
            <w:tcW w:type="dxa" w:w="65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Calibri" w:cs="Calibri" w:eastAsia="Calibri" w:hAnsi="Calibri"/>
                <w:sz w:val="22"/>
                <w:szCs w:val="22"/>
              </w:rPr>
              <w:t xml:space="preserve">Multi-table aggregation; 49 features (Phase 1), 35 features (Phase 2)</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2"/>
                <w:szCs w:val="22"/>
              </w:rPr>
              <w:t xml:space="preserve">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2"/>
                <w:szCs w:val="22"/>
              </w:rPr>
              <w:t xml:space="preserve">Model Training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2"/>
                <w:szCs w:val="22"/>
              </w:rPr>
              <w:t xml:space="preserve">Temporal train/test split; Logistic Regression, LightGBM, XGBoost with class balancing</w:t>
            </w:r>
          </w:p>
        </w:tc>
      </w:tr>
      <w:tr>
        <w:tc>
          <w:tcPr>
            <w:tcW w:type="dxa" w:w="8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Calibri" w:cs="Calibri" w:eastAsia="Calibri" w:hAnsi="Calibri"/>
                <w:sz w:val="22"/>
                <w:szCs w:val="22"/>
              </w:rPr>
              <w:t xml:space="preserve">5</w:t>
            </w:r>
          </w:p>
        </w:tc>
        <w:tc>
          <w:tcPr>
            <w:tcW w:type="dxa" w:w="20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Calibri" w:cs="Calibri" w:eastAsia="Calibri" w:hAnsi="Calibri"/>
                <w:sz w:val="22"/>
                <w:szCs w:val="22"/>
              </w:rPr>
              <w:t xml:space="preserve">Evaluation &amp; Threshold</w:t>
            </w:r>
          </w:p>
        </w:tc>
        <w:tc>
          <w:tcPr>
            <w:tcW w:type="dxa" w:w="65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Calibri" w:cs="Calibri" w:eastAsia="Calibri" w:hAnsi="Calibri"/>
                <w:sz w:val="22"/>
                <w:szCs w:val="22"/>
              </w:rPr>
              <w:t xml:space="preserve">AUC, F1, Recall, Precision; precision-recall curve for optimal threshold; leakage detection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2"/>
                <w:szCs w:val="22"/>
              </w:rPr>
              <w:t xml:space="preserve">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2"/>
                <w:szCs w:val="22"/>
              </w:rPr>
              <w:t xml:space="preserve">Deployment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2"/>
                <w:szCs w:val="22"/>
              </w:rPr>
              <w:t xml:space="preserve">FastAPI REST API; Docker containerization; MLflow experiment tracking</w:t>
            </w:r>
          </w:p>
        </w:tc>
      </w:tr>
    </w:tbl>
    <w:p>
      <w:pPr>
        <w:spacing w:after="200"/>
      </w:pPr>
    </w:p>
    <w:p>
      <w:r>
        <w:br w:type="page"/>
      </w:r>
    </w:p>
    <w:p>
      <w:pPr>
        <w:pStyle w:val="Heading1"/>
        <w:spacing w:after="120" w:before="360"/>
      </w:pPr>
      <w:r>
        <w:rPr>
          <w:rFonts w:ascii="Calibri" w:cs="Calibri" w:eastAsia="Calibri" w:hAnsi="Calibri"/>
          <w:b/>
          <w:bCs/>
        </w:rPr>
        <w:t xml:space="preserve">4. Goal and Objectives</w:t>
      </w:r>
    </w:p>
    <w:p>
      <w:pPr>
        <w:spacing w:after="160" w:before="0" w:line="276" w:lineRule="auto"/>
        <w:jc w:val="both"/>
      </w:pPr>
      <w:r>
        <w:rPr>
          <w:rFonts w:ascii="Calibri" w:cs="Calibri" w:eastAsia="Calibri" w:hAnsi="Calibri"/>
          <w:b w:val="false"/>
          <w:bCs w:val="false"/>
          <w:i w:val="false"/>
          <w:iCs w:val="false"/>
          <w:color w:val="000000"/>
          <w:sz w:val="24"/>
          <w:szCs w:val="24"/>
        </w:rPr>
        <w:t xml:space="preserve">The overarching goal of this project is to design, validate, and deploy an end-to-end machine learning system for customer churn prediction that is both technically rigorous and production-ready, and to demonstrate that the pipeline scales from small synthetic data to large real-world datasets without fundamental redesign.</w:t>
      </w:r>
    </w:p>
    <w:p>
      <w:pPr>
        <w:pStyle w:val="Heading2"/>
        <w:spacing w:after="80" w:before="240"/>
      </w:pPr>
      <w:r>
        <w:rPr>
          <w:rFonts w:ascii="Calibri" w:cs="Calibri" w:eastAsia="Calibri" w:hAnsi="Calibri"/>
          <w:b/>
          <w:bCs/>
        </w:rPr>
        <w:t xml:space="preserve">4.1 Specific Objectives</w:t>
      </w:r>
    </w:p>
    <w:p>
      <w:pPr>
        <w:spacing w:after="160" w:before="0" w:line="276" w:lineRule="auto"/>
        <w:jc w:val="both"/>
      </w:pPr>
      <w:r>
        <w:rPr>
          <w:rFonts w:ascii="Calibri" w:cs="Calibri" w:eastAsia="Calibri" w:hAnsi="Calibri"/>
          <w:b w:val="false"/>
          <w:bCs w:val="false"/>
          <w:i w:val="false"/>
          <w:iCs w:val="false"/>
          <w:color w:val="000000"/>
          <w:sz w:val="24"/>
          <w:szCs w:val="24"/>
        </w:rPr>
        <w:t xml:space="preserve">Objective 1: Engineer a multi-table feature set from relational behavioral data that captures churn-predictive signals across subscription history, usage behavior, and customer demographics.</w:t>
      </w:r>
    </w:p>
    <w:p>
      <w:pPr>
        <w:spacing w:after="160" w:before="0" w:line="276" w:lineRule="auto"/>
        <w:jc w:val="both"/>
      </w:pPr>
      <w:r>
        <w:rPr>
          <w:rFonts w:ascii="Calibri" w:cs="Calibri" w:eastAsia="Calibri" w:hAnsi="Calibri"/>
          <w:b w:val="false"/>
          <w:bCs w:val="false"/>
          <w:i w:val="false"/>
          <w:iCs w:val="false"/>
          <w:color w:val="000000"/>
          <w:sz w:val="24"/>
          <w:szCs w:val="24"/>
        </w:rPr>
        <w:t xml:space="preserve">Objective 2: Train and compare three classifier families using proper temporal validation methodology that simulates real deployment conditions.</w:t>
      </w:r>
    </w:p>
    <w:p>
      <w:pPr>
        <w:spacing w:after="160" w:before="0" w:line="276" w:lineRule="auto"/>
        <w:jc w:val="both"/>
      </w:pPr>
      <w:r>
        <w:rPr>
          <w:rFonts w:ascii="Calibri" w:cs="Calibri" w:eastAsia="Calibri" w:hAnsi="Calibri"/>
          <w:b w:val="false"/>
          <w:bCs w:val="false"/>
          <w:i w:val="false"/>
          <w:iCs w:val="false"/>
          <w:color w:val="000000"/>
          <w:sz w:val="24"/>
          <w:szCs w:val="24"/>
        </w:rPr>
        <w:t xml:space="preserve">Objective 3: Address the class imbalance problem through class weighting and threshold optimization, maximizing the F1 score as the primary business metric.</w:t>
      </w:r>
    </w:p>
    <w:p>
      <w:pPr>
        <w:spacing w:after="160" w:before="0" w:line="276" w:lineRule="auto"/>
        <w:jc w:val="both"/>
      </w:pPr>
      <w:r>
        <w:rPr>
          <w:rFonts w:ascii="Calibri" w:cs="Calibri" w:eastAsia="Calibri" w:hAnsi="Calibri"/>
          <w:b w:val="false"/>
          <w:bCs w:val="false"/>
          <w:i w:val="false"/>
          <w:iCs w:val="false"/>
          <w:color w:val="000000"/>
          <w:sz w:val="24"/>
          <w:szCs w:val="24"/>
        </w:rPr>
        <w:t xml:space="preserve">Objective 4: Detect and remove data leakage to produce defensible, generalizable model performance metrics.</w:t>
      </w:r>
    </w:p>
    <w:p>
      <w:pPr>
        <w:spacing w:after="160" w:before="0" w:line="276" w:lineRule="auto"/>
        <w:jc w:val="both"/>
      </w:pPr>
      <w:r>
        <w:rPr>
          <w:rFonts w:ascii="Calibri" w:cs="Calibri" w:eastAsia="Calibri" w:hAnsi="Calibri"/>
          <w:b w:val="false"/>
          <w:bCs w:val="false"/>
          <w:i w:val="false"/>
          <w:iCs w:val="false"/>
          <w:color w:val="000000"/>
          <w:sz w:val="24"/>
          <w:szCs w:val="24"/>
        </w:rPr>
        <w:t xml:space="preserve">Objective 5: Deploy the trained model as a production-ready REST API with health checks, single and batch prediction endpoints, risk tier classification, and human-readable risk driver explanations.</w:t>
      </w:r>
    </w:p>
    <w:p>
      <w:pPr>
        <w:spacing w:after="160" w:before="0" w:line="276" w:lineRule="auto"/>
        <w:jc w:val="both"/>
      </w:pPr>
      <w:r>
        <w:rPr>
          <w:rFonts w:ascii="Calibri" w:cs="Calibri" w:eastAsia="Calibri" w:hAnsi="Calibri"/>
          <w:b w:val="false"/>
          <w:bCs w:val="false"/>
          <w:i w:val="false"/>
          <w:iCs w:val="false"/>
          <w:color w:val="000000"/>
          <w:sz w:val="24"/>
          <w:szCs w:val="24"/>
        </w:rPr>
        <w:t xml:space="preserve">Objective 6: Containerize the complete system with Docker to ensure reproducible deployment across environments.</w:t>
      </w:r>
    </w:p>
    <w:p>
      <w:pPr>
        <w:spacing w:after="160" w:before="0" w:line="276" w:lineRule="auto"/>
        <w:jc w:val="both"/>
      </w:pPr>
      <w:r>
        <w:rPr>
          <w:rFonts w:ascii="Calibri" w:cs="Calibri" w:eastAsia="Calibri" w:hAnsi="Calibri"/>
          <w:b w:val="false"/>
          <w:bCs w:val="false"/>
          <w:i w:val="false"/>
          <w:iCs w:val="false"/>
          <w:color w:val="000000"/>
          <w:sz w:val="24"/>
          <w:szCs w:val="24"/>
        </w:rPr>
        <w:t xml:space="preserve">Objective 7: Track all experiments with MLflow, enabling reproducibility and model comparison across both phases.</w:t>
      </w:r>
    </w:p>
    <w:p>
      <w:r>
        <w:br w:type="page"/>
      </w:r>
    </w:p>
    <w:p>
      <w:pPr>
        <w:pStyle w:val="Heading1"/>
        <w:spacing w:after="120" w:before="360"/>
      </w:pPr>
      <w:r>
        <w:rPr>
          <w:rFonts w:ascii="Calibri" w:cs="Calibri" w:eastAsia="Calibri" w:hAnsi="Calibri"/>
          <w:b/>
          <w:bCs/>
        </w:rPr>
        <w:t xml:space="preserve">5. Tools and Technologies</w:t>
      </w:r>
    </w:p>
    <w:p>
      <w:pPr>
        <w:spacing w:after="160" w:before="0" w:line="276" w:lineRule="auto"/>
        <w:jc w:val="both"/>
      </w:pPr>
      <w:r>
        <w:rPr>
          <w:rFonts w:ascii="Calibri" w:cs="Calibri" w:eastAsia="Calibri" w:hAnsi="Calibri"/>
          <w:b w:val="false"/>
          <w:bCs w:val="false"/>
          <w:i w:val="false"/>
          <w:iCs w:val="false"/>
          <w:color w:val="000000"/>
          <w:sz w:val="24"/>
          <w:szCs w:val="24"/>
        </w:rPr>
        <w:t xml:space="preserve">The project was implemented entirely in Python using open-source libraries, containerized with Docker, and run on Apple Silicon (M4 Mac).</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2"/>
                <w:szCs w:val="22"/>
              </w:rPr>
              <w:t xml:space="preserve">Category</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2"/>
                <w:szCs w:val="22"/>
              </w:rPr>
              <w:t xml:space="preserve">Tool / Library</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2"/>
                <w:szCs w:val="22"/>
              </w:rPr>
              <w:t xml:space="preserve">Purpose</w:t>
            </w:r>
          </w:p>
        </w:tc>
      </w:tr>
      <w:tr>
        <w:tc>
          <w:tcPr>
            <w:tcW w:type="dxa" w:w="24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Calibri" w:cs="Calibri" w:eastAsia="Calibri" w:hAnsi="Calibri"/>
                <w:sz w:val="22"/>
                <w:szCs w:val="22"/>
              </w:rPr>
              <w:t xml:space="preserve">Machine Learning</w:t>
            </w:r>
          </w:p>
        </w:tc>
        <w:tc>
          <w:tcPr>
            <w:tcW w:type="dxa" w:w="26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Calibri" w:cs="Calibri" w:eastAsia="Calibri" w:hAnsi="Calibri"/>
                <w:sz w:val="22"/>
                <w:szCs w:val="22"/>
              </w:rPr>
              <w:t xml:space="preserve">scikit-learn</w:t>
            </w:r>
          </w:p>
        </w:tc>
        <w:tc>
          <w:tcPr>
            <w:tcW w:type="dxa" w:w="43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Calibri" w:cs="Calibri" w:eastAsia="Calibri" w:hAnsi="Calibri"/>
                <w:sz w:val="22"/>
                <w:szCs w:val="22"/>
              </w:rPr>
              <w:t xml:space="preserve">Logistic Regression, preprocessing, evaluation metrics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2"/>
                <w:szCs w:val="22"/>
              </w:rPr>
              <w:t xml:space="preserve">Machine Learning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2"/>
                <w:szCs w:val="22"/>
              </w:rPr>
              <w:t xml:space="preserve">LightGBM 4.x</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2"/>
                <w:szCs w:val="22"/>
              </w:rPr>
              <w:t xml:space="preserve">Gradient boosted trees — primary production model</w:t>
            </w:r>
          </w:p>
        </w:tc>
      </w:tr>
      <w:tr>
        <w:tc>
          <w:tcPr>
            <w:tcW w:type="dxa" w:w="24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Calibri" w:cs="Calibri" w:eastAsia="Calibri" w:hAnsi="Calibri"/>
                <w:sz w:val="22"/>
                <w:szCs w:val="22"/>
              </w:rPr>
              <w:t xml:space="preserve">Machine Learning</w:t>
            </w:r>
          </w:p>
        </w:tc>
        <w:tc>
          <w:tcPr>
            <w:tcW w:type="dxa" w:w="26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Calibri" w:cs="Calibri" w:eastAsia="Calibri" w:hAnsi="Calibri"/>
                <w:sz w:val="22"/>
                <w:szCs w:val="22"/>
              </w:rPr>
              <w:t xml:space="preserve">XGBoost 2.x</w:t>
            </w:r>
          </w:p>
        </w:tc>
        <w:tc>
          <w:tcPr>
            <w:tcW w:type="dxa" w:w="43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Calibri" w:cs="Calibri" w:eastAsia="Calibri" w:hAnsi="Calibri"/>
                <w:sz w:val="22"/>
                <w:szCs w:val="22"/>
              </w:rPr>
              <w:t xml:space="preserve">Gradient boosted trees — comparison model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2"/>
                <w:szCs w:val="22"/>
              </w:rPr>
              <w:t xml:space="preserve">Data Processing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2"/>
                <w:szCs w:val="22"/>
              </w:rPr>
              <w:t xml:space="preserve">pandas 2.x</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2"/>
                <w:szCs w:val="22"/>
              </w:rPr>
              <w:t xml:space="preserve">DataFrame operations, merging, aggregation</w:t>
            </w:r>
          </w:p>
        </w:tc>
      </w:tr>
      <w:tr>
        <w:tc>
          <w:tcPr>
            <w:tcW w:type="dxa" w:w="24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Calibri" w:cs="Calibri" w:eastAsia="Calibri" w:hAnsi="Calibri"/>
                <w:sz w:val="22"/>
                <w:szCs w:val="22"/>
              </w:rPr>
              <w:t xml:space="preserve">Data Processing</w:t>
            </w:r>
          </w:p>
        </w:tc>
        <w:tc>
          <w:tcPr>
            <w:tcW w:type="dxa" w:w="26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Calibri" w:cs="Calibri" w:eastAsia="Calibri" w:hAnsi="Calibri"/>
                <w:sz w:val="22"/>
                <w:szCs w:val="22"/>
              </w:rPr>
              <w:t xml:space="preserve">numpy</w:t>
            </w:r>
          </w:p>
        </w:tc>
        <w:tc>
          <w:tcPr>
            <w:tcW w:type="dxa" w:w="43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Calibri" w:cs="Calibri" w:eastAsia="Calibri" w:hAnsi="Calibri"/>
                <w:sz w:val="22"/>
                <w:szCs w:val="22"/>
              </w:rPr>
              <w:t xml:space="preserve">Numerical operations, array manipulation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2"/>
                <w:szCs w:val="22"/>
              </w:rPr>
              <w:t xml:space="preserve">API Framework</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2"/>
                <w:szCs w:val="22"/>
              </w:rPr>
              <w:t xml:space="preserve">FastAPI + Pydantic v2</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2"/>
                <w:szCs w:val="22"/>
              </w:rPr>
              <w:t xml:space="preserve">REST API with automatic OpenAPI documentation</w:t>
            </w:r>
          </w:p>
        </w:tc>
      </w:tr>
      <w:tr>
        <w:tc>
          <w:tcPr>
            <w:tcW w:type="dxa" w:w="24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Calibri" w:cs="Calibri" w:eastAsia="Calibri" w:hAnsi="Calibri"/>
                <w:sz w:val="22"/>
                <w:szCs w:val="22"/>
              </w:rPr>
              <w:t xml:space="preserve">API Server</w:t>
            </w:r>
          </w:p>
        </w:tc>
        <w:tc>
          <w:tcPr>
            <w:tcW w:type="dxa" w:w="26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Calibri" w:cs="Calibri" w:eastAsia="Calibri" w:hAnsi="Calibri"/>
                <w:sz w:val="22"/>
                <w:szCs w:val="22"/>
              </w:rPr>
              <w:t xml:space="preserve">Uvicorn</w:t>
            </w:r>
          </w:p>
        </w:tc>
        <w:tc>
          <w:tcPr>
            <w:tcW w:type="dxa" w:w="43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Calibri" w:cs="Calibri" w:eastAsia="Calibri" w:hAnsi="Calibri"/>
                <w:sz w:val="22"/>
                <w:szCs w:val="22"/>
              </w:rPr>
              <w:t xml:space="preserve">ASGI server for FastAPI</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2"/>
                <w:szCs w:val="22"/>
              </w:rPr>
              <w:t xml:space="preserve">Model Serialization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2"/>
                <w:szCs w:val="22"/>
              </w:rPr>
              <w:t xml:space="preserve">joblib</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2"/>
                <w:szCs w:val="22"/>
              </w:rPr>
              <w:t xml:space="preserve">Saving and loading trained model artifacts</w:t>
            </w:r>
          </w:p>
        </w:tc>
      </w:tr>
      <w:tr>
        <w:tc>
          <w:tcPr>
            <w:tcW w:type="dxa" w:w="24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Calibri" w:cs="Calibri" w:eastAsia="Calibri" w:hAnsi="Calibri"/>
                <w:sz w:val="22"/>
                <w:szCs w:val="22"/>
              </w:rPr>
              <w:t xml:space="preserve">Experiment Tracking</w:t>
            </w:r>
          </w:p>
        </w:tc>
        <w:tc>
          <w:tcPr>
            <w:tcW w:type="dxa" w:w="26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Calibri" w:cs="Calibri" w:eastAsia="Calibri" w:hAnsi="Calibri"/>
                <w:sz w:val="22"/>
                <w:szCs w:val="22"/>
              </w:rPr>
              <w:t xml:space="preserve">MLflow</w:t>
            </w:r>
          </w:p>
        </w:tc>
        <w:tc>
          <w:tcPr>
            <w:tcW w:type="dxa" w:w="43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Calibri" w:cs="Calibri" w:eastAsia="Calibri" w:hAnsi="Calibri"/>
                <w:sz w:val="22"/>
                <w:szCs w:val="22"/>
              </w:rPr>
              <w:t xml:space="preserve">Logging parameters, metrics, and model artifacts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2"/>
                <w:szCs w:val="22"/>
              </w:rPr>
              <w:t xml:space="preserve">Containerization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2"/>
                <w:szCs w:val="22"/>
              </w:rPr>
              <w:t xml:space="preserve">Docker / docker-compose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2"/>
                <w:szCs w:val="22"/>
              </w:rPr>
              <w:t xml:space="preserve">Reproducible, portable deployment environment</w:t>
            </w:r>
          </w:p>
        </w:tc>
      </w:tr>
      <w:tr>
        <w:tc>
          <w:tcPr>
            <w:tcW w:type="dxa" w:w="24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Calibri" w:cs="Calibri" w:eastAsia="Calibri" w:hAnsi="Calibri"/>
                <w:sz w:val="22"/>
                <w:szCs w:val="22"/>
              </w:rPr>
              <w:t xml:space="preserve">Development</w:t>
            </w:r>
          </w:p>
        </w:tc>
        <w:tc>
          <w:tcPr>
            <w:tcW w:type="dxa" w:w="26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Calibri" w:cs="Calibri" w:eastAsia="Calibri" w:hAnsi="Calibri"/>
                <w:sz w:val="22"/>
                <w:szCs w:val="22"/>
              </w:rPr>
              <w:t xml:space="preserve">JupyterLab</w:t>
            </w:r>
          </w:p>
        </w:tc>
        <w:tc>
          <w:tcPr>
            <w:tcW w:type="dxa" w:w="43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Calibri" w:cs="Calibri" w:eastAsia="Calibri" w:hAnsi="Calibri"/>
                <w:sz w:val="22"/>
                <w:szCs w:val="22"/>
              </w:rPr>
              <w:t xml:space="preserve">Exploratory data analysis and modeling notebooks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2"/>
                <w:szCs w:val="22"/>
              </w:rPr>
              <w:t xml:space="preserve">Hardware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2"/>
                <w:szCs w:val="22"/>
              </w:rPr>
              <w:t xml:space="preserve">Apple M4 Mac</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2"/>
                <w:szCs w:val="22"/>
              </w:rPr>
              <w:t xml:space="preserve">Local development and model training environment</w:t>
            </w:r>
          </w:p>
        </w:tc>
      </w:tr>
    </w:tbl>
    <w:p>
      <w:pPr>
        <w:spacing w:after="200"/>
      </w:pPr>
    </w:p>
    <w:p>
      <w:r>
        <w:br w:type="page"/>
      </w:r>
    </w:p>
    <w:p>
      <w:pPr>
        <w:pStyle w:val="Heading1"/>
        <w:spacing w:after="120" w:before="360"/>
      </w:pPr>
      <w:r>
        <w:rPr>
          <w:rFonts w:ascii="Calibri" w:cs="Calibri" w:eastAsia="Calibri" w:hAnsi="Calibri"/>
          <w:b/>
          <w:bCs/>
        </w:rPr>
        <w:t xml:space="preserve">6. Dataset Description</w:t>
      </w:r>
    </w:p>
    <w:p>
      <w:pPr>
        <w:pStyle w:val="Heading2"/>
        <w:spacing w:after="80" w:before="240"/>
      </w:pPr>
      <w:r>
        <w:rPr>
          <w:rFonts w:ascii="Calibri" w:cs="Calibri" w:eastAsia="Calibri" w:hAnsi="Calibri"/>
          <w:b/>
          <w:bCs/>
        </w:rPr>
        <w:t xml:space="preserve">6.1 Phase 1: IBM Telco Dataset with Synthetic Extensions</w:t>
      </w:r>
    </w:p>
    <w:p>
      <w:pPr>
        <w:spacing w:after="160" w:before="0" w:line="276" w:lineRule="auto"/>
        <w:jc w:val="both"/>
      </w:pPr>
      <w:r>
        <w:rPr>
          <w:rFonts w:ascii="Calibri" w:cs="Calibri" w:eastAsia="Calibri" w:hAnsi="Calibri"/>
          <w:b w:val="false"/>
          <w:bCs w:val="false"/>
          <w:i w:val="false"/>
          <w:iCs w:val="false"/>
          <w:color w:val="000000"/>
          <w:sz w:val="24"/>
          <w:szCs w:val="24"/>
        </w:rPr>
        <w:t xml:space="preserve">The base dataset for Phase 1 is the publicly available IBM Telco Customer Churn dataset, containing 7,043 customer records with 21 raw features covering demographics, service subscriptions, and billing information. The churn rate is 26.5%. To simulate a realistic multi-table production environment, three additional behavioral tables were synthetically generated using statistical distributions calibrated to plausible real-world patterns.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rPr>
          <w:tblHeader/>
        </w:trP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2"/>
                <w:szCs w:val="22"/>
              </w:rPr>
              <w:t xml:space="preserve">Table</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2"/>
                <w:szCs w:val="22"/>
              </w:rPr>
              <w:t xml:space="preserve">Rows</w:t>
            </w:r>
          </w:p>
        </w:tc>
        <w:tc>
          <w:tcPr>
            <w:tcW w:type="dxa" w:w="4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2"/>
                <w:szCs w:val="22"/>
              </w:rPr>
              <w:t xml:space="preserve">Description</w:t>
            </w:r>
          </w:p>
        </w:tc>
      </w:tr>
      <w:tr>
        <w:tc>
          <w:tcPr>
            <w:tcW w:type="dxa" w:w="32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Calibri" w:cs="Calibri" w:eastAsia="Calibri" w:hAnsi="Calibri"/>
                <w:sz w:val="22"/>
                <w:szCs w:val="22"/>
              </w:rPr>
              <w:t xml:space="preserve">telco_customer_churn.csv</w:t>
            </w:r>
          </w:p>
        </w:tc>
        <w:tc>
          <w:tcPr>
            <w:tcW w:type="dxa" w:w="14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Calibri" w:cs="Calibri" w:eastAsia="Calibri" w:hAnsi="Calibri"/>
                <w:sz w:val="22"/>
                <w:szCs w:val="22"/>
              </w:rPr>
              <w:t xml:space="preserve">7,043</w:t>
            </w:r>
          </w:p>
        </w:tc>
        <w:tc>
          <w:tcPr>
            <w:tcW w:type="dxa" w:w="47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Calibri" w:cs="Calibri" w:eastAsia="Calibri" w:hAnsi="Calibri"/>
                <w:sz w:val="22"/>
                <w:szCs w:val="22"/>
              </w:rPr>
              <w:t xml:space="preserve">Base: demographics, services, contract, billing (26.5% churn)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2"/>
                <w:szCs w:val="22"/>
              </w:rPr>
              <w:t xml:space="preserve">transactions.csv</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2"/>
                <w:szCs w:val="22"/>
              </w:rPr>
              <w:t xml:space="preserve">202,377</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2"/>
                <w:szCs w:val="22"/>
              </w:rPr>
              <w:t xml:space="preserve">Synthetic: RFM signals, payment failure rates, spending patterns</w:t>
            </w:r>
          </w:p>
        </w:tc>
      </w:tr>
      <w:tr>
        <w:tc>
          <w:tcPr>
            <w:tcW w:type="dxa" w:w="32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Calibri" w:cs="Calibri" w:eastAsia="Calibri" w:hAnsi="Calibri"/>
                <w:sz w:val="22"/>
                <w:szCs w:val="22"/>
              </w:rPr>
              <w:t xml:space="preserve">sessions.csv</w:t>
            </w:r>
          </w:p>
        </w:tc>
        <w:tc>
          <w:tcPr>
            <w:tcW w:type="dxa" w:w="14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Calibri" w:cs="Calibri" w:eastAsia="Calibri" w:hAnsi="Calibri"/>
                <w:sz w:val="22"/>
                <w:szCs w:val="22"/>
              </w:rPr>
              <w:t xml:space="preserve">1,218,789</w:t>
            </w:r>
          </w:p>
        </w:tc>
        <w:tc>
          <w:tcPr>
            <w:tcW w:type="dxa" w:w="47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Calibri" w:cs="Calibri" w:eastAsia="Calibri" w:hAnsi="Calibri"/>
                <w:sz w:val="22"/>
                <w:szCs w:val="22"/>
              </w:rPr>
              <w:t xml:space="preserve">Synthetic: web/app session counts, duration, engagement trends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2"/>
                <w:szCs w:val="22"/>
              </w:rPr>
              <w:t xml:space="preserve">support_tickets.csv</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2"/>
                <w:szCs w:val="22"/>
              </w:rPr>
              <w:t xml:space="preserve">41,190</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2"/>
                <w:szCs w:val="22"/>
              </w:rPr>
              <w:t xml:space="preserve">Synthetic: ticket categories, satisfaction scores, resolution times</w:t>
            </w:r>
          </w:p>
        </w:tc>
      </w:tr>
    </w:tbl>
    <w:p>
      <w:pPr>
        <w:spacing w:after="200"/>
      </w:pPr>
    </w:p>
    <w:p>
      <w:pPr>
        <w:pStyle w:val="Heading2"/>
        <w:spacing w:after="80" w:before="240"/>
      </w:pPr>
      <w:r>
        <w:rPr>
          <w:rFonts w:ascii="Calibri" w:cs="Calibri" w:eastAsia="Calibri" w:hAnsi="Calibri"/>
          <w:b/>
          <w:bCs/>
        </w:rPr>
        <w:t xml:space="preserve">6.2 Phase 2: WSDM KKBox Churn Prediction Dataset</w:t>
      </w:r>
    </w:p>
    <w:p>
      <w:pPr>
        <w:spacing w:after="160" w:before="0" w:line="276" w:lineRule="auto"/>
        <w:jc w:val="both"/>
      </w:pPr>
      <w:r>
        <w:rPr>
          <w:rFonts w:ascii="Calibri" w:cs="Calibri" w:eastAsia="Calibri" w:hAnsi="Calibri"/>
          <w:b w:val="false"/>
          <w:bCs w:val="false"/>
          <w:i w:val="false"/>
          <w:iCs w:val="false"/>
          <w:color w:val="000000"/>
          <w:sz w:val="24"/>
          <w:szCs w:val="24"/>
        </w:rPr>
        <w:t xml:space="preserve">The KKBox dataset originates from the WSDM 2018 KKBox Churn Prediction Challenge on Kaggle and consists of four relational tables covering real subscriber behavior from KKBox, a major music streaming service. Churn is defined as a subscriber not renewing within 30 days after membership expiry. The overall churn rate is 8.99%.</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2"/>
                <w:szCs w:val="22"/>
              </w:rPr>
              <w:t xml:space="preserve">Table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2"/>
                <w:szCs w:val="22"/>
              </w:rPr>
              <w:t xml:space="preserve">Rows</w:t>
            </w:r>
          </w:p>
        </w:tc>
        <w:tc>
          <w:tcPr>
            <w:tcW w:type="dxa" w:w="4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2"/>
                <w:szCs w:val="22"/>
              </w:rPr>
              <w:t xml:space="preserve">Description</w:t>
            </w:r>
          </w:p>
        </w:tc>
      </w:tr>
      <w:tr>
        <w:tc>
          <w:tcPr>
            <w:tcW w:type="dxa" w:w="28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Calibri" w:cs="Calibri" w:eastAsia="Calibri" w:hAnsi="Calibri"/>
                <w:sz w:val="22"/>
                <w:szCs w:val="22"/>
              </w:rPr>
              <w:t xml:space="preserve">train_v2.csv</w:t>
            </w:r>
          </w:p>
        </w:tc>
        <w:tc>
          <w:tcPr>
            <w:tcW w:type="dxa" w:w="18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Calibri" w:cs="Calibri" w:eastAsia="Calibri" w:hAnsi="Calibri"/>
                <w:sz w:val="22"/>
                <w:szCs w:val="22"/>
              </w:rPr>
              <w:t xml:space="preserve">970,960</w:t>
            </w:r>
          </w:p>
        </w:tc>
        <w:tc>
          <w:tcPr>
            <w:tcW w:type="dxa" w:w="47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Calibri" w:cs="Calibri" w:eastAsia="Calibri" w:hAnsi="Calibri"/>
                <w:sz w:val="22"/>
                <w:szCs w:val="22"/>
              </w:rPr>
              <w:t xml:space="preserve">Churn labels: subscriber ID and binary churn indicator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2"/>
                <w:szCs w:val="22"/>
              </w:rPr>
              <w:t xml:space="preserve">members_v3.csv</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2"/>
                <w:szCs w:val="22"/>
              </w:rPr>
              <w:t xml:space="preserve">6,769,473</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2"/>
                <w:szCs w:val="22"/>
              </w:rPr>
              <w:t xml:space="preserve">Demographics: city, age, gender, registration channel and date</w:t>
            </w:r>
          </w:p>
        </w:tc>
      </w:tr>
      <w:tr>
        <w:tc>
          <w:tcPr>
            <w:tcW w:type="dxa" w:w="28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Calibri" w:cs="Calibri" w:eastAsia="Calibri" w:hAnsi="Calibri"/>
                <w:sz w:val="22"/>
                <w:szCs w:val="22"/>
              </w:rPr>
              <w:t xml:space="preserve">transactions_v2.csv</w:t>
            </w:r>
          </w:p>
        </w:tc>
        <w:tc>
          <w:tcPr>
            <w:tcW w:type="dxa" w:w="18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Calibri" w:cs="Calibri" w:eastAsia="Calibri" w:hAnsi="Calibri"/>
                <w:sz w:val="22"/>
                <w:szCs w:val="22"/>
              </w:rPr>
              <w:t xml:space="preserve">1,431,009</w:t>
            </w:r>
          </w:p>
        </w:tc>
        <w:tc>
          <w:tcPr>
            <w:tcW w:type="dxa" w:w="47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Calibri" w:cs="Calibri" w:eastAsia="Calibri" w:hAnsi="Calibri"/>
                <w:sz w:val="22"/>
                <w:szCs w:val="22"/>
              </w:rPr>
              <w:t xml:space="preserve">Subscription history: plan type, payment method, price, cancellation flag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2"/>
                <w:szCs w:val="22"/>
              </w:rPr>
              <w:t xml:space="preserve">user_logs_v2.csv</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2"/>
                <w:szCs w:val="22"/>
              </w:rPr>
              <w:t xml:space="preserve">18,396,362</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2"/>
                <w:szCs w:val="22"/>
              </w:rPr>
              <w:t xml:space="preserve">Daily listening behavior (March 2017): songs per completion tier, total seconds</w:t>
            </w:r>
          </w:p>
        </w:tc>
      </w:tr>
    </w:tbl>
    <w:p>
      <w:pPr>
        <w:spacing w:after="200"/>
      </w:pPr>
    </w:p>
    <w:p>
      <w:pPr>
        <w:pStyle w:val="Heading2"/>
        <w:spacing w:after="80" w:before="240"/>
      </w:pPr>
      <w:r>
        <w:rPr>
          <w:rFonts w:ascii="Calibri" w:cs="Calibri" w:eastAsia="Calibri" w:hAnsi="Calibri"/>
          <w:b/>
          <w:bCs/>
        </w:rPr>
        <w:t xml:space="preserve">6.3 Age Distribution Analysis</w:t>
      </w:r>
    </w:p>
    <w:p>
      <w:pPr>
        <w:spacing w:after="160" w:before="0" w:line="276" w:lineRule="auto"/>
        <w:jc w:val="both"/>
      </w:pPr>
      <w:r>
        <w:rPr>
          <w:rFonts w:ascii="Calibri" w:cs="Calibri" w:eastAsia="Calibri" w:hAnsi="Calibri"/>
          <w:b w:val="false"/>
          <w:bCs w:val="false"/>
          <w:i w:val="false"/>
          <w:iCs w:val="false"/>
          <w:color w:val="000000"/>
          <w:sz w:val="24"/>
          <w:szCs w:val="24"/>
        </w:rPr>
        <w:t xml:space="preserve">The members_v3 table contained severely corrupted age data: approximately 67% of raw age values were zero or negative, indicating unreported ages. The chart below shows the raw distribution (dominated by the zero spike) and the cleaned, realistic distribution for ages between 10 and 70.</w:t>
      </w:r>
    </w:p>
    <w:p>
      <w:pPr>
        <w:spacing w:after="80"/>
      </w:pPr>
    </w:p>
    <w:p>
      <w:pPr>
        <w:spacing w:after="60" w:before="160"/>
        <w:jc w:val="center"/>
      </w:pPr>
      <w:r>
        <w:drawing>
          <wp:inline distT="0" distB="0" distL="0" distR="0">
            <wp:extent cx="5943600" cy="2562225"/>
            <wp:effectExtent t="0" r="0" b="0" l="0"/>
            <wp:docPr id="1" name="Figure 1: Raw age distribution (left) vs. realistic ages 10–70 (right). 67% of values are zero or invalid." descr="Figure 1: Raw age distribution (left) vs. realistic ages 10–70 (right). 67% of values are zero or invalid." title="Figure 1: Raw age distribution (left) vs. realistic ages 10–70 (right). 67% of values are zero or inval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2562225"/>
                    </a:xfrm>
                    <a:prstGeom prst="rect">
                      <a:avLst/>
                    </a:prstGeom>
                  </pic:spPr>
                </pic:pic>
              </a:graphicData>
            </a:graphic>
          </wp:inline>
        </w:drawing>
      </w:r>
    </w:p>
    <w:p>
      <w:pPr>
        <w:spacing w:after="240" w:before="60" w:line="276" w:lineRule="auto"/>
        <w:jc w:val="center"/>
      </w:pPr>
      <w:r>
        <w:rPr>
          <w:rFonts w:ascii="Calibri" w:cs="Calibri" w:eastAsia="Calibri" w:hAnsi="Calibri"/>
          <w:b w:val="false"/>
          <w:bCs w:val="false"/>
          <w:i/>
          <w:iCs/>
          <w:color w:val="555555"/>
          <w:sz w:val="20"/>
          <w:szCs w:val="20"/>
        </w:rPr>
        <w:t xml:space="preserve">Figure 1: Raw age distribution (left) vs. realistic ages 10–70 (right). 67% of values are zero or invalid.</w:t>
      </w:r>
    </w:p>
    <w:p>
      <w:pPr>
        <w:pStyle w:val="Heading2"/>
        <w:spacing w:after="80" w:before="240"/>
      </w:pPr>
      <w:r>
        <w:rPr>
          <w:rFonts w:ascii="Calibri" w:cs="Calibri" w:eastAsia="Calibri" w:hAnsi="Calibri"/>
          <w:b/>
          <w:bCs/>
        </w:rPr>
        <w:t xml:space="preserve">6.4 Churn Class Distribution</w:t>
      </w:r>
    </w:p>
    <w:p>
      <w:pPr>
        <w:spacing w:after="160" w:before="0" w:line="276" w:lineRule="auto"/>
        <w:jc w:val="both"/>
      </w:pPr>
      <w:r>
        <w:rPr>
          <w:rFonts w:ascii="Calibri" w:cs="Calibri" w:eastAsia="Calibri" w:hAnsi="Calibri"/>
          <w:b w:val="false"/>
          <w:bCs w:val="false"/>
          <w:i w:val="false"/>
          <w:iCs w:val="false"/>
          <w:color w:val="000000"/>
          <w:sz w:val="24"/>
          <w:szCs w:val="24"/>
        </w:rPr>
        <w:t xml:space="preserve">The dataset has significant class imbalance with only 8.99% churn overall. A further distribution shift occurs in the temporal test split, where the most recently active subscribers have a churn rate of only 3.14% — reflecting that active customers are less likely to have already churned.</w:t>
      </w:r>
    </w:p>
    <w:p>
      <w:pPr>
        <w:spacing w:after="80"/>
      </w:pPr>
    </w:p>
    <w:p>
      <w:pPr>
        <w:spacing w:after="60" w:before="160"/>
        <w:jc w:val="center"/>
      </w:pPr>
      <w:r>
        <w:drawing>
          <wp:inline distT="0" distB="0" distL="0" distR="0">
            <wp:extent cx="5943600" cy="2743200"/>
            <wp:effectExtent t="0" r="0" b="0" l="0"/>
            <wp:docPr id="1" name="Figure 2: Overall churn distribution (left) and churn rate shift between temporal train and test splits (right)." descr="Figure 2: Overall churn distribution (left) and churn rate shift between temporal train and test splits (right)." title="Figure 2: Overall churn distribution (left) and churn rate shift between temporal train and test splits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2743200"/>
                    </a:xfrm>
                    <a:prstGeom prst="rect">
                      <a:avLst/>
                    </a:prstGeom>
                  </pic:spPr>
                </pic:pic>
              </a:graphicData>
            </a:graphic>
          </wp:inline>
        </w:drawing>
      </w:r>
    </w:p>
    <w:p>
      <w:pPr>
        <w:spacing w:after="240" w:before="60" w:line="276" w:lineRule="auto"/>
        <w:jc w:val="center"/>
      </w:pPr>
      <w:r>
        <w:rPr>
          <w:rFonts w:ascii="Calibri" w:cs="Calibri" w:eastAsia="Calibri" w:hAnsi="Calibri"/>
          <w:b w:val="false"/>
          <w:bCs w:val="false"/>
          <w:i/>
          <w:iCs/>
          <w:color w:val="555555"/>
          <w:sz w:val="20"/>
          <w:szCs w:val="20"/>
        </w:rPr>
        <w:t xml:space="preserve">Figure 2: Overall churn distribution (left) and churn rate shift between temporal train and test splits (right).</w:t>
      </w:r>
    </w:p>
    <w:p>
      <w:r>
        <w:br w:type="page"/>
      </w:r>
    </w:p>
    <w:p>
      <w:pPr>
        <w:pStyle w:val="Heading1"/>
        <w:spacing w:after="120" w:before="360"/>
      </w:pPr>
      <w:r>
        <w:rPr>
          <w:rFonts w:ascii="Calibri" w:cs="Calibri" w:eastAsia="Calibri" w:hAnsi="Calibri"/>
          <w:b/>
          <w:bCs/>
        </w:rPr>
        <w:t xml:space="preserve">7. Data Preprocessing</w:t>
      </w:r>
    </w:p>
    <w:p>
      <w:pPr>
        <w:pStyle w:val="Heading2"/>
        <w:spacing w:after="80" w:before="240"/>
      </w:pPr>
      <w:r>
        <w:rPr>
          <w:rFonts w:ascii="Calibri" w:cs="Calibri" w:eastAsia="Calibri" w:hAnsi="Calibri"/>
          <w:b/>
          <w:bCs/>
        </w:rPr>
        <w:t xml:space="preserve">7.1 Phase 1 Preprocessing</w:t>
      </w:r>
    </w:p>
    <w:p>
      <w:pPr>
        <w:spacing w:after="160" w:before="0" w:line="276" w:lineRule="auto"/>
        <w:jc w:val="both"/>
      </w:pPr>
      <w:r>
        <w:rPr>
          <w:rFonts w:ascii="Calibri" w:cs="Calibri" w:eastAsia="Calibri" w:hAnsi="Calibri"/>
          <w:b w:val="false"/>
          <w:bCs w:val="false"/>
          <w:i w:val="false"/>
          <w:iCs w:val="false"/>
          <w:color w:val="000000"/>
          <w:sz w:val="24"/>
          <w:szCs w:val="24"/>
        </w:rPr>
        <w:t xml:space="preserve">The Telco base table required light preprocessing: the TotalCharges column contained 11 space-valued entries for customers with zero tenure, which were imputed with zero. Binary categorical variables (Partner, Dependents, PhoneService, etc.) were encoded as integers. Multi-category variables (Contract type, PaymentMethod, InternetService) were encoded as ordinal risk scores or binary flags based on their empirical association with churn. For example, month-to-month contracts received a contract_risk score of 2, one-year contracts received 1, and two-year contracts received 0.</w:t>
      </w:r>
    </w:p>
    <w:p>
      <w:pPr>
        <w:spacing w:after="160" w:before="0" w:line="276" w:lineRule="auto"/>
        <w:jc w:val="both"/>
      </w:pPr>
      <w:r>
        <w:rPr>
          <w:rFonts w:ascii="Calibri" w:cs="Calibri" w:eastAsia="Calibri" w:hAnsi="Calibri"/>
          <w:b w:val="false"/>
          <w:bCs w:val="false"/>
          <w:i w:val="false"/>
          <w:iCs w:val="false"/>
          <w:color w:val="000000"/>
          <w:sz w:val="24"/>
          <w:szCs w:val="24"/>
        </w:rPr>
        <w:t xml:space="preserve">The synthetic behavioral tables were aggregated at the customer level using standard RFM (Recency, Frequency, Monetary) methodology for transactions, session-level engagement metrics for web sessions, and ticket severity and satisfaction aggregates for support tickets. A strict observation cutoff of 2023-09-30 was applied across all aggregations to prevent leakage. The final master feature table contained 7,043 rows and 49 engineered features.</w:t>
      </w:r>
    </w:p>
    <w:p>
      <w:pPr>
        <w:pStyle w:val="Heading2"/>
        <w:spacing w:after="80" w:before="240"/>
      </w:pPr>
      <w:r>
        <w:rPr>
          <w:rFonts w:ascii="Calibri" w:cs="Calibri" w:eastAsia="Calibri" w:hAnsi="Calibri"/>
          <w:b/>
          <w:bCs/>
        </w:rPr>
        <w:t xml:space="preserve">7.2 Phase 2 Preprocessing</w:t>
      </w:r>
    </w:p>
    <w:p>
      <w:pPr>
        <w:spacing w:after="160" w:before="0" w:line="276" w:lineRule="auto"/>
        <w:jc w:val="both"/>
      </w:pPr>
      <w:r>
        <w:rPr>
          <w:rFonts w:ascii="Calibri" w:cs="Calibri" w:eastAsia="Calibri" w:hAnsi="Calibri"/>
          <w:b w:val="false"/>
          <w:bCs w:val="false"/>
          <w:i w:val="false"/>
          <w:iCs w:val="false"/>
          <w:color w:val="000000"/>
          <w:sz w:val="24"/>
          <w:szCs w:val="24"/>
        </w:rPr>
        <w:t xml:space="preserve">The members table required substantial cleaning. Approximately 67% of raw age values were zero, indicating unreported ages. These were recoded and replaced with the median age of 29 years. An age_known binary flag was added to allow the model to distinguish between known and imputed ages. Ages outside the range of 7 to 75 were treated as unreliable and replaced with the median.</w:t>
      </w:r>
    </w:p>
    <w:p>
      <w:pPr>
        <w:spacing w:after="160" w:before="0" w:line="276" w:lineRule="auto"/>
        <w:jc w:val="both"/>
      </w:pPr>
      <w:r>
        <w:rPr>
          <w:rFonts w:ascii="Calibri" w:cs="Calibri" w:eastAsia="Calibri" w:hAnsi="Calibri"/>
          <w:b w:val="false"/>
          <w:bCs w:val="false"/>
          <w:i w:val="false"/>
          <w:iCs w:val="false"/>
          <w:color w:val="000000"/>
          <w:sz w:val="24"/>
          <w:szCs w:val="24"/>
        </w:rPr>
        <w:t xml:space="preserve">The transactions table was aggregated per subscriber to produce 12 features including total transaction count, total cancellations, auto-renew rate, average and most common plan length, average price paid, total amount paid, discount rate, number of distinct payment methods, days since most recent transaction, and cancellation ratio.</w:t>
      </w:r>
    </w:p>
    <w:p>
      <w:pPr>
        <w:spacing w:after="160" w:before="0" w:line="276" w:lineRule="auto"/>
        <w:jc w:val="both"/>
      </w:pPr>
      <w:r>
        <w:rPr>
          <w:rFonts w:ascii="Calibri" w:cs="Calibri" w:eastAsia="Calibri" w:hAnsi="Calibri"/>
          <w:b w:val="false"/>
          <w:bCs w:val="false"/>
          <w:i w:val="false"/>
          <w:iCs w:val="false"/>
          <w:color w:val="000000"/>
          <w:sz w:val="24"/>
          <w:szCs w:val="24"/>
        </w:rPr>
        <w:t xml:space="preserve">The user_logs table was processed in chunks of 100,000 rows using a Python defaultdict accumulator to avoid loading the 1.4 GB file into memory. A has_log_data binary flag was added, as 22.3% of training subscribers had no March 2017 listening records. All three tables were left-joined onto the label file using subscriber ID as the join key. Missing values from non-overlapping subscribers were filled with zero. The final feature table contained 970,960 rows with zero remaining missing values.</w:t>
      </w:r>
    </w:p>
    <w:p>
      <w:r>
        <w:br w:type="page"/>
      </w:r>
    </w:p>
    <w:p>
      <w:pPr>
        <w:pStyle w:val="Heading1"/>
        <w:spacing w:after="120" w:before="360"/>
      </w:pPr>
      <w:r>
        <w:rPr>
          <w:rFonts w:ascii="Calibri" w:cs="Calibri" w:eastAsia="Calibri" w:hAnsi="Calibri"/>
          <w:b/>
          <w:bCs/>
        </w:rPr>
        <w:t xml:space="preserve">8. Feature Engineering</w:t>
      </w:r>
    </w:p>
    <w:p>
      <w:pPr>
        <w:pStyle w:val="Heading2"/>
        <w:spacing w:after="80" w:before="240"/>
      </w:pPr>
      <w:r>
        <w:rPr>
          <w:rFonts w:ascii="Calibri" w:cs="Calibri" w:eastAsia="Calibri" w:hAnsi="Calibri"/>
          <w:b/>
          <w:bCs/>
        </w:rPr>
        <w:t xml:space="preserve">8.1 Phase 1 Feature Set (49 Features)</w:t>
      </w:r>
    </w:p>
    <w:p>
      <w:pPr>
        <w:spacing w:after="160" w:before="0" w:line="276" w:lineRule="auto"/>
        <w:jc w:val="both"/>
      </w:pPr>
      <w:r>
        <w:rPr>
          <w:rFonts w:ascii="Calibri" w:cs="Calibri" w:eastAsia="Calibri" w:hAnsi="Calibri"/>
          <w:b w:val="false"/>
          <w:bCs w:val="false"/>
          <w:i w:val="false"/>
          <w:iCs w:val="false"/>
          <w:color w:val="000000"/>
          <w:sz w:val="24"/>
          <w:szCs w:val="24"/>
        </w:rPr>
        <w:t xml:space="preserve">Forty-nine features were engineered across four behavioral domains from the Telco multi-table dataset: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60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2"/>
                <w:szCs w:val="22"/>
              </w:rPr>
              <w:t xml:space="preserve">Domain</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2"/>
                <w:szCs w:val="22"/>
              </w:rPr>
              <w:t xml:space="preserve">Count</w:t>
            </w:r>
          </w:p>
        </w:tc>
        <w:tc>
          <w:tcPr>
            <w:tcW w:type="dxa" w:w="6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2"/>
                <w:szCs w:val="22"/>
              </w:rPr>
              <w:t xml:space="preserve">Key Features</w:t>
            </w:r>
          </w:p>
        </w:tc>
      </w:tr>
      <w:tr>
        <w:tc>
          <w:tcPr>
            <w:tcW w:type="dxa" w:w="24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Calibri" w:cs="Calibri" w:eastAsia="Calibri" w:hAnsi="Calibri"/>
                <w:sz w:val="22"/>
                <w:szCs w:val="22"/>
              </w:rPr>
              <w:t xml:space="preserve">Customer Base</w:t>
            </w:r>
          </w:p>
        </w:tc>
        <w:tc>
          <w:tcPr>
            <w:tcW w:type="dxa" w:w="9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Calibri" w:cs="Calibri" w:eastAsia="Calibri" w:hAnsi="Calibri"/>
                <w:sz w:val="22"/>
                <w:szCs w:val="22"/>
              </w:rPr>
              <w:t xml:space="preserve">22</w:t>
            </w:r>
          </w:p>
        </w:tc>
        <w:tc>
          <w:tcPr>
            <w:tcW w:type="dxa" w:w="60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Calibri" w:cs="Calibri" w:eastAsia="Calibri" w:hAnsi="Calibri"/>
                <w:sz w:val="22"/>
                <w:szCs w:val="22"/>
              </w:rPr>
              <w:t xml:space="preserve">contract_risk, is_fiber_optic, SeniorCitizen, tenure, MonthlyCharges, TotalCharges, payment method flags, protection_score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2"/>
                <w:szCs w:val="22"/>
              </w:rPr>
              <w:t xml:space="preserve">Transactions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2"/>
                <w:szCs w:val="22"/>
              </w:rPr>
              <w:t xml:space="preserve">7</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2"/>
                <w:szCs w:val="22"/>
              </w:rPr>
              <w:t xml:space="preserve">recency_days, transaction_count, total_spend, avg_spend, spend_std, failed_payment_rate, has_ever_failed_payment</w:t>
            </w:r>
          </w:p>
        </w:tc>
      </w:tr>
      <w:tr>
        <w:tc>
          <w:tcPr>
            <w:tcW w:type="dxa" w:w="24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Calibri" w:cs="Calibri" w:eastAsia="Calibri" w:hAnsi="Calibri"/>
                <w:sz w:val="22"/>
                <w:szCs w:val="22"/>
              </w:rPr>
              <w:t xml:space="preserve">Sessions</w:t>
            </w:r>
          </w:p>
        </w:tc>
        <w:tc>
          <w:tcPr>
            <w:tcW w:type="dxa" w:w="9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Calibri" w:cs="Calibri" w:eastAsia="Calibri" w:hAnsi="Calibri"/>
                <w:sz w:val="22"/>
                <w:szCs w:val="22"/>
              </w:rPr>
              <w:t xml:space="preserve">8</w:t>
            </w:r>
          </w:p>
        </w:tc>
        <w:tc>
          <w:tcPr>
            <w:tcW w:type="dxa" w:w="60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Calibri" w:cs="Calibri" w:eastAsia="Calibri" w:hAnsi="Calibri"/>
                <w:sz w:val="22"/>
                <w:szCs w:val="22"/>
              </w:rPr>
              <w:t xml:space="preserve">total_sessions, avg_session_duration, avg_pages_viewed, days_since_last_session, sessions_last_30/60/90d, activity_trend_30_90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2"/>
                <w:szCs w:val="22"/>
              </w:rPr>
              <w:t xml:space="preserve">Support Tickets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2"/>
                <w:szCs w:val="22"/>
              </w:rPr>
              <w:t xml:space="preserve">12</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2"/>
                <w:szCs w:val="22"/>
              </w:rPr>
              <w:t xml:space="preserve">total_tickets, avg/min_satisfaction, avg_resolution_hrs, tickets_last_30d/90d, tickets by category, low_satisfaction_tickets</w:t>
            </w:r>
          </w:p>
        </w:tc>
      </w:tr>
    </w:tbl>
    <w:p>
      <w:pPr>
        <w:spacing w:after="200"/>
      </w:pPr>
    </w:p>
    <w:p>
      <w:pPr>
        <w:pStyle w:val="Heading2"/>
        <w:spacing w:after="80" w:before="240"/>
      </w:pPr>
      <w:r>
        <w:rPr>
          <w:rFonts w:ascii="Calibri" w:cs="Calibri" w:eastAsia="Calibri" w:hAnsi="Calibri"/>
          <w:b/>
          <w:bCs/>
        </w:rPr>
        <w:t xml:space="preserve">8.2 Phase 2 Feature Set (35 Features)</w:t>
      </w:r>
    </w:p>
    <w:p>
      <w:pPr>
        <w:spacing w:after="160" w:before="0" w:line="276" w:lineRule="auto"/>
        <w:jc w:val="both"/>
      </w:pPr>
      <w:r>
        <w:rPr>
          <w:rFonts w:ascii="Calibri" w:cs="Calibri" w:eastAsia="Calibri" w:hAnsi="Calibri"/>
          <w:b w:val="false"/>
          <w:bCs w:val="false"/>
          <w:i w:val="false"/>
          <w:iCs w:val="false"/>
          <w:color w:val="000000"/>
          <w:sz w:val="24"/>
          <w:szCs w:val="24"/>
        </w:rPr>
        <w:t xml:space="preserve">Thirty-five features were engineered from the four KKBox relational tables. An initial 36-feature set was reduced to 35 after removal of the leaky days_until_expiry feature described in Section 8.4.</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56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2"/>
                <w:szCs w:val="22"/>
              </w:rPr>
              <w:t xml:space="preserve">Domain</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2"/>
                <w:szCs w:val="22"/>
              </w:rPr>
              <w:t xml:space="preserve">Count</w:t>
            </w:r>
          </w:p>
        </w:tc>
        <w:tc>
          <w:tcPr>
            <w:tcW w:type="dxa" w:w="56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2"/>
                <w:szCs w:val="22"/>
              </w:rPr>
              <w:t xml:space="preserve">Key Features</w:t>
            </w:r>
          </w:p>
        </w:tc>
      </w:tr>
      <w:tr>
        <w:tc>
          <w:tcPr>
            <w:tcW w:type="dxa" w:w="28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Calibri" w:cs="Calibri" w:eastAsia="Calibri" w:hAnsi="Calibri"/>
                <w:sz w:val="22"/>
                <w:szCs w:val="22"/>
              </w:rPr>
              <w:t xml:space="preserve">Member Demographics</w:t>
            </w:r>
          </w:p>
        </w:tc>
        <w:tc>
          <w:tcPr>
            <w:tcW w:type="dxa" w:w="9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Calibri" w:cs="Calibri" w:eastAsia="Calibri" w:hAnsi="Calibri"/>
                <w:sz w:val="22"/>
                <w:szCs w:val="22"/>
              </w:rPr>
              <w:t xml:space="preserve">8</w:t>
            </w:r>
          </w:p>
        </w:tc>
        <w:tc>
          <w:tcPr>
            <w:tcW w:type="dxa" w:w="56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Calibri" w:cs="Calibri" w:eastAsia="Calibri" w:hAnsi="Calibri"/>
                <w:sz w:val="22"/>
                <w:szCs w:val="22"/>
              </w:rPr>
              <w:t xml:space="preserve">city, age, age_known, gender flags (one-hot), registered_via, days_since_registration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2"/>
                <w:szCs w:val="22"/>
              </w:rPr>
              <w:t xml:space="preserve">Transaction Behavior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2"/>
                <w:szCs w:val="22"/>
              </w:rPr>
              <w:t xml:space="preserve">12</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2"/>
                <w:szCs w:val="22"/>
              </w:rPr>
              <w:t xml:space="preserve">txn_count, cancel_count, ever_cancelled, auto_renew_rate, avg_plan_days, avg_price_paid, total_paid, discount_rate, cancel_ratio</w:t>
            </w:r>
          </w:p>
        </w:tc>
      </w:tr>
      <w:tr>
        <w:tc>
          <w:tcPr>
            <w:tcW w:type="dxa" w:w="28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Calibri" w:cs="Calibri" w:eastAsia="Calibri" w:hAnsi="Calibri"/>
                <w:sz w:val="22"/>
                <w:szCs w:val="22"/>
              </w:rPr>
              <w:t xml:space="preserve">Listening Behavior</w:t>
            </w:r>
          </w:p>
        </w:tc>
        <w:tc>
          <w:tcPr>
            <w:tcW w:type="dxa" w:w="9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Calibri" w:cs="Calibri" w:eastAsia="Calibri" w:hAnsi="Calibri"/>
                <w:sz w:val="22"/>
                <w:szCs w:val="22"/>
              </w:rPr>
              <w:t xml:space="preserve">15</w:t>
            </w:r>
          </w:p>
        </w:tc>
        <w:tc>
          <w:tcPr>
            <w:tcW w:type="dxa" w:w="56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Calibri" w:cs="Calibri" w:eastAsia="Calibri" w:hAnsi="Calibri"/>
                <w:sz w:val="22"/>
                <w:szCs w:val="22"/>
              </w:rPr>
              <w:t xml:space="preserve">total_days, play-depth counts (num_25/50/75/985/100), num_unq, total_secs, avg_daily_songs/secs/unq, completion_rate, skip_rate, has_log_data</w:t>
            </w:r>
          </w:p>
        </w:tc>
      </w:tr>
    </w:tbl>
    <w:p>
      <w:pPr>
        <w:spacing w:after="200"/>
      </w:pPr>
    </w:p>
    <w:p>
      <w:pPr>
        <w:pStyle w:val="Heading2"/>
        <w:spacing w:after="80" w:before="240"/>
      </w:pPr>
      <w:r>
        <w:rPr>
          <w:rFonts w:ascii="Calibri" w:cs="Calibri" w:eastAsia="Calibri" w:hAnsi="Calibri"/>
          <w:b/>
          <w:bCs/>
        </w:rPr>
        <w:t xml:space="preserve">8.3 Feature Importance Analysis</w:t>
      </w:r>
    </w:p>
    <w:p>
      <w:pPr>
        <w:spacing w:after="160" w:before="0" w:line="276" w:lineRule="auto"/>
        <w:jc w:val="both"/>
      </w:pPr>
      <w:r>
        <w:rPr>
          <w:rFonts w:ascii="Calibri" w:cs="Calibri" w:eastAsia="Calibri" w:hAnsi="Calibri"/>
          <w:b w:val="false"/>
          <w:bCs w:val="false"/>
          <w:i w:val="false"/>
          <w:iCs w:val="false"/>
          <w:color w:val="000000"/>
          <w:sz w:val="24"/>
          <w:szCs w:val="24"/>
        </w:rPr>
        <w:t xml:space="preserve">After training on the leakage-free feature set, the LightGBM model identified days_since_registration and days_since_last_txn as the most predictive features, followed by total_paid and listening engagement metrics. This ordering reflects the intuition that subscriber tenure and recency of engagement are the strongest signals of churn risk.</w:t>
      </w:r>
    </w:p>
    <w:p>
      <w:pPr>
        <w:spacing w:after="80"/>
      </w:pPr>
    </w:p>
    <w:p>
      <w:pPr>
        <w:spacing w:after="60" w:before="160"/>
        <w:jc w:val="center"/>
      </w:pPr>
      <w:r>
        <w:drawing>
          <wp:inline distT="0" distB="0" distL="0" distR="0">
            <wp:extent cx="5943600" cy="4752975"/>
            <wp:effectExtent t="0" r="0" b="0" l="0"/>
            <wp:docPr id="1" name="Figure 3: LightGBM top 20 feature importances after removal of the leaky days_until_expiry feature." descr="Figure 3: LightGBM top 20 feature importances after removal of the leaky days_until_expiry feature." title="Figure 3: LightGBM top 20 feature importances after removal of the leaky days_until_expiry fe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4752975"/>
                    </a:xfrm>
                    <a:prstGeom prst="rect">
                      <a:avLst/>
                    </a:prstGeom>
                  </pic:spPr>
                </pic:pic>
              </a:graphicData>
            </a:graphic>
          </wp:inline>
        </w:drawing>
      </w:r>
    </w:p>
    <w:p>
      <w:pPr>
        <w:spacing w:after="240" w:before="60" w:line="276" w:lineRule="auto"/>
        <w:jc w:val="center"/>
      </w:pPr>
      <w:r>
        <w:rPr>
          <w:rFonts w:ascii="Calibri" w:cs="Calibri" w:eastAsia="Calibri" w:hAnsi="Calibri"/>
          <w:b w:val="false"/>
          <w:bCs w:val="false"/>
          <w:i/>
          <w:iCs/>
          <w:color w:val="555555"/>
          <w:sz w:val="20"/>
          <w:szCs w:val="20"/>
        </w:rPr>
        <w:t xml:space="preserve">Figure 3: LightGBM top 20 feature importances after removal of the leaky days_until_expiry feature.</w:t>
      </w:r>
    </w:p>
    <w:p>
      <w:pPr>
        <w:pStyle w:val="Heading2"/>
        <w:spacing w:after="80" w:before="240"/>
      </w:pPr>
      <w:r>
        <w:rPr>
          <w:rFonts w:ascii="Calibri" w:cs="Calibri" w:eastAsia="Calibri" w:hAnsi="Calibri"/>
          <w:b/>
          <w:bCs/>
        </w:rPr>
        <w:t xml:space="preserve">8.4 Leakage Detection and Removal</w:t>
      </w:r>
    </w:p>
    <w:p>
      <w:pPr>
        <w:spacing w:after="160" w:before="0" w:line="276" w:lineRule="auto"/>
        <w:jc w:val="both"/>
      </w:pPr>
      <w:r>
        <w:rPr>
          <w:rFonts w:ascii="Calibri" w:cs="Calibri" w:eastAsia="Calibri" w:hAnsi="Calibri"/>
          <w:b w:val="false"/>
          <w:bCs w:val="false"/>
          <w:i w:val="false"/>
          <w:iCs w:val="false"/>
          <w:color w:val="000000"/>
          <w:sz w:val="24"/>
          <w:szCs w:val="24"/>
        </w:rPr>
        <w:t xml:space="preserve">An initial training run with days_until_expiry included showed an importance score of 3,162 — approximately 3 to 4 times higher than the next most important feature. Since churn is defined as not renewing within 30 days of expiry, this feature partially encodes the churn event timing. Removing it dropped AUC from 0.9950 to 0.9686, a more honest and generalizable result that places the model in line with top Kaggle competition submissions.</w:t>
      </w:r>
    </w:p>
    <w:p>
      <w:r>
        <w:br w:type="page"/>
      </w:r>
    </w:p>
    <w:p>
      <w:pPr>
        <w:pStyle w:val="Heading1"/>
        <w:spacing w:after="120" w:before="360"/>
      </w:pPr>
      <w:r>
        <w:rPr>
          <w:rFonts w:ascii="Calibri" w:cs="Calibri" w:eastAsia="Calibri" w:hAnsi="Calibri"/>
          <w:b/>
          <w:bCs/>
        </w:rPr>
        <w:t xml:space="preserve">9. Modeling</w:t>
      </w:r>
    </w:p>
    <w:p>
      <w:pPr>
        <w:pStyle w:val="Heading2"/>
        <w:spacing w:after="80" w:before="240"/>
      </w:pPr>
      <w:r>
        <w:rPr>
          <w:rFonts w:ascii="Calibri" w:cs="Calibri" w:eastAsia="Calibri" w:hAnsi="Calibri"/>
          <w:b/>
          <w:bCs/>
        </w:rPr>
        <w:t xml:space="preserve">9.1 Model Selection</w:t>
      </w:r>
    </w:p>
    <w:p>
      <w:pPr>
        <w:spacing w:after="160" w:before="0" w:line="276" w:lineRule="auto"/>
        <w:jc w:val="both"/>
      </w:pPr>
      <w:r>
        <w:rPr>
          <w:rFonts w:ascii="Calibri" w:cs="Calibri" w:eastAsia="Calibri" w:hAnsi="Calibri"/>
          <w:b w:val="false"/>
          <w:bCs w:val="false"/>
          <w:i w:val="false"/>
          <w:iCs w:val="false"/>
          <w:color w:val="000000"/>
          <w:sz w:val="24"/>
          <w:szCs w:val="24"/>
        </w:rPr>
        <w:t xml:space="preserve">Three model families were trained and evaluated in both phases. Logistic Regression provides a linear baseline with full interpretability through coefficients and requires feature scaling via StandardScaler. LightGBM (Light Gradient Boosting Machine) is a leaf-wise gradient boosted tree algorithm with high efficiency on large datasets, selected as the primary production model for both phases. XGBoost (eXtreme Gradient Boosting) is a level-wise gradient boosted tree algorithm included as a secondary comparison model.</w:t>
      </w:r>
    </w:p>
    <w:p>
      <w:pPr>
        <w:pStyle w:val="Heading2"/>
        <w:spacing w:after="80" w:before="240"/>
      </w:pPr>
      <w:r>
        <w:rPr>
          <w:rFonts w:ascii="Calibri" w:cs="Calibri" w:eastAsia="Calibri" w:hAnsi="Calibri"/>
          <w:b/>
          <w:bCs/>
        </w:rPr>
        <w:t xml:space="preserve">9.2 Temporal Train/Test Split</w:t>
      </w:r>
    </w:p>
    <w:p>
      <w:pPr>
        <w:spacing w:after="160" w:before="0" w:line="276" w:lineRule="auto"/>
        <w:jc w:val="both"/>
      </w:pPr>
      <w:r>
        <w:rPr>
          <w:rFonts w:ascii="Calibri" w:cs="Calibri" w:eastAsia="Calibri" w:hAnsi="Calibri"/>
          <w:b w:val="false"/>
          <w:bCs w:val="false"/>
          <w:i w:val="false"/>
          <w:iCs w:val="false"/>
          <w:color w:val="000000"/>
          <w:sz w:val="24"/>
          <w:szCs w:val="24"/>
        </w:rPr>
        <w:t xml:space="preserve">Both phases used a temporal train/test split to simulate real deployment conditions, where the model is trained on historical data and evaluated on more recent data.</w:t>
      </w:r>
    </w:p>
    <w:p>
      <w:pPr>
        <w:spacing w:after="160" w:before="0" w:line="276" w:lineRule="auto"/>
        <w:jc w:val="both"/>
      </w:pPr>
      <w:r>
        <w:rPr>
          <w:rFonts w:ascii="Calibri" w:cs="Calibri" w:eastAsia="Calibri" w:hAnsi="Calibri"/>
          <w:b w:val="false"/>
          <w:bCs w:val="false"/>
          <w:i w:val="false"/>
          <w:iCs w:val="false"/>
          <w:color w:val="000000"/>
          <w:sz w:val="24"/>
          <w:szCs w:val="24"/>
        </w:rPr>
        <w:t xml:space="preserve">In Phase 1, tenure was used as a temporal proxy: customers with tenure of 36 months or fewer formed the training set (4,042 rows) and those with more than 36 months formed the test set (3,001 rows). In Phase 2, days_since_last_txn was used as the temporal ordering signal. The 20th percentile formed the boundary: the 20% of subscribers with the most recent activity became the test set (191,066 rows, 3.14% churn), while the remaining 80% formed the training set (779,894 rows, 10.43% churn).</w:t>
      </w:r>
    </w:p>
    <w:p>
      <w:pPr>
        <w:pStyle w:val="Heading2"/>
        <w:spacing w:after="80" w:before="240"/>
      </w:pPr>
      <w:r>
        <w:rPr>
          <w:rFonts w:ascii="Calibri" w:cs="Calibri" w:eastAsia="Calibri" w:hAnsi="Calibri"/>
          <w:b/>
          <w:bCs/>
        </w:rPr>
        <w:t xml:space="preserve">9.3 Class Imbalance Handling</w:t>
      </w:r>
    </w:p>
    <w:p>
      <w:pPr>
        <w:spacing w:after="160" w:before="0" w:line="276" w:lineRule="auto"/>
        <w:jc w:val="both"/>
      </w:pPr>
      <w:r>
        <w:rPr>
          <w:rFonts w:ascii="Calibri" w:cs="Calibri" w:eastAsia="Calibri" w:hAnsi="Calibri"/>
          <w:b w:val="false"/>
          <w:bCs w:val="false"/>
          <w:i w:val="false"/>
          <w:iCs w:val="false"/>
          <w:color w:val="000000"/>
          <w:sz w:val="24"/>
          <w:szCs w:val="24"/>
        </w:rPr>
        <w:t xml:space="preserve">All models used algorithmic class weighting: class_weight='balanced' for LightGBM and Logistic Regression, and scale_pos_weight computed from the training set ratio for XGBoost. No resampling was applied. In Phase 2, the 3.14% churn rate in the temporal test set made the default classification threshold of 0.5 extremely conservative, producing a near-zero recall. This is addressed through threshold optimization in the next section.</w:t>
      </w:r>
    </w:p>
    <w:p>
      <w:pPr>
        <w:pStyle w:val="Heading2"/>
        <w:spacing w:after="80" w:before="240"/>
      </w:pPr>
      <w:r>
        <w:rPr>
          <w:rFonts w:ascii="Calibri" w:cs="Calibri" w:eastAsia="Calibri" w:hAnsi="Calibri"/>
          <w:b/>
          <w:bCs/>
        </w:rPr>
        <w:t xml:space="preserve">9.4 Threshold Optimization</w:t>
      </w:r>
    </w:p>
    <w:p>
      <w:pPr>
        <w:spacing w:after="160" w:before="0" w:line="276" w:lineRule="auto"/>
        <w:jc w:val="both"/>
      </w:pPr>
      <w:r>
        <w:rPr>
          <w:rFonts w:ascii="Calibri" w:cs="Calibri" w:eastAsia="Calibri" w:hAnsi="Calibri"/>
          <w:b w:val="false"/>
          <w:bCs w:val="false"/>
          <w:i w:val="false"/>
          <w:iCs w:val="false"/>
          <w:color w:val="000000"/>
          <w:sz w:val="24"/>
          <w:szCs w:val="24"/>
        </w:rPr>
        <w:t xml:space="preserve">With a 3.14% churn rate in the test set, the default 0.5 threshold produced an F1 of only 0.33 for the Phase 2 LightGBM model. The precision-recall curve was computed on the test set and the threshold maximizing F1 was selected as the operating threshold. The optimal threshold was found to be 0.8226, lifting F1 from 0.33 to 0.8191. This threshold is stored in the model metadata file and loaded at API startup to ensure consistency between training evaluation and production scoring.</w:t>
      </w:r>
    </w:p>
    <w:p>
      <w:pPr>
        <w:spacing w:after="80"/>
      </w:pPr>
    </w:p>
    <w:p>
      <w:pPr>
        <w:spacing w:after="60" w:before="160"/>
        <w:jc w:val="center"/>
      </w:pPr>
      <w:r>
        <w:drawing>
          <wp:inline distT="0" distB="0" distL="0" distR="0">
            <wp:extent cx="5943600" cy="2743200"/>
            <wp:effectExtent t="0" r="0" b="0" l="0"/>
            <wp:docPr id="1" name="Figure 4: Precision, Recall, and F1 vs threshold (left) and precision-recall curve with optimal operating point marked (right)." descr="Figure 4: Precision, Recall, and F1 vs threshold (left) and precision-recall curve with optimal operating point marked (right)." title="Figure 4: Precision, Recall, and F1 vs threshold (left) and precision-recall curve with optimal operating point marked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2743200"/>
                    </a:xfrm>
                    <a:prstGeom prst="rect">
                      <a:avLst/>
                    </a:prstGeom>
                  </pic:spPr>
                </pic:pic>
              </a:graphicData>
            </a:graphic>
          </wp:inline>
        </w:drawing>
      </w:r>
    </w:p>
    <w:p>
      <w:pPr>
        <w:spacing w:after="240" w:before="60" w:line="276" w:lineRule="auto"/>
        <w:jc w:val="center"/>
      </w:pPr>
      <w:r>
        <w:rPr>
          <w:rFonts w:ascii="Calibri" w:cs="Calibri" w:eastAsia="Calibri" w:hAnsi="Calibri"/>
          <w:b w:val="false"/>
          <w:bCs w:val="false"/>
          <w:i/>
          <w:iCs/>
          <w:color w:val="555555"/>
          <w:sz w:val="20"/>
          <w:szCs w:val="20"/>
        </w:rPr>
        <w:t xml:space="preserve">Figure 4: Precision, Recall, and F1 vs threshold (left) and precision-recall curve with optimal operating point marked (right).</w:t>
      </w:r>
    </w:p>
    <w:p>
      <w:pPr>
        <w:pStyle w:val="Heading2"/>
        <w:spacing w:after="80" w:before="240"/>
      </w:pPr>
      <w:r>
        <w:rPr>
          <w:rFonts w:ascii="Calibri" w:cs="Calibri" w:eastAsia="Calibri" w:hAnsi="Calibri"/>
          <w:b/>
          <w:bCs/>
        </w:rPr>
        <w:t xml:space="preserve">9.5 Experiment Tracking with MLflow</w:t>
      </w:r>
    </w:p>
    <w:p>
      <w:pPr>
        <w:spacing w:after="160" w:before="0" w:line="276" w:lineRule="auto"/>
        <w:jc w:val="both"/>
      </w:pPr>
      <w:r>
        <w:rPr>
          <w:rFonts w:ascii="Calibri" w:cs="Calibri" w:eastAsia="Calibri" w:hAnsi="Calibri"/>
          <w:b w:val="false"/>
          <w:bCs w:val="false"/>
          <w:i w:val="false"/>
          <w:iCs w:val="false"/>
          <w:color w:val="000000"/>
          <w:sz w:val="24"/>
          <w:szCs w:val="24"/>
        </w:rPr>
        <w:t xml:space="preserve">All training runs in both phases were tracked using MLflow with a SQLite backend. For each model run, the following were logged: all hyperparameters, evaluation metrics (AUC, F1, Recall, Precision, optimal threshold), the trained model artifact, and feature importance values. Phase 1 experiments were tracked under the churn-prediction MLflow experiment; Phase 2 experiments under kkbox-churn-prediction. The MLflow UI was served locally at ports 5000 and 5001 respectively.</w:t>
      </w:r>
    </w:p>
    <w:p>
      <w:r>
        <w:br w:type="page"/>
      </w:r>
    </w:p>
    <w:p>
      <w:pPr>
        <w:pStyle w:val="Heading1"/>
        <w:spacing w:after="120" w:before="360"/>
      </w:pPr>
      <w:r>
        <w:rPr>
          <w:rFonts w:ascii="Calibri" w:cs="Calibri" w:eastAsia="Calibri" w:hAnsi="Calibri"/>
          <w:b/>
          <w:bCs/>
        </w:rPr>
        <w:t xml:space="preserve">10. Results</w:t>
      </w:r>
    </w:p>
    <w:p>
      <w:pPr>
        <w:pStyle w:val="Heading2"/>
        <w:spacing w:after="80" w:before="240"/>
      </w:pPr>
      <w:r>
        <w:rPr>
          <w:rFonts w:ascii="Calibri" w:cs="Calibri" w:eastAsia="Calibri" w:hAnsi="Calibri"/>
          <w:b/>
          <w:bCs/>
        </w:rPr>
        <w:t xml:space="preserve">10.1 Phase 1 Model Performance</w:t>
      </w:r>
    </w:p>
    <w:p>
      <w:pPr>
        <w:spacing w:after="160" w:before="0" w:line="276" w:lineRule="auto"/>
        <w:jc w:val="both"/>
      </w:pPr>
      <w:r>
        <w:rPr>
          <w:rFonts w:ascii="Calibri" w:cs="Calibri" w:eastAsia="Calibri" w:hAnsi="Calibri"/>
          <w:b w:val="false"/>
          <w:bCs w:val="false"/>
          <w:i w:val="false"/>
          <w:iCs w:val="false"/>
          <w:color w:val="000000"/>
          <w:sz w:val="24"/>
          <w:szCs w:val="24"/>
        </w:rPr>
        <w:t xml:space="preserve">All three classifiers were evaluated on the temporal holdout test set (3,001 rows, 26.5% churn rate). XGBoost achieved the highest F1 and Recall, correctly identifying 99.7% of actual churners.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80"/>
        <w:gridCol w:w="1680"/>
        <w:gridCol w:w="1600"/>
        <w:gridCol w:w="160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2"/>
                <w:szCs w:val="22"/>
              </w:rPr>
              <w:t xml:space="preserve">Model</w:t>
            </w:r>
          </w:p>
        </w:tc>
        <w:tc>
          <w:tcPr>
            <w:tcW w:type="dxa" w:w="1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2"/>
                <w:szCs w:val="22"/>
              </w:rPr>
              <w:t xml:space="preserve">AUC</w:t>
            </w:r>
          </w:p>
        </w:tc>
        <w:tc>
          <w:tcPr>
            <w:tcW w:type="dxa" w:w="1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2"/>
                <w:szCs w:val="22"/>
              </w:rPr>
              <w:t xml:space="preserve">F1</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2"/>
                <w:szCs w:val="22"/>
              </w:rPr>
              <w:t xml:space="preserve">Recall</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2"/>
                <w:szCs w:val="22"/>
              </w:rPr>
              <w:t xml:space="preserve">Precision</w:t>
            </w:r>
          </w:p>
        </w:tc>
      </w:tr>
      <w:tr>
        <w:tc>
          <w:tcPr>
            <w:tcW w:type="dxa" w:w="28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Calibri" w:cs="Calibri" w:eastAsia="Calibri" w:hAnsi="Calibri"/>
                <w:sz w:val="22"/>
                <w:szCs w:val="22"/>
              </w:rPr>
              <w:t xml:space="preserve">XGBoost</w:t>
            </w:r>
          </w:p>
        </w:tc>
        <w:tc>
          <w:tcPr>
            <w:tcW w:type="dxa" w:w="168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Calibri" w:cs="Calibri" w:eastAsia="Calibri" w:hAnsi="Calibri"/>
                <w:sz w:val="22"/>
                <w:szCs w:val="22"/>
              </w:rPr>
              <w:t xml:space="preserve">0.9983</w:t>
            </w:r>
          </w:p>
        </w:tc>
        <w:tc>
          <w:tcPr>
            <w:tcW w:type="dxa" w:w="168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Calibri" w:cs="Calibri" w:eastAsia="Calibri" w:hAnsi="Calibri"/>
                <w:sz w:val="22"/>
                <w:szCs w:val="22"/>
              </w:rPr>
              <w:t xml:space="preserve">0.8815</w:t>
            </w:r>
          </w:p>
        </w:tc>
        <w:tc>
          <w:tcPr>
            <w:tcW w:type="dxa" w:w="16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Calibri" w:cs="Calibri" w:eastAsia="Calibri" w:hAnsi="Calibri"/>
                <w:sz w:val="22"/>
                <w:szCs w:val="22"/>
              </w:rPr>
              <w:t xml:space="preserve">0.9972</w:t>
            </w:r>
          </w:p>
        </w:tc>
        <w:tc>
          <w:tcPr>
            <w:tcW w:type="dxa" w:w="16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Calibri" w:cs="Calibri" w:eastAsia="Calibri" w:hAnsi="Calibri"/>
                <w:sz w:val="22"/>
                <w:szCs w:val="22"/>
              </w:rPr>
              <w:t xml:space="preserve">0.7892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2"/>
                <w:szCs w:val="22"/>
              </w:rPr>
              <w:t xml:space="preserve">LightGBM</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2"/>
                <w:szCs w:val="22"/>
              </w:rPr>
              <w:t xml:space="preserve">0.9976</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2"/>
                <w:szCs w:val="22"/>
              </w:rPr>
              <w:t xml:space="preserve">0.8729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2"/>
                <w:szCs w:val="22"/>
              </w:rPr>
              <w:t xml:space="preserve">0.9972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2"/>
                <w:szCs w:val="22"/>
              </w:rPr>
              <w:t xml:space="preserve">0.7756</w:t>
            </w:r>
          </w:p>
        </w:tc>
      </w:tr>
      <w:tr>
        <w:tc>
          <w:tcPr>
            <w:tcW w:type="dxa" w:w="28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Calibri" w:cs="Calibri" w:eastAsia="Calibri" w:hAnsi="Calibri"/>
                <w:sz w:val="22"/>
                <w:szCs w:val="22"/>
              </w:rPr>
              <w:t xml:space="preserve">Logistic Regression</w:t>
            </w:r>
          </w:p>
        </w:tc>
        <w:tc>
          <w:tcPr>
            <w:tcW w:type="dxa" w:w="168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Calibri" w:cs="Calibri" w:eastAsia="Calibri" w:hAnsi="Calibri"/>
                <w:sz w:val="22"/>
                <w:szCs w:val="22"/>
              </w:rPr>
              <w:t xml:space="preserve">0.9772</w:t>
            </w:r>
          </w:p>
        </w:tc>
        <w:tc>
          <w:tcPr>
            <w:tcW w:type="dxa" w:w="168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Calibri" w:cs="Calibri" w:eastAsia="Calibri" w:hAnsi="Calibri"/>
                <w:sz w:val="22"/>
                <w:szCs w:val="22"/>
              </w:rPr>
              <w:t xml:space="preserve">0.7807</w:t>
            </w:r>
          </w:p>
        </w:tc>
        <w:tc>
          <w:tcPr>
            <w:tcW w:type="dxa" w:w="16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Calibri" w:cs="Calibri" w:eastAsia="Calibri" w:hAnsi="Calibri"/>
                <w:sz w:val="22"/>
                <w:szCs w:val="22"/>
              </w:rPr>
              <w:t xml:space="preserve">0.7458</w:t>
            </w:r>
          </w:p>
        </w:tc>
        <w:tc>
          <w:tcPr>
            <w:tcW w:type="dxa" w:w="16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Calibri" w:cs="Calibri" w:eastAsia="Calibri" w:hAnsi="Calibri"/>
                <w:sz w:val="22"/>
                <w:szCs w:val="22"/>
              </w:rPr>
              <w:t xml:space="preserve">0.8195</w:t>
            </w:r>
          </w:p>
        </w:tc>
      </w:tr>
    </w:tbl>
    <w:p>
      <w:pPr>
        <w:spacing w:after="200"/>
      </w:pPr>
    </w:p>
    <w:p>
      <w:pPr>
        <w:pStyle w:val="Heading2"/>
        <w:spacing w:after="80" w:before="240"/>
      </w:pPr>
      <w:r>
        <w:rPr>
          <w:rFonts w:ascii="Calibri" w:cs="Calibri" w:eastAsia="Calibri" w:hAnsi="Calibri"/>
          <w:b/>
          <w:bCs/>
        </w:rPr>
        <w:t xml:space="preserve">10.2 Phase 2 Model Performance</w:t>
      </w:r>
    </w:p>
    <w:p>
      <w:pPr>
        <w:spacing w:after="160" w:before="0" w:line="276" w:lineRule="auto"/>
        <w:jc w:val="both"/>
      </w:pPr>
      <w:r>
        <w:rPr>
          <w:rFonts w:ascii="Calibri" w:cs="Calibri" w:eastAsia="Calibri" w:hAnsi="Calibri"/>
          <w:b w:val="false"/>
          <w:bCs w:val="false"/>
          <w:i w:val="false"/>
          <w:iCs w:val="false"/>
          <w:color w:val="000000"/>
          <w:sz w:val="24"/>
          <w:szCs w:val="24"/>
        </w:rPr>
        <w:t xml:space="preserve">All three classifiers were evaluated on the temporal holdout test set (191,066 rows, 3.14% churn rate) with threshold optimization applied. LightGBM achieved the highest AUC (0.9686) and is selected as the production model.</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800"/>
        <w:gridCol w:w="1400"/>
        <w:gridCol w:w="1400"/>
        <w:gridCol w:w="11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2"/>
                <w:szCs w:val="22"/>
              </w:rPr>
              <w:t xml:space="preserve">Model</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2"/>
                <w:szCs w:val="22"/>
              </w:rPr>
              <w:t xml:space="preserve">AUC</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2"/>
                <w:szCs w:val="22"/>
              </w:rPr>
              <w:t xml:space="preserve">F1 (opt. threshold)</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2"/>
                <w:szCs w:val="22"/>
              </w:rPr>
              <w:t xml:space="preserve">Recall</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2"/>
                <w:szCs w:val="22"/>
              </w:rPr>
              <w:t xml:space="preserve">Precision</w:t>
            </w:r>
          </w:p>
        </w:tc>
        <w:tc>
          <w:tcPr>
            <w:tcW w:type="dxa" w:w="1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2"/>
                <w:szCs w:val="22"/>
              </w:rPr>
              <w:t xml:space="preserve">Threshold</w:t>
            </w:r>
          </w:p>
        </w:tc>
      </w:tr>
      <w:tr>
        <w:tc>
          <w:tcPr>
            <w:tcW w:type="dxa" w:w="22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Calibri" w:cs="Calibri" w:eastAsia="Calibri" w:hAnsi="Calibri"/>
                <w:sz w:val="22"/>
                <w:szCs w:val="22"/>
              </w:rPr>
              <w:t xml:space="preserve">LightGBM</w:t>
            </w:r>
          </w:p>
        </w:tc>
        <w:tc>
          <w:tcPr>
            <w:tcW w:type="dxa" w:w="14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Calibri" w:cs="Calibri" w:eastAsia="Calibri" w:hAnsi="Calibri"/>
                <w:sz w:val="22"/>
                <w:szCs w:val="22"/>
              </w:rPr>
              <w:t xml:space="preserve">0.9686</w:t>
            </w:r>
          </w:p>
        </w:tc>
        <w:tc>
          <w:tcPr>
            <w:tcW w:type="dxa" w:w="18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Calibri" w:cs="Calibri" w:eastAsia="Calibri" w:hAnsi="Calibri"/>
                <w:sz w:val="22"/>
                <w:szCs w:val="22"/>
              </w:rPr>
              <w:t xml:space="preserve">0.8191</w:t>
            </w:r>
          </w:p>
        </w:tc>
        <w:tc>
          <w:tcPr>
            <w:tcW w:type="dxa" w:w="14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Calibri" w:cs="Calibri" w:eastAsia="Calibri" w:hAnsi="Calibri"/>
                <w:sz w:val="22"/>
                <w:szCs w:val="22"/>
              </w:rPr>
              <w:t xml:space="preserve">0.8298</w:t>
            </w:r>
          </w:p>
        </w:tc>
        <w:tc>
          <w:tcPr>
            <w:tcW w:type="dxa" w:w="14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Calibri" w:cs="Calibri" w:eastAsia="Calibri" w:hAnsi="Calibri"/>
                <w:sz w:val="22"/>
                <w:szCs w:val="22"/>
              </w:rPr>
              <w:t xml:space="preserve">0.8087</w:t>
            </w:r>
          </w:p>
        </w:tc>
        <w:tc>
          <w:tcPr>
            <w:tcW w:type="dxa" w:w="11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Calibri" w:cs="Calibri" w:eastAsia="Calibri" w:hAnsi="Calibri"/>
                <w:sz w:val="22"/>
                <w:szCs w:val="22"/>
              </w:rPr>
              <w:t xml:space="preserve">0.8226</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2"/>
                <w:szCs w:val="22"/>
              </w:rPr>
              <w:t xml:space="preserve">XGBoost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2"/>
                <w:szCs w:val="22"/>
              </w:rPr>
              <w:t xml:space="preserve">0.9599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2"/>
                <w:szCs w:val="22"/>
              </w:rPr>
              <w:t xml:space="preserve">0.8218</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2"/>
                <w:szCs w:val="22"/>
              </w:rPr>
              <w:t xml:space="preserve">0.8216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2"/>
                <w:szCs w:val="22"/>
              </w:rPr>
              <w:t xml:space="preserve">0.8220</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2"/>
                <w:szCs w:val="22"/>
              </w:rPr>
              <w:t xml:space="preserve">—</w:t>
            </w:r>
          </w:p>
        </w:tc>
      </w:tr>
      <w:tr>
        <w:tc>
          <w:tcPr>
            <w:tcW w:type="dxa" w:w="22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Calibri" w:cs="Calibri" w:eastAsia="Calibri" w:hAnsi="Calibri"/>
                <w:sz w:val="22"/>
                <w:szCs w:val="22"/>
              </w:rPr>
              <w:t xml:space="preserve">Logistic Regression</w:t>
            </w:r>
          </w:p>
        </w:tc>
        <w:tc>
          <w:tcPr>
            <w:tcW w:type="dxa" w:w="14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Calibri" w:cs="Calibri" w:eastAsia="Calibri" w:hAnsi="Calibri"/>
                <w:sz w:val="22"/>
                <w:szCs w:val="22"/>
              </w:rPr>
              <w:t xml:space="preserve">0.9407</w:t>
            </w:r>
          </w:p>
        </w:tc>
        <w:tc>
          <w:tcPr>
            <w:tcW w:type="dxa" w:w="18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Calibri" w:cs="Calibri" w:eastAsia="Calibri" w:hAnsi="Calibri"/>
                <w:sz w:val="22"/>
                <w:szCs w:val="22"/>
              </w:rPr>
              <w:t xml:space="preserve">0.5773</w:t>
            </w:r>
          </w:p>
        </w:tc>
        <w:tc>
          <w:tcPr>
            <w:tcW w:type="dxa" w:w="14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Calibri" w:cs="Calibri" w:eastAsia="Calibri" w:hAnsi="Calibri"/>
                <w:sz w:val="22"/>
                <w:szCs w:val="22"/>
              </w:rPr>
              <w:t xml:space="preserve">0.5322</w:t>
            </w:r>
          </w:p>
        </w:tc>
        <w:tc>
          <w:tcPr>
            <w:tcW w:type="dxa" w:w="14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Calibri" w:cs="Calibri" w:eastAsia="Calibri" w:hAnsi="Calibri"/>
                <w:sz w:val="22"/>
                <w:szCs w:val="22"/>
              </w:rPr>
              <w:t xml:space="preserve">0.6307</w:t>
            </w:r>
          </w:p>
        </w:tc>
        <w:tc>
          <w:tcPr>
            <w:tcW w:type="dxa" w:w="11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Calibri" w:cs="Calibri" w:eastAsia="Calibri" w:hAnsi="Calibri"/>
                <w:sz w:val="22"/>
                <w:szCs w:val="22"/>
              </w:rPr>
              <w:t xml:space="preserve">—</w:t>
            </w:r>
          </w:p>
        </w:tc>
      </w:tr>
    </w:tbl>
    <w:p>
      <w:pPr>
        <w:spacing w:after="200"/>
      </w:pPr>
    </w:p>
    <w:p>
      <w:pPr>
        <w:pStyle w:val="Heading2"/>
        <w:spacing w:after="80" w:before="240"/>
      </w:pPr>
      <w:r>
        <w:rPr>
          <w:rFonts w:ascii="Calibri" w:cs="Calibri" w:eastAsia="Calibri" w:hAnsi="Calibri"/>
          <w:b/>
          <w:bCs/>
        </w:rPr>
        <w:t xml:space="preserve">10.3 Model Comparison</w:t>
      </w:r>
    </w:p>
    <w:p>
      <w:pPr>
        <w:spacing w:after="60" w:before="160"/>
        <w:jc w:val="center"/>
      </w:pPr>
      <w:r>
        <w:drawing>
          <wp:inline distT="0" distB="0" distL="0" distR="0">
            <wp:extent cx="5943600" cy="3476625"/>
            <wp:effectExtent t="0" r="0" b="0" l="0"/>
            <wp:docPr id="1" name="Figure 5: Model performance comparison across AUC, F1, Recall, and Precision on the KKBox temporal holdout." descr="Figure 5: Model performance comparison across AUC, F1, Recall, and Precision on the KKBox temporal holdout." title="Figure 5: Model performance comparison across AUC, F1, Recall, and Precision on the KKBox temporal hold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3476625"/>
                    </a:xfrm>
                    <a:prstGeom prst="rect">
                      <a:avLst/>
                    </a:prstGeom>
                  </pic:spPr>
                </pic:pic>
              </a:graphicData>
            </a:graphic>
          </wp:inline>
        </w:drawing>
      </w:r>
    </w:p>
    <w:p>
      <w:pPr>
        <w:spacing w:after="240" w:before="60" w:line="276" w:lineRule="auto"/>
        <w:jc w:val="center"/>
      </w:pPr>
      <w:r>
        <w:rPr>
          <w:rFonts w:ascii="Calibri" w:cs="Calibri" w:eastAsia="Calibri" w:hAnsi="Calibri"/>
          <w:b w:val="false"/>
          <w:bCs w:val="false"/>
          <w:i/>
          <w:iCs/>
          <w:color w:val="555555"/>
          <w:sz w:val="20"/>
          <w:szCs w:val="20"/>
        </w:rPr>
        <w:t xml:space="preserve">Figure 5: Model performance comparison across AUC, F1, Recall, and Precision on the KKBox temporal holdout.</w:t>
      </w:r>
    </w:p>
    <w:p>
      <w:pPr>
        <w:pStyle w:val="Heading2"/>
        <w:spacing w:after="80" w:before="240"/>
      </w:pPr>
      <w:r>
        <w:rPr>
          <w:rFonts w:ascii="Calibri" w:cs="Calibri" w:eastAsia="Calibri" w:hAnsi="Calibri"/>
          <w:b/>
          <w:bCs/>
        </w:rPr>
        <w:t xml:space="preserve">10.4 ROC Curves</w:t>
      </w:r>
    </w:p>
    <w:p>
      <w:pPr>
        <w:spacing w:after="60" w:before="160"/>
        <w:jc w:val="center"/>
      </w:pPr>
      <w:r>
        <w:drawing>
          <wp:inline distT="0" distB="0" distL="0" distR="0">
            <wp:extent cx="5029200" cy="3838575"/>
            <wp:effectExtent t="0" r="0" b="0" l="0"/>
            <wp:docPr id="1" name="Figure 6: ROC curves for all three models on the temporal holdout test set." descr="Figure 6: ROC curves for all three models on the temporal holdout test set." title="Figure 6: ROC curves for all three models on the temporal holdout test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029200" cy="3838575"/>
                    </a:xfrm>
                    <a:prstGeom prst="rect">
                      <a:avLst/>
                    </a:prstGeom>
                  </pic:spPr>
                </pic:pic>
              </a:graphicData>
            </a:graphic>
          </wp:inline>
        </w:drawing>
      </w:r>
    </w:p>
    <w:p>
      <w:pPr>
        <w:spacing w:after="240" w:before="60" w:line="276" w:lineRule="auto"/>
        <w:jc w:val="center"/>
      </w:pPr>
      <w:r>
        <w:rPr>
          <w:rFonts w:ascii="Calibri" w:cs="Calibri" w:eastAsia="Calibri" w:hAnsi="Calibri"/>
          <w:b w:val="false"/>
          <w:bCs w:val="false"/>
          <w:i/>
          <w:iCs/>
          <w:color w:val="555555"/>
          <w:sz w:val="20"/>
          <w:szCs w:val="20"/>
        </w:rPr>
        <w:t xml:space="preserve">Figure 6: ROC curves for all three models on the temporal holdout test set.</w:t>
      </w:r>
    </w:p>
    <w:p>
      <w:pPr>
        <w:pStyle w:val="Heading2"/>
        <w:spacing w:after="80" w:before="240"/>
      </w:pPr>
      <w:r>
        <w:rPr>
          <w:rFonts w:ascii="Calibri" w:cs="Calibri" w:eastAsia="Calibri" w:hAnsi="Calibri"/>
          <w:b/>
          <w:bCs/>
        </w:rPr>
        <w:t xml:space="preserve">10.5 Prediction Score Distribution</w:t>
      </w:r>
    </w:p>
    <w:p>
      <w:pPr>
        <w:spacing w:after="160" w:before="0" w:line="276" w:lineRule="auto"/>
        <w:jc w:val="both"/>
      </w:pPr>
      <w:r>
        <w:rPr>
          <w:rFonts w:ascii="Calibri" w:cs="Calibri" w:eastAsia="Calibri" w:hAnsi="Calibri"/>
          <w:b w:val="false"/>
          <w:bCs w:val="false"/>
          <w:i w:val="false"/>
          <w:iCs w:val="false"/>
          <w:color w:val="000000"/>
          <w:sz w:val="24"/>
          <w:szCs w:val="24"/>
        </w:rPr>
        <w:t xml:space="preserve">The histogram below shows how LightGBM separates churn and non-churn subscribers in probability space. The clear bimodal separation confirms the model has learned a strong discriminating signal, and the vertical line shows where binary predictions are assigned.</w:t>
      </w:r>
    </w:p>
    <w:p>
      <w:pPr>
        <w:spacing w:after="60" w:before="160"/>
        <w:jc w:val="center"/>
      </w:pPr>
      <w:r>
        <w:drawing>
          <wp:inline distT="0" distB="0" distL="0" distR="0">
            <wp:extent cx="5943600" cy="2743200"/>
            <wp:effectExtent t="0" r="0" b="0" l="0"/>
            <wp:docPr id="1" name="Figure 7: LightGBM predicted probability distribution for churn vs. no-churn subscribers, with the optimal threshold at 0.8226." descr="Figure 7: LightGBM predicted probability distribution for churn vs. no-churn subscribers, with the optimal threshold at 0.8226." title="Figure 7: LightGBM predicted probability distribution for churn vs. no-churn subscribers, with the optimal threshold at 0.8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43600" cy="2743200"/>
                    </a:xfrm>
                    <a:prstGeom prst="rect">
                      <a:avLst/>
                    </a:prstGeom>
                  </pic:spPr>
                </pic:pic>
              </a:graphicData>
            </a:graphic>
          </wp:inline>
        </w:drawing>
      </w:r>
    </w:p>
    <w:p>
      <w:pPr>
        <w:spacing w:after="240" w:before="60" w:line="276" w:lineRule="auto"/>
        <w:jc w:val="center"/>
      </w:pPr>
      <w:r>
        <w:rPr>
          <w:rFonts w:ascii="Calibri" w:cs="Calibri" w:eastAsia="Calibri" w:hAnsi="Calibri"/>
          <w:b w:val="false"/>
          <w:bCs w:val="false"/>
          <w:i/>
          <w:iCs/>
          <w:color w:val="555555"/>
          <w:sz w:val="20"/>
          <w:szCs w:val="20"/>
        </w:rPr>
        <w:t xml:space="preserve">Figure 7: LightGBM predicted probability distribution for churn vs. no-churn subscribers, with the optimal threshold at 0.8226.</w:t>
      </w:r>
    </w:p>
    <w:p>
      <w:pPr>
        <w:pStyle w:val="Heading2"/>
        <w:spacing w:after="80" w:before="240"/>
      </w:pPr>
      <w:r>
        <w:rPr>
          <w:rFonts w:ascii="Calibri" w:cs="Calibri" w:eastAsia="Calibri" w:hAnsi="Calibri"/>
          <w:b/>
          <w:bCs/>
        </w:rPr>
        <w:t xml:space="preserve">10.6 Confusion Matrix</w:t>
      </w:r>
    </w:p>
    <w:p>
      <w:pPr>
        <w:spacing w:after="60" w:before="160"/>
        <w:jc w:val="center"/>
      </w:pPr>
      <w:r>
        <w:drawing>
          <wp:inline distT="0" distB="0" distL="0" distR="0">
            <wp:extent cx="3657600" cy="3105150"/>
            <wp:effectExtent t="0" r="0" b="0" l="0"/>
            <wp:docPr id="1" name="Figure 8: Confusion matrix for LightGBM at the optimal threshold of 0.8226 on the temporal holdout." descr="Figure 8: Confusion matrix for LightGBM at the optimal threshold of 0.8226 on the temporal holdout." title="Figure 8: Confusion matrix for LightGBM at the optimal threshold of 0.8226 on the temporal hold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657600" cy="3105150"/>
                    </a:xfrm>
                    <a:prstGeom prst="rect">
                      <a:avLst/>
                    </a:prstGeom>
                  </pic:spPr>
                </pic:pic>
              </a:graphicData>
            </a:graphic>
          </wp:inline>
        </w:drawing>
      </w:r>
    </w:p>
    <w:p>
      <w:pPr>
        <w:spacing w:after="240" w:before="60" w:line="276" w:lineRule="auto"/>
        <w:jc w:val="center"/>
      </w:pPr>
      <w:r>
        <w:rPr>
          <w:rFonts w:ascii="Calibri" w:cs="Calibri" w:eastAsia="Calibri" w:hAnsi="Calibri"/>
          <w:b w:val="false"/>
          <w:bCs w:val="false"/>
          <w:i/>
          <w:iCs/>
          <w:color w:val="555555"/>
          <w:sz w:val="20"/>
          <w:szCs w:val="20"/>
        </w:rPr>
        <w:t xml:space="preserve">Figure 8: Confusion matrix for LightGBM at the optimal threshold of 0.8226 on the temporal holdout.</w:t>
      </w:r>
    </w:p>
    <w:p>
      <w:pPr>
        <w:pStyle w:val="Heading2"/>
        <w:spacing w:after="80" w:before="240"/>
      </w:pPr>
      <w:r>
        <w:rPr>
          <w:rFonts w:ascii="Calibri" w:cs="Calibri" w:eastAsia="Calibri" w:hAnsi="Calibri"/>
          <w:b/>
          <w:bCs/>
        </w:rPr>
        <w:t xml:space="preserve">10.7 Business Impact Estimation</w:t>
      </w:r>
    </w:p>
    <w:p>
      <w:pPr>
        <w:spacing w:after="160" w:before="0" w:line="276" w:lineRule="auto"/>
        <w:jc w:val="both"/>
      </w:pPr>
      <w:r>
        <w:rPr>
          <w:rFonts w:ascii="Calibri" w:cs="Calibri" w:eastAsia="Calibri" w:hAnsi="Calibri"/>
          <w:b w:val="false"/>
          <w:bCs w:val="false"/>
          <w:i w:val="false"/>
          <w:iCs w:val="false"/>
          <w:color w:val="000000"/>
          <w:sz w:val="24"/>
          <w:szCs w:val="24"/>
        </w:rPr>
        <w:t xml:space="preserve">For a deployment covering 100,000 active subscribers with a 9% churn rate (9,000 actual churners), the model at threshold 0.8226 correctly identifies approximately 7,470 churners (Recall 0.83). Assuming a retention campaign cost of $10 per subscriber and an average customer lifetime value of $150, preventing 50% of flagged churners from leaving yields an estimated net retained revenue of approximately $560,000 after campaign costs, representing a significant return on investment.</w:t>
      </w:r>
    </w:p>
    <w:p>
      <w:r>
        <w:br w:type="page"/>
      </w:r>
    </w:p>
    <w:p>
      <w:pPr>
        <w:pStyle w:val="Heading1"/>
        <w:spacing w:after="120" w:before="360"/>
      </w:pPr>
      <w:r>
        <w:rPr>
          <w:rFonts w:ascii="Calibri" w:cs="Calibri" w:eastAsia="Calibri" w:hAnsi="Calibri"/>
          <w:b/>
          <w:bCs/>
        </w:rPr>
        <w:t xml:space="preserve">11. Discussion</w:t>
      </w:r>
    </w:p>
    <w:p>
      <w:pPr>
        <w:spacing w:after="160" w:before="0" w:line="276" w:lineRule="auto"/>
        <w:jc w:val="both"/>
      </w:pPr>
      <w:r>
        <w:rPr>
          <w:rFonts w:ascii="Calibri" w:cs="Calibri" w:eastAsia="Calibri" w:hAnsi="Calibri"/>
          <w:b w:val="false"/>
          <w:bCs w:val="false"/>
          <w:i w:val="false"/>
          <w:iCs w:val="false"/>
          <w:color w:val="000000"/>
          <w:sz w:val="24"/>
          <w:szCs w:val="24"/>
        </w:rPr>
        <w:t xml:space="preserve">The results of this project demonstrate that a carefully engineered multi-table churn prediction pipeline can achieve strong, competitive performance on both small synthetic and large real-world datasets. Several observations merit discussion.</w:t>
      </w:r>
    </w:p>
    <w:p>
      <w:pPr>
        <w:spacing w:after="160" w:before="0" w:line="276" w:lineRule="auto"/>
        <w:jc w:val="both"/>
      </w:pPr>
      <w:r>
        <w:rPr>
          <w:rFonts w:ascii="Calibri" w:cs="Calibri" w:eastAsia="Calibri" w:hAnsi="Calibri"/>
          <w:b w:val="false"/>
          <w:bCs w:val="false"/>
          <w:i w:val="false"/>
          <w:iCs w:val="false"/>
          <w:color w:val="000000"/>
          <w:sz w:val="24"/>
          <w:szCs w:val="24"/>
        </w:rPr>
        <w:t xml:space="preserve">First, the pipeline generalized well from Phase 1 to Phase 2 despite significant differences in domain (telecom versus music streaming), dataset size (7,043 versus 970,960 subscribers), table schemas, and churn rates (26.5% versus 8.99%). The core methodology required only adaptation, not redesign, validating the claim that the pipeline is domain-agnostic given appropriate feature engineering.</w:t>
      </w:r>
    </w:p>
    <w:p>
      <w:pPr>
        <w:spacing w:after="160" w:before="0" w:line="276" w:lineRule="auto"/>
        <w:jc w:val="both"/>
      </w:pPr>
      <w:r>
        <w:rPr>
          <w:rFonts w:ascii="Calibri" w:cs="Calibri" w:eastAsia="Calibri" w:hAnsi="Calibri"/>
          <w:b w:val="false"/>
          <w:bCs w:val="false"/>
          <w:i w:val="false"/>
          <w:iCs w:val="false"/>
          <w:color w:val="000000"/>
          <w:sz w:val="24"/>
          <w:szCs w:val="24"/>
        </w:rPr>
        <w:t xml:space="preserve">Second, the leakage detection in Phase 2 illustrates a critical and often overlooked aspect of production model development. The initial model with days_until_expiry achieved an AUC of 0.9950, which would have been reported as a strong result in many academic settings but would have failed in production where future expiry data is not available at prediction time. Removing the leaky feature and applying a temporal split produced a more honest AUC of 0.9686 that generalizes to deployment.</w:t>
      </w:r>
    </w:p>
    <w:p>
      <w:pPr>
        <w:spacing w:after="160" w:before="0" w:line="276" w:lineRule="auto"/>
        <w:jc w:val="both"/>
      </w:pPr>
      <w:r>
        <w:rPr>
          <w:rFonts w:ascii="Calibri" w:cs="Calibri" w:eastAsia="Calibri" w:hAnsi="Calibri"/>
          <w:b w:val="false"/>
          <w:bCs w:val="false"/>
          <w:i w:val="false"/>
          <w:iCs w:val="false"/>
          <w:color w:val="000000"/>
          <w:sz w:val="24"/>
          <w:szCs w:val="24"/>
        </w:rPr>
        <w:t xml:space="preserve">Third, the contrast between the default threshold F1 (0.33) and the optimized threshold F1 (0.8191) in Phase 2 demonstrates the importance of threshold calibration for imbalanced datasets. The score distribution plot confirms that the model has learned a strong discriminating signal — without threshold adjustment, those signals would not translate into useful binary predictions.</w:t>
      </w:r>
    </w:p>
    <w:p>
      <w:pPr>
        <w:spacing w:after="160" w:before="0" w:line="276" w:lineRule="auto"/>
        <w:jc w:val="both"/>
      </w:pPr>
      <w:r>
        <w:rPr>
          <w:rFonts w:ascii="Calibri" w:cs="Calibri" w:eastAsia="Calibri" w:hAnsi="Calibri"/>
          <w:b w:val="false"/>
          <w:bCs w:val="false"/>
          <w:i w:val="false"/>
          <w:iCs w:val="false"/>
          <w:color w:val="000000"/>
          <w:sz w:val="24"/>
          <w:szCs w:val="24"/>
        </w:rPr>
        <w:t xml:space="preserve">Fourth, the simultaneous operation of both Docker containers on ports 8000 and 8001 demonstrated that the deployment architecture is modular: new churn models for different business units or products can be deployed as independent containers without interfering with existing services.</w:t>
      </w:r>
    </w:p>
    <w:p>
      <w:r>
        <w:br w:type="page"/>
      </w:r>
    </w:p>
    <w:p>
      <w:pPr>
        <w:pStyle w:val="Heading1"/>
        <w:spacing w:after="120" w:before="360"/>
      </w:pPr>
      <w:r>
        <w:rPr>
          <w:rFonts w:ascii="Calibri" w:cs="Calibri" w:eastAsia="Calibri" w:hAnsi="Calibri"/>
          <w:b/>
          <w:bCs/>
        </w:rPr>
        <w:t xml:space="preserve">12. Limitations</w:t>
      </w:r>
    </w:p>
    <w:p>
      <w:pPr>
        <w:spacing w:after="160" w:before="0" w:line="276" w:lineRule="auto"/>
        <w:jc w:val="both"/>
      </w:pPr>
      <w:r>
        <w:rPr>
          <w:rFonts w:ascii="Calibri" w:cs="Calibri" w:eastAsia="Calibri" w:hAnsi="Calibri"/>
          <w:b w:val="false"/>
          <w:bCs w:val="false"/>
          <w:i w:val="false"/>
          <w:iCs w:val="false"/>
          <w:color w:val="000000"/>
          <w:sz w:val="24"/>
          <w:szCs w:val="24"/>
        </w:rPr>
        <w:t xml:space="preserve">Limitation 1 — Synthetic behavioral data in Phase 1: The transactions, sessions, and support ticket tables for Phase 1 were synthetically generated and cannot fully replicate the complex correlation structures found in real behavioral data. The extremely high recall (0.9972) in Phase 1 likely reflects the statistical regularity of synthetic data rather than a result that would generalize to real telecom subscribers.</w:t>
      </w:r>
    </w:p>
    <w:p>
      <w:pPr>
        <w:spacing w:after="160" w:before="0" w:line="276" w:lineRule="auto"/>
        <w:jc w:val="both"/>
      </w:pPr>
      <w:r>
        <w:rPr>
          <w:rFonts w:ascii="Calibri" w:cs="Calibri" w:eastAsia="Calibri" w:hAnsi="Calibri"/>
          <w:b w:val="false"/>
          <w:bCs w:val="false"/>
          <w:i w:val="false"/>
          <w:iCs w:val="false"/>
          <w:color w:val="000000"/>
          <w:sz w:val="24"/>
          <w:szCs w:val="24"/>
        </w:rPr>
        <w:t xml:space="preserve">Limitation 2 — Temporal scope of KKBox listening data: The user_logs file covers only March 2017, a single month of listening behavior. Subscribers who were active in other months but not March 2017 appear as having zero listening activity, introducing systematic noise in the listening-based features.</w:t>
      </w:r>
    </w:p>
    <w:p>
      <w:pPr>
        <w:spacing w:after="160" w:before="0" w:line="276" w:lineRule="auto"/>
        <w:jc w:val="both"/>
      </w:pPr>
      <w:r>
        <w:rPr>
          <w:rFonts w:ascii="Calibri" w:cs="Calibri" w:eastAsia="Calibri" w:hAnsi="Calibri"/>
          <w:b w:val="false"/>
          <w:bCs w:val="false"/>
          <w:i w:val="false"/>
          <w:iCs w:val="false"/>
          <w:color w:val="000000"/>
          <w:sz w:val="24"/>
          <w:szCs w:val="24"/>
        </w:rPr>
        <w:t xml:space="preserve">Limitation 3 — Rule-based risk driver explanations: The current API provides rule-based risk driver explanations rather than model-specific SHAP values. SHAP would provide exact, subscriber-specific attributions for each prediction, which is important for both trust and actionability in production systems.</w:t>
      </w:r>
    </w:p>
    <w:p>
      <w:pPr>
        <w:spacing w:after="160" w:before="0" w:line="276" w:lineRule="auto"/>
        <w:jc w:val="both"/>
      </w:pPr>
      <w:r>
        <w:rPr>
          <w:rFonts w:ascii="Calibri" w:cs="Calibri" w:eastAsia="Calibri" w:hAnsi="Calibri"/>
          <w:b w:val="false"/>
          <w:bCs w:val="false"/>
          <w:i w:val="false"/>
          <w:iCs w:val="false"/>
          <w:color w:val="000000"/>
          <w:sz w:val="24"/>
          <w:szCs w:val="24"/>
        </w:rPr>
        <w:t xml:space="preserve">Limitation 4 — No model monitoring: The deployed API has no built-in monitoring for data drift, prediction distribution shift, or model degradation over time. In a real production system, periodic retraining with fresh data and automated alerts for performance degradation would be required.</w:t>
      </w:r>
    </w:p>
    <w:p>
      <w:pPr>
        <w:spacing w:after="160" w:before="0" w:line="276" w:lineRule="auto"/>
        <w:jc w:val="both"/>
      </w:pPr>
      <w:r>
        <w:rPr>
          <w:rFonts w:ascii="Calibri" w:cs="Calibri" w:eastAsia="Calibri" w:hAnsi="Calibri"/>
          <w:b w:val="false"/>
          <w:bCs w:val="false"/>
          <w:i w:val="false"/>
          <w:iCs w:val="false"/>
          <w:color w:val="000000"/>
          <w:sz w:val="24"/>
          <w:szCs w:val="24"/>
        </w:rPr>
        <w:t xml:space="preserve">Limitation 5 — Single-environment evaluation: Both phases were developed and evaluated on a single machine (Apple M4 Mac). Production deployment at scale would require evaluation in cloud environments with appropriate load testing and autoscaling.</w:t>
      </w:r>
    </w:p>
    <w:p>
      <w:r>
        <w:br w:type="page"/>
      </w:r>
    </w:p>
    <w:p>
      <w:pPr>
        <w:pStyle w:val="Heading1"/>
        <w:spacing w:after="120" w:before="360"/>
      </w:pPr>
      <w:r>
        <w:rPr>
          <w:rFonts w:ascii="Calibri" w:cs="Calibri" w:eastAsia="Calibri" w:hAnsi="Calibri"/>
          <w:b/>
          <w:bCs/>
        </w:rPr>
        <w:t xml:space="preserve">13. Future Work</w:t>
      </w:r>
    </w:p>
    <w:p>
      <w:pPr>
        <w:spacing w:after="160" w:before="0" w:line="276" w:lineRule="auto"/>
        <w:jc w:val="both"/>
      </w:pPr>
      <w:r>
        <w:rPr>
          <w:rFonts w:ascii="Calibri" w:cs="Calibri" w:eastAsia="Calibri" w:hAnsi="Calibri"/>
          <w:b w:val="false"/>
          <w:bCs w:val="false"/>
          <w:i w:val="false"/>
          <w:iCs w:val="false"/>
          <w:color w:val="000000"/>
          <w:sz w:val="24"/>
          <w:szCs w:val="24"/>
        </w:rPr>
        <w:t xml:space="preserve">SHAP Integration: Replacing rule-based risk driver explanations with SHAP values would provide mathematically rigorous, subscriber-specific feature attributions for every prediction, satisfying regulatory requirements around algorithmic decision-making.</w:t>
      </w:r>
    </w:p>
    <w:p>
      <w:pPr>
        <w:spacing w:after="160" w:before="0" w:line="276" w:lineRule="auto"/>
        <w:jc w:val="both"/>
      </w:pPr>
      <w:r>
        <w:rPr>
          <w:rFonts w:ascii="Calibri" w:cs="Calibri" w:eastAsia="Calibri" w:hAnsi="Calibri"/>
          <w:b w:val="false"/>
          <w:bCs w:val="false"/>
          <w:i w:val="false"/>
          <w:iCs w:val="false"/>
          <w:color w:val="000000"/>
          <w:sz w:val="24"/>
          <w:szCs w:val="24"/>
        </w:rPr>
        <w:t xml:space="preserve">Real-Time Feature Pipeline: A real-time pipeline using Apache Kafka for event streaming and Apache Flink or Spark Streaming for incremental feature computation would enable predictions within seconds of new behavioral events rather than requiring batch preprocessing.</w:t>
      </w:r>
    </w:p>
    <w:p>
      <w:pPr>
        <w:spacing w:after="160" w:before="0" w:line="276" w:lineRule="auto"/>
        <w:jc w:val="both"/>
      </w:pPr>
      <w:r>
        <w:rPr>
          <w:rFonts w:ascii="Calibri" w:cs="Calibri" w:eastAsia="Calibri" w:hAnsi="Calibri"/>
          <w:b w:val="false"/>
          <w:bCs w:val="false"/>
          <w:i w:val="false"/>
          <w:iCs w:val="false"/>
          <w:color w:val="000000"/>
          <w:sz w:val="24"/>
          <w:szCs w:val="24"/>
        </w:rPr>
        <w:t xml:space="preserve">Additional Model Families: Neural network architectures (TabNet, FT-Transformer) and recurrent models (LSTM, GRU) operating on raw sequential transaction and listening histories could capture temporal patterns that feature aggregation misses.</w:t>
      </w:r>
    </w:p>
    <w:p>
      <w:pPr>
        <w:spacing w:after="160" w:before="0" w:line="276" w:lineRule="auto"/>
        <w:jc w:val="both"/>
      </w:pPr>
      <w:r>
        <w:rPr>
          <w:rFonts w:ascii="Calibri" w:cs="Calibri" w:eastAsia="Calibri" w:hAnsi="Calibri"/>
          <w:b w:val="false"/>
          <w:bCs w:val="false"/>
          <w:i w:val="false"/>
          <w:iCs w:val="false"/>
          <w:color w:val="000000"/>
          <w:sz w:val="24"/>
          <w:szCs w:val="24"/>
        </w:rPr>
        <w:t xml:space="preserve">Cloud Deployment and Autoscaling: Deploying Docker containers to a managed Kubernetes cluster (AWS EKS, GCP GKE) with autoscaling policies based on API request volume would make the system production-ready for enterprise use cases.</w:t>
      </w:r>
    </w:p>
    <w:p>
      <w:pPr>
        <w:spacing w:after="160" w:before="0" w:line="276" w:lineRule="auto"/>
        <w:jc w:val="both"/>
      </w:pPr>
      <w:r>
        <w:rPr>
          <w:rFonts w:ascii="Calibri" w:cs="Calibri" w:eastAsia="Calibri" w:hAnsi="Calibri"/>
          <w:b w:val="false"/>
          <w:bCs w:val="false"/>
          <w:i w:val="false"/>
          <w:iCs w:val="false"/>
          <w:color w:val="000000"/>
          <w:sz w:val="24"/>
          <w:szCs w:val="24"/>
        </w:rPr>
        <w:t xml:space="preserve">A/B Testing Framework: Integrating the API with an experimentation framework would allow controlled testing of retention campaigns, measuring the causal impact of predictions on actual churn outcomes.</w:t>
      </w:r>
    </w:p>
    <w:p>
      <w:r>
        <w:br w:type="page"/>
      </w:r>
    </w:p>
    <w:p>
      <w:pPr>
        <w:pStyle w:val="Heading1"/>
        <w:spacing w:after="120" w:before="360"/>
      </w:pPr>
      <w:r>
        <w:rPr>
          <w:rFonts w:ascii="Calibri" w:cs="Calibri" w:eastAsia="Calibri" w:hAnsi="Calibri"/>
          <w:b/>
          <w:bCs/>
        </w:rPr>
        <w:t xml:space="preserve">14. Conclusion</w:t>
      </w:r>
    </w:p>
    <w:p>
      <w:pPr>
        <w:spacing w:after="160" w:before="0" w:line="276" w:lineRule="auto"/>
        <w:jc w:val="both"/>
      </w:pPr>
      <w:r>
        <w:rPr>
          <w:rFonts w:ascii="Calibri" w:cs="Calibri" w:eastAsia="Calibri" w:hAnsi="Calibri"/>
          <w:b w:val="false"/>
          <w:bCs w:val="false"/>
          <w:i w:val="false"/>
          <w:iCs w:val="false"/>
          <w:color w:val="000000"/>
          <w:sz w:val="24"/>
          <w:szCs w:val="24"/>
        </w:rPr>
        <w:t xml:space="preserve">This project presents and validates an end-to-end customer churn prediction system across two distinct phases. Phase 1 established a complete pipeline on the IBM Telco dataset augmented with synthetic behavioral tables, achieving XGBoost AUC of 0.9983 and recall of 0.9972. Phase 2 applied the validated pipeline to the WSDM KKBox Music Streaming dataset, a real-world dataset 130 times larger, requiring chunked data processing, leakage detection, temporal splitting, and threshold optimization. The Phase 2 LightGBM model achieved AUC of 0.9686 and F1 of 0.8191, competitively outperforming top Kaggle leaderboard solutions (0.91 to 0.93 AUC) despite using a more conservative and honest evaluation methodology.</w:t>
      </w:r>
    </w:p>
    <w:p>
      <w:pPr>
        <w:spacing w:after="160" w:before="0" w:line="276" w:lineRule="auto"/>
        <w:jc w:val="both"/>
      </w:pPr>
      <w:r>
        <w:rPr>
          <w:rFonts w:ascii="Calibri" w:cs="Calibri" w:eastAsia="Calibri" w:hAnsi="Calibri"/>
          <w:b w:val="false"/>
          <w:bCs w:val="false"/>
          <w:i w:val="false"/>
          <w:iCs w:val="false"/>
          <w:color w:val="000000"/>
          <w:sz w:val="24"/>
          <w:szCs w:val="24"/>
        </w:rPr>
        <w:t xml:space="preserve">The key contributions of this project are: first, a replicable multi-table feature engineering methodology applicable to any subscription-based domain; second, a demonstration that temporal splitting, leakage detection, and threshold calibration are essential for honest churn model evaluation; third, a production-ready REST API serving predictions with risk tiers and human-readable explanations; and fourth, a validated finding that the pipeline architecture generalizes across domains and scales from thousands to nearly one million subscribers without fundamental redesign.</w:t>
      </w:r>
    </w:p>
    <w:p>
      <w:r>
        <w:br w:type="page"/>
      </w:r>
    </w:p>
    <w:p>
      <w:pPr>
        <w:pStyle w:val="Heading1"/>
        <w:spacing w:after="120" w:before="360"/>
      </w:pPr>
      <w:r>
        <w:rPr>
          <w:rFonts w:ascii="Calibri" w:cs="Calibri" w:eastAsia="Calibri" w:hAnsi="Calibri"/>
          <w:b/>
          <w:bCs/>
        </w:rPr>
        <w:t xml:space="preserve">15. References</w:t>
      </w:r>
    </w:p>
    <w:p>
      <w:pPr>
        <w:spacing w:after="160" w:before="0" w:line="276" w:lineRule="auto"/>
        <w:jc w:val="both"/>
      </w:pPr>
      <w:r>
        <w:rPr>
          <w:rFonts w:ascii="Calibri" w:cs="Calibri" w:eastAsia="Calibri" w:hAnsi="Calibri"/>
          <w:b w:val="false"/>
          <w:bCs w:val="false"/>
          <w:i w:val="false"/>
          <w:iCs w:val="false"/>
          <w:color w:val="000000"/>
          <w:sz w:val="24"/>
          <w:szCs w:val="24"/>
        </w:rPr>
        <w:t xml:space="preserve">[1]  Chawla, N. V., Bowyer, K. W., Hall, L. O., &amp; Kegelmeyer, W. P. (2002). SMOTE: Synthetic minority over-sampling technique. Journal of Artificial Intelligence Research, 16, 321–357.</w:t>
      </w:r>
    </w:p>
    <w:p>
      <w:pPr>
        <w:spacing w:after="160" w:before="0" w:line="276" w:lineRule="auto"/>
        <w:jc w:val="both"/>
      </w:pPr>
      <w:r>
        <w:rPr>
          <w:rFonts w:ascii="Calibri" w:cs="Calibri" w:eastAsia="Calibri" w:hAnsi="Calibri"/>
          <w:b w:val="false"/>
          <w:bCs w:val="false"/>
          <w:i w:val="false"/>
          <w:iCs w:val="false"/>
          <w:color w:val="000000"/>
          <w:sz w:val="24"/>
          <w:szCs w:val="24"/>
        </w:rPr>
        <w:t xml:space="preserve">[2]  Chen, T., &amp; Guestrin, C. (2016). XGBoost: A scalable tree boosting system. Proceedings of the 22nd ACM SIGKDD International Conference on Knowledge Discovery and Data Mining, 785–794.</w:t>
      </w:r>
    </w:p>
    <w:p>
      <w:pPr>
        <w:spacing w:after="160" w:before="0" w:line="276" w:lineRule="auto"/>
        <w:jc w:val="both"/>
      </w:pPr>
      <w:r>
        <w:rPr>
          <w:rFonts w:ascii="Calibri" w:cs="Calibri" w:eastAsia="Calibri" w:hAnsi="Calibri"/>
          <w:b w:val="false"/>
          <w:bCs w:val="false"/>
          <w:i w:val="false"/>
          <w:iCs w:val="false"/>
          <w:color w:val="000000"/>
          <w:sz w:val="24"/>
          <w:szCs w:val="24"/>
        </w:rPr>
        <w:t xml:space="preserve">[3]  Grinsztajn, L., Oyallon, E., &amp; Varoquaux, G. (2022). Why tree-based models still outperform deep learning on tabular data. Advances in Neural Information Processing Systems (NeurIPS).</w:t>
      </w:r>
    </w:p>
    <w:p>
      <w:pPr>
        <w:spacing w:after="160" w:before="0" w:line="276" w:lineRule="auto"/>
        <w:jc w:val="both"/>
      </w:pPr>
      <w:r>
        <w:rPr>
          <w:rFonts w:ascii="Calibri" w:cs="Calibri" w:eastAsia="Calibri" w:hAnsi="Calibri"/>
          <w:b w:val="false"/>
          <w:bCs w:val="false"/>
          <w:i w:val="false"/>
          <w:iCs w:val="false"/>
          <w:color w:val="000000"/>
          <w:sz w:val="24"/>
          <w:szCs w:val="24"/>
        </w:rPr>
        <w:t xml:space="preserve">[4]  He, H., &amp; Garcia, E. A. (2009). Learning from imbalanced data. IEEE Transactions on Knowledge and Data Engineering, 21(9), 1263–1284.</w:t>
      </w:r>
    </w:p>
    <w:p>
      <w:pPr>
        <w:spacing w:after="160" w:before="0" w:line="276" w:lineRule="auto"/>
        <w:jc w:val="both"/>
      </w:pPr>
      <w:r>
        <w:rPr>
          <w:rFonts w:ascii="Calibri" w:cs="Calibri" w:eastAsia="Calibri" w:hAnsi="Calibri"/>
          <w:b w:val="false"/>
          <w:bCs w:val="false"/>
          <w:i w:val="false"/>
          <w:iCs w:val="false"/>
          <w:color w:val="000000"/>
          <w:sz w:val="24"/>
          <w:szCs w:val="24"/>
        </w:rPr>
        <w:t xml:space="preserve">[5]  IBM. (2019). IBM Telco Customer Churn Dataset. Kaggle. https://www.kaggle.com/datasets/blastchar/telco-customer-churn</w:t>
      </w:r>
    </w:p>
    <w:p>
      <w:pPr>
        <w:spacing w:after="160" w:before="0" w:line="276" w:lineRule="auto"/>
        <w:jc w:val="both"/>
      </w:pPr>
      <w:r>
        <w:rPr>
          <w:rFonts w:ascii="Calibri" w:cs="Calibri" w:eastAsia="Calibri" w:hAnsi="Calibri"/>
          <w:b w:val="false"/>
          <w:bCs w:val="false"/>
          <w:i w:val="false"/>
          <w:iCs w:val="false"/>
          <w:color w:val="000000"/>
          <w:sz w:val="24"/>
          <w:szCs w:val="24"/>
        </w:rPr>
        <w:t xml:space="preserve">[6]  Ke, G., Meng, Q., Finley, T., Wang, T., Chen, W., Ma, W., Ye, Q., &amp; Liu, T. Y. (2017). LightGBM: A highly efficient gradient boosting decision tree. Advances in Neural Information Processing Systems (NeurIPS), 30.</w:t>
      </w:r>
    </w:p>
    <w:p>
      <w:pPr>
        <w:spacing w:after="160" w:before="0" w:line="276" w:lineRule="auto"/>
        <w:jc w:val="both"/>
      </w:pPr>
      <w:r>
        <w:rPr>
          <w:rFonts w:ascii="Calibri" w:cs="Calibri" w:eastAsia="Calibri" w:hAnsi="Calibri"/>
          <w:b w:val="false"/>
          <w:bCs w:val="false"/>
          <w:i w:val="false"/>
          <w:iCs w:val="false"/>
          <w:color w:val="000000"/>
          <w:sz w:val="24"/>
          <w:szCs w:val="24"/>
        </w:rPr>
        <w:t xml:space="preserve">[7]  KKBox. (2017). WSDM - KKBox's Churn Prediction Challenge. Kaggle. https://www.kaggle.com/competitions/kkbox-churn-prediction-challenge</w:t>
      </w:r>
    </w:p>
    <w:p>
      <w:pPr>
        <w:spacing w:after="160" w:before="0" w:line="276" w:lineRule="auto"/>
        <w:jc w:val="both"/>
      </w:pPr>
      <w:r>
        <w:rPr>
          <w:rFonts w:ascii="Calibri" w:cs="Calibri" w:eastAsia="Calibri" w:hAnsi="Calibri"/>
          <w:b w:val="false"/>
          <w:bCs w:val="false"/>
          <w:i w:val="false"/>
          <w:iCs w:val="false"/>
          <w:color w:val="000000"/>
          <w:sz w:val="24"/>
          <w:szCs w:val="24"/>
        </w:rPr>
        <w:t xml:space="preserve">[8]  Verbeke, W., Dejaeger, K., Martens, D., Hur, J., &amp; Baesens, B. (2012). New insights into churn prediction in the telecommunication sector. European Journal of Operational Research, 218(1), 211–229.</w:t>
      </w:r>
    </w:p>
    <w:p>
      <w:pPr>
        <w:spacing w:after="160" w:before="0" w:line="276" w:lineRule="auto"/>
        <w:jc w:val="both"/>
      </w:pPr>
      <w:r>
        <w:rPr>
          <w:rFonts w:ascii="Calibri" w:cs="Calibri" w:eastAsia="Calibri" w:hAnsi="Calibri"/>
          <w:b w:val="false"/>
          <w:bCs w:val="false"/>
          <w:i w:val="false"/>
          <w:iCs w:val="false"/>
          <w:color w:val="000000"/>
          <w:sz w:val="24"/>
          <w:szCs w:val="24"/>
        </w:rPr>
        <w:t xml:space="preserve">[9]  FastAPI Documentation. (2024). FastAPI: Modern, fast web framework. https://fastapi.tiangolo.com</w:t>
      </w:r>
    </w:p>
    <w:p>
      <w:pPr>
        <w:spacing w:after="160" w:before="0" w:line="276" w:lineRule="auto"/>
        <w:jc w:val="both"/>
      </w:pPr>
      <w:r>
        <w:rPr>
          <w:rFonts w:ascii="Calibri" w:cs="Calibri" w:eastAsia="Calibri" w:hAnsi="Calibri"/>
          <w:b w:val="false"/>
          <w:bCs w:val="false"/>
          <w:i w:val="false"/>
          <w:iCs w:val="false"/>
          <w:color w:val="000000"/>
          <w:sz w:val="24"/>
          <w:szCs w:val="24"/>
        </w:rPr>
        <w:t xml:space="preserve">[10] MLflow Documentation. (2024). MLflow: A platform for the ML lifecycle. https://mlflow.org/docs/latest</w:t>
      </w:r>
    </w:p>
    <w:p>
      <w:pPr>
        <w:spacing w:after="160" w:before="0" w:line="276" w:lineRule="auto"/>
        <w:jc w:val="both"/>
      </w:pPr>
      <w:r>
        <w:rPr>
          <w:rFonts w:ascii="Calibri" w:cs="Calibri" w:eastAsia="Calibri" w:hAnsi="Calibri"/>
          <w:b w:val="false"/>
          <w:bCs w:val="false"/>
          <w:i w:val="false"/>
          <w:iCs w:val="false"/>
          <w:color w:val="000000"/>
          <w:sz w:val="24"/>
          <w:szCs w:val="24"/>
        </w:rPr>
        <w:t xml:space="preserve">[11] Docker Documentation. (2024). Docker: Accelerated container application development. https://docs.docker.com</w:t>
      </w:r>
    </w:p>
    <w:sectPr>
      <w:headerReference w:type="default" r:id="rId9"/>
      <w:footerReference w:type="default" r:id="rId10"/>
      <w:pgSz w:w="12240" w:h="15840"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666666"/>
        <w:sz w:val="20"/>
        <w:szCs w:val="20"/>
      </w:rPr>
      <w:t xml:space="preserve">Page </w:t>
    </w:r>
    <w:r>
      <w:rPr>
        <w:rFonts w:ascii="Calibri" w:cs="Calibri" w:eastAsia="Calibri" w:hAnsi="Calibri"/>
        <w:color w:val="666666"/>
        <w:sz w:val="20"/>
        <w:szCs w:val="20"/>
      </w:rPr>
      <w:fldChar w:fldCharType="begin"/>
      <w:instrText xml:space="preserve">PAGE</w:instrText>
      <w:fldChar w:fldCharType="separate"/>
      <w:fldChar w:fldCharType="end"/>
    </w:r>
    <w:r>
      <w:rPr>
        <w:rFonts w:ascii="Calibri" w:cs="Calibri" w:eastAsia="Calibri" w:hAnsi="Calibri"/>
        <w:color w:val="666666"/>
        <w:sz w:val="20"/>
        <w:szCs w:val="20"/>
      </w:rPr>
      <w:t xml:space="preserve">  |  Siddharth Munagala  |  UMass Dartmouth</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Calibri" w:cs="Calibri" w:eastAsia="Calibri" w:hAnsi="Calibri"/>
        <w:i/>
        <w:iCs/>
        <w:color w:val="888888"/>
        <w:sz w:val="18"/>
        <w:szCs w:val="18"/>
      </w:rPr>
      <w:t xml:space="preserve">Multi-Table Customer Churn Prediction  |  DSC 500 Capstone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80" w:before="240"/>
      <w:outlineLvl w:val="1"/>
    </w:pPr>
    <w:rPr>
      <w:rFonts w:ascii="Calibri" w:cs="Calibri" w:eastAsia="Calibri" w:hAnsi="Calibri"/>
      <w:b/>
      <w:bCs/>
      <w:color w:val="2F5597"/>
      <w:sz w:val="26"/>
      <w:szCs w:val="26"/>
    </w:rPr>
  </w:style>
  <w:style w:type="paragraph" w:styleId="Heading3">
    <w:name w:val="Heading 3"/>
    <w:basedOn w:val="Normal"/>
    <w:next w:val="Normal"/>
    <w:qFormat/>
    <w:pPr>
      <w:spacing w:after="60" w:before="160"/>
      <w:outlineLvl w:val="2"/>
    </w:pPr>
    <w:rPr>
      <w:rFonts w:ascii="Calibri" w:cs="Calibri" w:eastAsia="Calibri" w:hAnsi="Calibri"/>
      <w:b/>
      <w:bCs/>
      <w:i/>
      <w:iCs/>
      <w:color w:val="2F559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1ea34a1a42787f83d06b2fa9de2d4a56fec393a8.png"/><Relationship Id="rId12" Type="http://schemas.openxmlformats.org/officeDocument/2006/relationships/image" Target="media/ceb8af3f5e3b4d1e01d64083655e68a3c7189d60.png"/><Relationship Id="rId13" Type="http://schemas.openxmlformats.org/officeDocument/2006/relationships/image" Target="media/b5dc70ca10e24c9810c986b2a7117e950fa088f3.png"/><Relationship Id="rId14" Type="http://schemas.openxmlformats.org/officeDocument/2006/relationships/image" Target="media/e426ea4dbb2b3bc5a6f2bee4adbf039597f19dbe.png"/><Relationship Id="rId15" Type="http://schemas.openxmlformats.org/officeDocument/2006/relationships/image" Target="media/a6565511e638bacabc5b5f9a233ffdc5bf354632.png"/><Relationship Id="rId16" Type="http://schemas.openxmlformats.org/officeDocument/2006/relationships/image" Target="media/3bf773b192753d066792817801983da3134ea378.png"/><Relationship Id="rId17" Type="http://schemas.openxmlformats.org/officeDocument/2006/relationships/image" Target="media/83aa65bc03d5af633d48038837377e515627bd5e.png"/><Relationship Id="rId18" Type="http://schemas.openxmlformats.org/officeDocument/2006/relationships/image" Target="media/6e82021a98df3337a10d986fb9682216bafddb1f.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2026-04-22T23:35:10.985Z</dcterms:created>
  <dcterms:modified xsi:type="dcterms:W3CDTF">2026-04-22T23:35:10.985Z</dcterms:modified>
</cp:coreProperties>
</file>

<file path=docProps/custom.xml><?xml version="1.0" encoding="utf-8"?>
<Properties xmlns="http://schemas.openxmlformats.org/officeDocument/2006/custom-properties" xmlns:vt="http://schemas.openxmlformats.org/officeDocument/2006/docPropsVTypes"/>
</file>