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6"/>
        </w:rPr>
        <w:t>SUPERADMIN OPERATIONS GUIDE</w:t>
      </w:r>
    </w:p>
    <w:p>
      <w:pPr>
        <w:spacing w:after="320"/>
      </w:pPr>
      <w:r>
        <w:rPr>
          <w:rFonts w:ascii="Calibri" w:hAnsi="Calibri"/>
          <w:color w:val="595959"/>
          <w:sz w:val="26"/>
        </w:rPr>
        <w:t>What is live today, what is intentionally unavailable, and how to activate trustworthy operational data.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Audience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Platform owner, engineering lead, and operations team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Billing mode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Free trials only. No invoice, charge, MRR, ARPU, churn, or payment reporting is enabled.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Access rule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1"/>
              </w:rPr>
              <w:t>An institute must be active and have a valid trial or active paid entitlement before protected APIs are available.</w:t>
            </w:r>
          </w:p>
        </w:tc>
      </w:tr>
    </w:tbl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1. Operating principle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The panel must never turn unavailable telemetry into a plausible number. A card is either backed by an identified source of truth, explicitly marked unavailable, or not shown. This guide is the release checklist for moving an unavailable item into live operation.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Live means: the data is persisted, the calculation is defined, the source is monitored, and an owner is accountable.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Unavailable means: no synthetic values, no assumed percentages, and no operational decision should be made from the panel.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Billing remains deliberately disabled. The entitlement service supports paid plans later without opening access by default.</w:t>
      </w: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2. Current source-of-truth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Current state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Operator action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Institutes and students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Live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Read from institutes, users, batches, and batch_students. Use server-side pagination once the tenant count grows.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Question bank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Live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Global uploads are atomic through the database RPC. Paper metadata edits and bulk actions use dedicated global-paper APIs.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Support and audit logs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Live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Support tickets are persisted. Privileged question-bank and institute actions are written to audit_logs.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Trial entitlement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Live after migration 15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Auth middleware checks the institute status plus a valid trial or active plan on every protected request.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Platform uptime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Unavailable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The API can report that it served the current request, but availability percentage requires an external monitor and a retained history.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R2 storage and CDN health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Unavailable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Configuration presence is not a health check. Add provider probes and provider metrics before showing health values.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AI usage and completion rate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Unavailable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Add durable usage and lifecycle events before enabling these analytics.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Revenue analytics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Unavailable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Enable only after a payment provider, invoice lifecycle, and subscription ledger are in place.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Runtime configuration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Unavailable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The configuration UI is intentionally non-operative until settings have typed runtime consumers and a safe rollout mechanism.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3. Trial-only entitlement workflow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This is the intended behavior during the free-trial phase. It prevents a tenant from retaining API access just because its institute row exists.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Provision an institute with a trial duration from 1 to 24 months. The service creates a subscription record with plan_tier=trial and status=trialing.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Authentication verifies: user profile -&gt; active institute -&gt; valid entitlement. Expired trials return SUBSCRIPTION_REQUIRED. Suspended institutes return INSTITUTE_SUSPENDED.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Do not create trials lazily from a read endpoint. Every entitlement must originate from the provisioning or future billing workflow.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Before billing launches, a paid plan can be granted manually only by creating an active subscription record with a non-free plan_tier. Record the operator action in audit_logs.</w:t>
      </w:r>
    </w:p>
    <w:p>
      <w:pPr>
        <w:spacing w:before="0" w:after="200" w:line="300" w:lineRule="auto"/>
      </w:pPr>
      <w:r>
        <w:rPr>
          <w:rFonts w:ascii="Calibri" w:hAnsi="Calibri"/>
          <w:b/>
          <w:color w:val="1F4D78"/>
          <w:sz w:val="22"/>
        </w:rPr>
        <w:t>Migration requirement: run 15_superadmin_entitlements_and_global_content.sql after migrations 10 and 14. Validate with one active trial, one expired trial, one suspended institute, and one global user with no institute.</w:t>
      </w: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4. How to activate trustworthy uptime and health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Current API reachability is not uptime. Use an external synthetic monitor so outages can be detected even when the API itself is unavailable.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a public, dependency-aware health endpoint. It should expose separate API, database, Redis/queue, and worker readiness states; never return secrets or tenant data.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Probe the endpoint from at least three regions every 60 seconds using Better Uptime, UptimeRobot, Grafana Cloud, Datadog, or Cloudflare Health Checks.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Send probe results to an observability store. Calculate 7-day and 30-day uptime from the stored probe history, not from process uptime.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For R2, emit upload success/failure/latency counters and run a safe bucket List/Head probe with a dedicated health object. For CDN, use Cloudflare Analytics or edge request metrics.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Expose an internal telemetry aggregation API that reads those metrics. The superadmin UI should show Unknown when the monitor is silent or stale.</w:t>
      </w: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5. How to activate AI and learning analytics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AI and completion KPIs require events, not estimates. Create a platform_usage_events table or send equivalent events to an analytics warehouse.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Area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Current state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Operator action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AI token usage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Record provider, model, prompt_tokens, completion_tokens, cost, institute_id, user_id, feature, timestamp.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Aggregate by month and institute. Retain raw events for reconciliation.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Completion rate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Record attempt_started, attempt_submitted, attempt_expired with paper_id, institute_id, and timestamps.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Define denominator explicitly: started attempts within a period, excluding invalidated attempts.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Top institutes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Use distinct active student enrollment and scoped submitted attempts.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Rank on an explicit period and display the selected metric in the label.</w:t>
            </w:r>
          </w:p>
        </w:tc>
      </w:tr>
      <w:tr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Booster/generated tests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Record a test_generated event only after the generated paper is persisted.</w:t>
            </w:r>
          </w:p>
        </w:tc>
        <w:tc>
          <w:tcPr>
            <w:tcW w:type="dxa" w:w="3120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Count successful persisted items; never count requests that failed or were discarded.</w:t>
            </w:r>
          </w:p>
        </w:tc>
      </w:tr>
    </w:tbl>
    <w:p>
      <w:pPr>
        <w:spacing w:after="40"/>
      </w:pP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6. Future billing activation checklist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Do not turn on revenue cards merely because invoices can be inserted manually. Billing needs an independently reconcilable ledger.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Select a provider (for example Razorpay) and verify webhook signatures. Store provider event IDs with a unique constraint for idempotency.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subscription, invoice, payment, refund, and entitlement records. Keep monetary amounts as integer paise, not floating-point values.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Update entitlement only from verified payment/subscription events. Keep a grace-period policy explicit and test expiry, refund, cancellation, and duplicate webhooks.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Define MRR, collected revenue, ARPU, churn, and YTD revenue in writing. Each dashboard value must link to one query and a fixed reporting period.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Enable CSV export only after it includes a permission check, date filters, pagination, audit logging, and a safe download format.</w:t>
      </w: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7. Runtime configuration activation checklist</w:t>
      </w:r>
    </w:p>
    <w:p>
      <w:pPr>
        <w:spacing w:before="0" w:after="120" w:line="300" w:lineRule="auto"/>
      </w:pPr>
      <w:r>
        <w:rPr>
          <w:rFonts w:ascii="Calibri" w:hAnsi="Calibri"/>
          <w:b w:val="0"/>
          <w:sz w:val="22"/>
        </w:rPr>
        <w:t>Feature flags and infrastructure limits should remain disabled until they change real runtime behavior safely.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Define a typed setting schema with allowed values, defaults, validation, owner, rollout scope, and rollback instructions.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Use a cached server-side configuration provider with a short TTL and an explicit invalidation path. Do not query system_settings on every request.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Implement maintenance mode in middleware plus a safe allowlist for superadmins, health checks, and logout. Add a clear maintenance page and audit every change.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Implement each limit where it is enforced: upload size in multer, session timeout in auth/session expiry, concurrency at the edge or queue, and OMR rate in the job queue.</w:t>
      </w:r>
    </w:p>
    <w:p>
      <w:pPr>
        <w:keepNext/>
        <w:spacing w:before="360" w:after="200"/>
      </w:pPr>
      <w:r>
        <w:rPr>
          <w:rFonts w:ascii="Calibri" w:hAnsi="Calibri"/>
          <w:b/>
          <w:color w:val="2E74B5"/>
          <w:sz w:val="32"/>
        </w:rPr>
        <w:t>8. Release verification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Run the database migrations, then run API and web production builds.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Create an institute with a one-month trial; confirm its staff and students can use protected APIs.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Expire its subscription in a test environment; confirm protected APIs return SUBSCRIPTION_REQUIRED while the superadmin can still manage the tenant.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Upload a valid global question paper, then force a failing upload in staging; confirm the failure creates neither a paper nor orphan question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Edit and bulk-edit global papers; confirm only public-practice papers are selectable and audit entries are produced.</w:t>
      </w:r>
    </w:p>
    <w:p>
      <w:pPr>
        <w:pStyle w:val="ListBullet"/>
        <w:spacing w:after="80" w:line="300" w:lineRule="auto"/>
      </w:pPr>
      <w:r>
        <w:rPr>
          <w:rFonts w:ascii="Calibri" w:hAnsi="Calibri"/>
          <w:sz w:val="22"/>
        </w:rPr>
        <w:t>Confirm analytics, revenue, uptime, storage, CDN, and AI cards show unavailable language until their corresponding data pipelines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Internal operating guide - update after each infrastructure change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Classphere | Superadmin Operations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Classphere Superadmin Operations Guide</dc:title>
  <dc:subject>Operational activation and entitlement guide</dc:subject>
  <dc:creator>Classphere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