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TRAXIS MANUFACTURING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Machine Utilization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Mon, Feb 2, 2026 — Wed, Feb 4, 2026</w:t>
      </w:r>
    </w:p>
    <w:p>
      <w:pPr>
        <w:pBdr>
          <w:bottom w:val="single" w:color="1B3A5C" w:sz="2"/>
        </w:pBdr>
        <w:spacing w:after="30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During the reporting period (3 working days), 4 of 5 monitored CNC machines were active. The shop achieved an average utilization of 15% across active machines (based on actual cutting time — spindle warmup and air spinning are excluded). Machines logged 17.3 cutting hours and 61.4 spindle-only hours out of 116 available hours during shift time (6:00 - 19:00).</w:t>
      </w:r>
    </w:p>
    <w:p>
      <w:pPr>
        <w:spacing w:before="120" w:after="12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400"/>
        <w:gridCol w:w="13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Shop Utilization: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Active Machines: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 of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Hours Cutting: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17.3h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Hours Running: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78.7h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Hours Available: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116h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Active Machines: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 of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Green Target: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70%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Warning Below: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50%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</w:pPr>
      <w:r>
        <w:t xml:space="preserve">Utilization by Machine</w:t>
      </w:r>
    </w:p>
    <w:p>
      <w:pPr>
        <w:spacing w:after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utilization_bar" descr="Bar chart showing utilization percentage per machine" title="Utilization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Detailed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100"/>
        <w:gridCol w:w="1100"/>
        <w:gridCol w:w="1100"/>
        <w:gridCol w:w="1100"/>
        <w:gridCol w:w="1100"/>
        <w:gridCol w:w="175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Spindle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FANUC Mill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CAF9"/>
                <w:sz w:val="20"/>
                <w:szCs w:val="20"/>
              </w:rPr>
              <w:t xml:space="preserve">43.2%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12.8h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29h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❌ 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FANUC Mill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CAF9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29h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— Offline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FANUC Mill 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24.2%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CAF9"/>
                <w:sz w:val="20"/>
                <w:szCs w:val="20"/>
              </w:rPr>
              <w:t xml:space="preserve">30.7%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54.9%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15.9h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29h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❌ 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FANUC Mill 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32.5%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CAF9"/>
                <w:sz w:val="20"/>
                <w:szCs w:val="20"/>
              </w:rPr>
              <w:t xml:space="preserve">61.1%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93.6%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27.1h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29h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❌ 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YCM NTC1600LY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CAF9"/>
                <w:sz w:val="20"/>
                <w:szCs w:val="20"/>
              </w:rPr>
              <w:t xml:space="preserve">76.3%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78.8%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22.9h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29h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❌ Critical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</w:pPr>
      <w:r>
        <w:t xml:space="preserve">Daily Utilization Trend</w:t>
      </w:r>
    </w:p>
    <w:p>
      <w:pPr>
        <w:spacing w:after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utilization_trend" descr="Line chart showing daily utilization trend per machine" title="Daily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Daily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1940"/>
        <w:gridCol w:w="1940"/>
        <w:gridCol w:w="19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M8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Mon, 2/2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0% / 0%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0% / 0%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39.2% / 86%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2.2% / 64.2%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Tue, 2/3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1.8% / 75.1%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46.5% / 99.5%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33.2% / 100%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3.5% / 99.4%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Wed, 2/4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0% / 100%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32.2% / 100%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0% / 98.9%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0% / 52.8%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</w:pPr>
      <w:r>
        <w:t xml:space="preserve">Running vs. Idle Hours</w:t>
      </w:r>
    </w:p>
    <w:p>
      <w:pPr>
        <w:spacing w:after="2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hours_breakdown" descr="Stacked bar showing running vs idle hours" title="Hours Break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Notes &amp; Methodology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collected via FOCAS2 protocol, polling each machine every 60 seconds from collector PC (WrkStationC).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Utilization is defined as the percentage of shift-hour samples where the machine spindle speed &gt; 0 or run status = STRT/MSTR.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Shift hours: 6:00 - 19:00, Monday through Friday.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M3 (FANUC Mill 3) is currently offline due to a failed Ethernet adapter. A USB-to-Ethernet replacement is on order.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Machines M4, M5, and M7 (Robodrills) are not yet connected to the monitoring network.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M1 (Haas Classic) uses a proprietary protocol and is not FOCAS-compatible.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Generated 2/4/2026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Traxis Manufacturing — FASData Utilization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dd8fbe2885e0fc2dee51c96a8dd3abdc3e49344.png"/><Relationship Id="rId9" Type="http://schemas.openxmlformats.org/officeDocument/2006/relationships/image" Target="media/c70f7a662fa7a220f3207d389858d8411b7107eb.png"/><Relationship Id="rId10" Type="http://schemas.openxmlformats.org/officeDocument/2006/relationships/image" Target="media/132554ad8c9abf12e42a7fcc281b076e4b731221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2026-02-04T15:44:20.274Z</dcterms:created>
  <dcterms:modified xsi:type="dcterms:W3CDTF">2026-02-04T15:44:20.274Z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