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rFonts w:ascii="Calibri" w:cs="Calibri" w:eastAsia="Calibri" w:hAnsi="Calibri"/>
          <w:b/>
          <w:bCs/>
          <w:color w:val="0B2545"/>
          <w:sz w:val="64"/>
          <w:szCs w:val="64"/>
        </w:rPr>
        <w:t xml:space="preserve">Consentia</w:t>
      </w:r>
    </w:p>
    <w:p>
      <w:pPr>
        <w:spacing w:after="60"/>
      </w:pPr>
      <w:r>
        <w:rPr>
          <w:rFonts w:ascii="Calibri" w:cs="Calibri" w:eastAsia="Calibri" w:hAnsi="Calibri"/>
          <w:color w:val="1B5FD1"/>
          <w:sz w:val="36"/>
          <w:szCs w:val="36"/>
        </w:rPr>
        <w:t xml:space="preserve">Functional Specification — v2.0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55606E"/>
          <w:sz w:val="22"/>
          <w:szCs w:val="22"/>
        </w:rPr>
        <w:t xml:space="preserve">What the platform must do — precisely enough to build from, plainly enough to read.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Document</w:t>
            </w:r>
          </w:p>
        </w:tc>
        <w:tc>
          <w:tcPr>
            <w:tcW w:type="dxa" w:w="7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Functional Specification — Consentia Consent Management Platform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2.0 · supersedes v1.0</w:t>
            </w:r>
          </w:p>
        </w:tc>
      </w:tr>
      <w:tr>
        <w:tc>
          <w:tcPr>
            <w:tcW w:type="dxa" w:w="20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July 2026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Scope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21 modules across 6 groups, as built in prototype v2</w:t>
            </w:r>
          </w:p>
        </w:tc>
      </w:tr>
      <w:tr>
        <w:tc>
          <w:tcPr>
            <w:tcW w:type="dxa" w:w="20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Audience</w:t>
            </w:r>
          </w:p>
        </w:tc>
        <w:tc>
          <w:tcPr>
            <w:tcW w:type="dxa" w:w="7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Development team, technical co-founder, design-partner bank's IT reviewers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Companions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Architecture v2.0 (how) · Feature Addendum (P0 gap fixes) · Iteration Model (when)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/>
      </w:r>
    </w:p>
    <w:tbl>
      <w:tblPr>
        <w:tblW w:type="pct" w:w="100%"/>
        <w:tblBorders>
          <w:top w:val="single" w:color="FBF6EC" w:sz="1"/>
          <w:left w:val="single" w:color="B7791F" w:sz="26"/>
          <w:bottom w:val="single" w:color="FBF6EC" w:sz="1"/>
          <w:right w:val="single" w:color="FBF6EC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6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What changed since v1.0 — read this first.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Three material changes: (1)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DPDP Readiness has been removed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from the platform — that capability now lives in the separate DPDP Assessment application. (2) Two new modules were added: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Consent Drives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Consent Health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. (3) Three new presentation surfaces were added over existing data: the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Permission Grid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, the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radial fan-out map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, and the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consent lifespan ribbon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. Sections 3 and 4 below are the current source of truth; v1.0 should be archived, not merged.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545"/>
          <w:sz w:val="29"/>
          <w:szCs w:val="29"/>
        </w:rPr>
        <w:t xml:space="preserve">1 · Purpose &amp; scope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Purpose.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Consentia is an enterprise consent management and enforcement platform for data fiduciaries under India's DPDP regime. It captures customer consent across channels, stores it as tamper-evident evidence, enforces it in real time before any system processes personal data, propagates changes to every connected system, automates data-principal rights, and produces regulator-grade proof.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The one line every requirement serves:  </w:t>
      </w:r>
      <w:r>
        <w:rPr>
          <w:rFonts w:ascii="Calibri" w:cs="Calibri" w:eastAsia="Calibri" w:hAnsi="Calibri"/>
          <w:i/>
          <w:iCs/>
          <w:color w:val="55606E"/>
          <w:sz w:val="21"/>
          <w:szCs w:val="21"/>
        </w:rPr>
        <w:t xml:space="preserve">the layer between what customers agreed to and what systems actually do — and the evidence that they matched.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All 21 modules in the six sidebar groups (§4), the system-wide invariants (§3), NFRs, the core data model and the external API surface.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Explicitly out of scope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Organisational readiness scoring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removed from this platform; delivered by the separate DPDP Assessment application.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Registered Consent Manager (the licensed intermediary role)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the data model must not preclude it, but nothing here builds it.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Cookie / web-tracker scanning, employee-data processing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refused per the Feature Addendum, Part C.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Concrete connector implementations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the framework is in scope; each connector gets its own integration spec with the client.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545"/>
          <w:sz w:val="29"/>
          <w:szCs w:val="29"/>
        </w:rPr>
        <w:t xml:space="preserve">2 · Actors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7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may do</w:t>
            </w:r>
          </w:p>
        </w:tc>
      </w:tr>
      <w:tr>
        <w:tc>
          <w:tcPr>
            <w:tcW w:type="dxa" w:w="2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Data Principal (customer)</w:t>
            </w:r>
          </w:p>
        </w:tc>
        <w:tc>
          <w:tcPr>
            <w:tcW w:type="dxa" w:w="7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Grant/withdraw consent via the Preference Center or any capture channel; raise rights requests; view their own history. Never logs into the admin product.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DPO / Compliance Officer</w:t>
            </w:r>
          </w:p>
        </w:tc>
        <w:tc>
          <w:tcPr>
            <w:tcW w:type="dxa" w:w="7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Full read; manage drives, workflows, policies, DSRs, breach response; sign regulator submissions.</w:t>
            </w:r>
          </w:p>
        </w:tc>
      </w:tr>
      <w:tr>
        <w:tc>
          <w:tcPr>
            <w:tcW w:type="dxa" w:w="2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Compliance Analyst</w:t>
            </w:r>
          </w:p>
        </w:tc>
        <w:tc>
          <w:tcPr>
            <w:tcW w:type="dxa" w:w="7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Work the queues (DSRs, DLQ, alerts); run captures and drives; no policy changes.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7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Connectors, users/roles, retention rules, deployment settings. Cannot edit consent history.</w:t>
            </w:r>
          </w:p>
        </w:tc>
      </w:tr>
      <w:tr>
        <w:tc>
          <w:tcPr>
            <w:tcW w:type="dxa" w:w="2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Auditor (external)</w:t>
            </w:r>
          </w:p>
        </w:tc>
        <w:tc>
          <w:tcPr>
            <w:tcW w:type="dxa" w:w="7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Read-only workspace, PII masked, chain verification, scoped export.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Developer (client's)</w:t>
            </w:r>
          </w:p>
        </w:tc>
        <w:tc>
          <w:tcPr>
            <w:tcW w:type="dxa" w:w="7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API keys, sandbox, webhooks, SDKs, widget embed.</w:t>
            </w:r>
          </w:p>
        </w:tc>
      </w:tr>
      <w:tr>
        <w:tc>
          <w:tcPr>
            <w:tcW w:type="dxa" w:w="2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Connected system</w:t>
            </w:r>
          </w:p>
        </w:tc>
        <w:tc>
          <w:tcPr>
            <w:tcW w:type="dxa" w:w="7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Machine actor: calls the validation API, receives orchestration commands, acknowledges.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/>
      </w:r>
    </w:p>
    <w:tbl>
      <w:tblPr>
        <w:tblW w:type="pct" w:w="100%"/>
        <w:tblBorders>
          <w:top w:val="single" w:color="EEF3FB" w:sz="1"/>
          <w:left w:val="single" w:color="1B5FD1" w:sz="26"/>
          <w:bottom w:val="single" w:color="EEF3FB" w:sz="1"/>
          <w:right w:val="single" w:color="EEF3FB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Role rule: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no role — including Administrator — can edit or delete a consent event, alter the audit chain, or override the children's-data blocks. These are structural, not permission-based.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545"/>
          <w:sz w:val="29"/>
          <w:szCs w:val="29"/>
        </w:rPr>
        <w:t xml:space="preserve">3 · System-wide invariants (FROZEN)</w:t>
      </w:r>
    </w:p>
    <w:p>
      <w:pPr>
        <w:spacing w:after="110" w:line="274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Every module inherits these. A violation is a severity-1 defect wherever it appears. Changing one requires founder + counsel sign-off, recorded in this document's version history.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Append-only consent.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Never UPDATE or DELETE a consent record. Every change is a new immutable event; current state is derived from history.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Fail closed.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On any error, timeout, missing data or uncertainty, a processing check returns BLOCK. Silence is never a yes.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Purpose-bound.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Every consent, check and decision names a specific customer, purpose and requesting system. No blanket consent exists in the model.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Audit before acknowledge.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Every state change and every ALLOW/BLOCK decision writes to the hash-chained log before the action is reported complete.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SYS-05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Explicit act per purpose.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No pre-ticked boxes, no bundling. Each purpose is an individual affirmative choice, recorded with notice version and language shown.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SYS-06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Receipts.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Every grant and withdrawal issues the customer a receipt (ID, timestamp, purposes, notice version).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SYS-07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Configurable policy windows.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All response and reporting windows come from configuration, carry a verified flag, and display 'awaiting counsel sign-off' until confirmed. No statutory number is hard-coded.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SYS-08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Children hard-block.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A minor's record requires a verified guardian. Self-declaration is refused. Marketing, profiling, tracking and targeted advertising are structurally blocked for minors, with no override role.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SYS-09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Human signs regulator submissions.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The platform assembles filings; a named human reviews and signs. The system never files autonomously.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SYS-10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Reference, don't copy.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Customer PII is referenced from the fiduciary's systems. Consentia persists consents, decisions and evidence — not a duplicate customer master.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SYS-11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Single-tenant.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Deployed inside the client's environment. No cross-client data plane. All data at rest in India.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SYS-12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Least privilege + masked audit.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RBAC throughout; the external-auditor role is read-only with PII masked by default.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SYS-13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Verified requester.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No personal data is disclosed or erased for an unverified requester (see Feature Addendum, IDV).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SYS-14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One declared legal basis.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Every purpose evaluates under exactly one declared basis; undeclared defaults to consent (see Feature Addendum, LBR).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545"/>
          <w:sz w:val="29"/>
          <w:szCs w:val="29"/>
        </w:rPr>
        <w:t xml:space="preserve">4 · Functional requirements by module</w:t>
      </w:r>
    </w:p>
    <w:p>
      <w:pPr>
        <w:spacing w:after="110" w:line="274"/>
      </w:pPr>
      <w:r>
        <w:rPr>
          <w:rFonts w:ascii="Calibri" w:cs="Calibri" w:eastAsia="Calibri" w:hAnsi="Calibri"/>
          <w:i/>
          <w:iCs/>
          <w:color w:val="55606E"/>
          <w:sz w:val="21"/>
          <w:szCs w:val="21"/>
        </w:rPr>
        <w:t xml:space="preserve">Numbering: FR-&lt;MODULE&gt;-nn. Modules marked ★ are the deal-winning core and carry Given/When/Then acceptance criteria. ★★ = build the demo around 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5FD1"/>
          <w:sz w:val="23"/>
          <w:szCs w:val="23"/>
        </w:rPr>
        <w:t xml:space="preserve">Group 1 · Overview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  Dashboard (DSH)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In plain words: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Opens on four named people and what just happened to them — not a wall of counters.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DSH-01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Open with an AI briefing of the top items requiring attention, each deep-linking to the owning module.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DSH-02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Present a live activity feed of recent, real events expressed per data principal (who, what changed, what the platform did) — not aggregate counts.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DSH-03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Present headline figures as a single compact strip, subordinate to the briefing and feed, each linking to its module.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DSH-04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Precede each chart with a plain-language sentence stating what the chart shows.</w:t>
            </w:r>
          </w:p>
        </w:tc>
      </w:tr>
    </w:tbl>
    <w:tbl>
      <w:tblPr>
        <w:tblW w:type="pct" w:w="100%"/>
        <w:tblBorders>
          <w:top w:val="single" w:color="EEF3FB" w:sz="1"/>
          <w:left w:val="single" w:color="1B5FD1" w:sz="26"/>
          <w:bottom w:val="single" w:color="EEF3FB" w:sz="1"/>
          <w:right w:val="single" w:color="EEF3FB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Design intent (binding):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the Dashboard is a </w:t>
            </w:r>
            <w:r>
              <w:rPr>
                <w:rFonts w:ascii="Calibri" w:cs="Calibri" w:eastAsia="Calibri" w:hAnsi="Calibri"/>
                <w:i/>
                <w:iCs/>
                <w:color w:val="55606E"/>
                <w:sz w:val="21"/>
                <w:szCs w:val="21"/>
              </w:rPr>
              <w:t xml:space="preserve">watching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screen but must lead with people, because DPDP is a law about individuals. Reverting to a KPI-first layout is a regression, not a style preference.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5FD1"/>
          <w:sz w:val="23"/>
          <w:szCs w:val="23"/>
        </w:rPr>
        <w:t xml:space="preserve">Group 2 · Consent lifecycle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4.2  Consent Capture (CAP)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In plain words: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Eight front doors, one identical record.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CAP-01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Support capture via 8 channel types (mobile app, web, WhatsApp, branch, call-centre, email/SMS link, QR, partner API); every channel produces an identical consent record schema.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CAP-02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Run the flow as: identify customer → present versioned notice in the customer's language (≥9 languages incl. EN/TA/HI) → per-purpose explicit selection → OTP verification → confirmation and receipt.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CAP-03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Record with each consent: notice version, language, channel, timestamp, verification method and the exact purpose set chosen.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CAP-04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Abandoned flows persist nothing except an audit event of the attempt.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4.3  Consent Drives (DRV)  — new in v2.0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In plain words: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Launch and monitor consent collection initiatives: a purpose, an audience, the channels to reach them on.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DRV-01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Create a drive from exactly five inputs: name, purpose (from the configured list), target audience, one or more communication channels (WhatsApp / SMS / Email / Mobile App), and schedule (send now or a future date and time).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DRV-02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Refuse launch until all five inputs are valid; a scheduled drive additionally requires both date and time.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DRV-03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Maintain drive status of Scheduled | Active | Completed | Cancelled. Pause and Resume act on an Active drive without introducing a fifth status.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DRV-04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Expose per-drive metrics: targeted, responses, approved, rejected, response rate; and portfolio KPIs across all drives.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DRV-05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Support actions View, Edit, Pause, Resume, Cancel, Export, offered only where valid for the drive's current state. Purpose and audience are immutable once created.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DRV-06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Cancelling a drive stops further outreach only; consents already collected under it remain valid and in the repository. The confirmation dialog must state this.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DRV-07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Every response is written to the consent repository against the drive's named purpose, with proof of notice, channel and timestamp — identical in strength to any other channel.</w:t>
            </w:r>
          </w:p>
        </w:tc>
      </w:tr>
    </w:tbl>
    <w:tbl>
      <w:tblPr>
        <w:tblW w:type="pct" w:w="100%"/>
        <w:tblBorders>
          <w:top w:val="single" w:color="FBF6EC" w:sz="1"/>
          <w:left w:val="single" w:color="B7791F" w:sz="26"/>
          <w:bottom w:val="single" w:color="FBF6EC" w:sz="1"/>
          <w:right w:val="single" w:color="FBF6EC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6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Scope guard (binding):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Consent Drives is a compliance tool, not a campaign tool. Budgets, A/B testing, approval workflows, reminder engines and segment builders are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out of scope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and must not be added without an explicit scope change. The data model should accommodate them later without reshaping.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4.4  Consent Repository (REP)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REP-01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Provide search, filter (status, purpose, channel, date) and pagination across all consent records.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REP-02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Record detail shows the full event timeline, receipt, evidence hash and linked audit entries.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REP-03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Customer view aggregates every consent, request and decision for one data principal.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REP-04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Present a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consent lifespan ribbon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per customer: each purpose as a horizontal band across time, visually distinguishing active, withdrawn and expired periods.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REP-05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 withdrawal requires confirmation, appends a withdrawal event (SYS-01) and triggers orchestration synchronously with the event write.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4.5  Consent Health (HLT)  — new in v2.0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In plain words: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How much of the consent you hold can you actually rely on today.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HLT-01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Compute a health score as the share of all consent records that are usable now: excluding withdrawn, expired and pending records.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HLT-02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Classify records into Valid, Expiring within a configurable window (default 30 days), Expired, Withdrawn and Pending. The buckets must sum to the total.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HLT-03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Present health per purpose, weakest first, as a share of that purpose's records still valid.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HLT-04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List the records expiring soonest, with days remaining, linking to the record.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HLT-05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State on-screen how the score is derived. Provide a direct action to launch a renewal drive (DRV).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HLT-06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Exclude a category entirely from scoring and display where the organisation does not process that category (e.g. children's data).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4.6  ★ Validation Engine (VAL)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In plain words: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bouncer: one call before any data use — ALLOW or BLOCK, with a reason, in milliseconds.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VAL-01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Expose </w:t>
            </w: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POST /v1/consent/check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taking {customer_ref, purpose, system, context} and returning {decision, reason, policy_version, decision_id}.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VAL-02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Decide from declared legal basis + derived consent state: legal-obligation purposes ALLOW regardless of consent state; consent purposes follow consent; withdrawn, expired, absent, minor-blocked or any evaluation error → BLOCK (SYS-02).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VAL-03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Answer within 100 ms at p99 and 25 ms at p50 under rated load; on internal timeout return BLOCK with reason 'fail-closed: timeout'.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VAL-04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Log every decision to the audit chain with full inputs, outcome and reason, before the response returns.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VAL-05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Invalidate any cached state before a consent-change event is acknowledged. A stale ALLOW after withdrawal is a severity-1 defect.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VAL-06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Provide a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Permission Grid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: a purpose × connected-system matrix of current decisions, each cell showing allowed / blocked / allowed-at-risk / not-applicable, and on selection the reason behind that cell. Summary counts must be computed from the matrix, never stored separately.</w:t>
            </w:r>
          </w:p>
        </w:tc>
      </w:tr>
    </w:tbl>
    <w:tbl>
      <w:tblPr>
        <w:tblW w:type="pct" w:w="100%"/>
        <w:tblBorders>
          <w:top w:val="single" w:color="EEF3FB" w:sz="1"/>
          <w:left w:val="single" w:color="1B5FD1" w:sz="26"/>
          <w:bottom w:val="single" w:color="EEF3FB" w:sz="1"/>
          <w:right w:val="single" w:color="EEF3FB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Acceptance (VAL):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Given a customer has withdrawn Marketing, When any system checks {customer, Marketing, *} one second later, Then the decision is BLOCK with reason 'withdrawn', a decision_id exists in the audit chain, and no cache returns ALLOW. Given a purpose whose basis is legal obligation, When the same customer has withdrawn all consent, Then the decision is ALLOW with reason 'legal obligation'.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4.7  Privacy Center (PRV)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PRV-01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Intake DSRs of types access, correction, erasure, grievance and nomination — from the self-service portal, the Preference Center, or logged by an agent.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PRV-02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Verify requester identity before processing any access, correction, erasure or nomination request (SYS-13).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PRV-03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Run a type-specific workflow per request with a countdown against the configured window (SYS-07), visible in a queue with SLA state.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PRV-04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Execute erasure and access as orchestrated fan-outs; completion produces an evidence certificate stored in the audit chain.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PRV-05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Track SLA performance; raise notifications for items approaching breach.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4.8  ★ Preference Center (PC)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In plain words: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screen your customer sees — your brand, their language, their phone.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PC-01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Render an embeddable preference UI from configuration: brand colour, logo/name, language, and the purpose list with current states.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PC-02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 toggle writes a grant/withdraw event directly to REP, issues a receipt (SYS-06) and triggers orchestration — identical in effect to any other channel.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PC-03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Display non-consent purposes (legal obligation, contract) as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informational and non-toggleable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, so the customer is never shown a switch that does nothing.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PC-04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Provide tabs: Choices, Your rights (launching DSRs into PRV), History.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PC-05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Admin-side live preview updates as branding, language and purposes are edited; publishing produces an embed snippet (≤2 lines) and SDK config.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PC-06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Widget sessions are authenticated by the host app's customer context; the widget never exposes another customer's data.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5FD1"/>
          <w:sz w:val="23"/>
          <w:szCs w:val="23"/>
        </w:rPr>
        <w:t xml:space="preserve">Group 3 · Automation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4.9  ★★ Orchestration (ORC)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ORC-01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On any consent-affecting event, fan out to all subscribed connectors as idempotent commands.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ORC-02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Exclude purposes whose legal basis is not consent from withdrawal fan-outs.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ORC-03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Track per-system acknowledgement; retry failures with exponential backoff to a configured limit.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ORC-04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Exhausted retries land in a dead-letter queue with an assigned owner, visible age and replay action — never silently dropped.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ORC-05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Present the fan-out as a </w:t>
            </w: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radial map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: the consent engine at the centre, each connected system on a spoke, with propagation, acknowledgement, retry and failure states shown as they occur.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ORC-06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Record the propagation timeline per event and surface SLA breaches.</w:t>
            </w:r>
          </w:p>
        </w:tc>
      </w:tr>
    </w:tbl>
    <w:tbl>
      <w:tblPr>
        <w:tblW w:type="pct" w:w="100%"/>
        <w:tblBorders>
          <w:top w:val="single" w:color="EEF3FB" w:sz="1"/>
          <w:left w:val="single" w:color="1B5FD1" w:sz="26"/>
          <w:bottom w:val="single" w:color="EEF3FB" w:sz="1"/>
          <w:right w:val="single" w:color="EEF3FB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Acceptance (ORC):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Given a withdrawal fans out to 8 systems and one connector's credentials are invalid, When retries exhaust, Then that command is in the DLQ with a named owner, the incident is visible on the dashboard, and the audit chain shows dispatch, retries and DLQ entry. Nothing is lost.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4.10  ★ Workflow Builder (WF)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WF-01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Compose workflows on a visual canvas from triggers, conditions and actions.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WF-02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Ship ≥6 editable templates covering common DPDP recipes, including consent-expiry re-consent.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WF-03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Every action step carries a failure policy: retry (n, backoff), dead-letter, or escalate to a human.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WF-04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Test Run executes in sandbox, stepping through visually with zero live side effects.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WF-05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Workflows are versioned; publishing requires the officer role and maker-checker approval; the active version is recorded on every execution.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5FD1"/>
          <w:sz w:val="23"/>
          <w:szCs w:val="23"/>
        </w:rPr>
        <w:t xml:space="preserve">Group 4 · Enterprise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4.11  Enterprise Usage (ENT)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ENT-01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Maintain a registry of connected systems with type, health (up/degraded/down via heartbeat), latency and call-volume metrics.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ENT-02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Connector detail shows recent commands, failures and configuration; secrets are write-only.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ENT-03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Provide the scripted end-to-end demo runnable against simulation mode.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4.12  Notifications (NTF)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NTF-01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Rule-based alerts (event type + threshold → audience + channel) with per-user toggles.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NTF-02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Maintain a delivery log; escalate unacknowledged critical alerts per policy.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4.13  Audit Center (AUD)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AUD-01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Persist every auditable event in an append-only, hash-chained log, each entry embedding the previous hash.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AUD-02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Provide one-click chain verification over any range, reporting the first broken link if tampered.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AUD-03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Search and filter by actor, customer, event type and time; export evidence bundles for a regulator.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4.14  Reports (RPT)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RPT-01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Generate report packs exclusively from repository and audit data; generated figures are not manually editable.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RPT-02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Record generation time, data range and generating user on every report.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5FD1"/>
          <w:sz w:val="23"/>
          <w:szCs w:val="23"/>
        </w:rPr>
        <w:t xml:space="preserve">Group 5 · Intelligence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4.15  AI Compliance (AIC)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AIC-01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Detect and rank anomalies by estimated exposure, each linking to underlying evidence.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AIC-02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Answer plain-English questions strictly from platform data, citing the records used.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AIC-03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The AI proposes; humans dispose. No autonomous enforcement or filing action (SYS-09).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5FD1"/>
          <w:sz w:val="23"/>
          <w:szCs w:val="23"/>
        </w:rPr>
        <w:t xml:space="preserve">Group 6 · Governance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4.16  Breach Response (BRC)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BRC-01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An incident record starts the configured reporting clock, visibly counting down.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BRC-02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Compute the affected data-principal set from the evidence vault, not manual entry.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BRC-03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Issue multilingual notifications with delivery receipts; assemble the Board report from audit data; a named human signs before filing (SYS-09).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BRC-04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Tabletop mode rehearses the full flow with outbound notifications hard-locked off.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4.17  Children's Data (CHD)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CHD-01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Flag minors; require a guardian verified via DigiLocker, video-KYC or in person. Self-declaration is rejected (SYS-08).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CHD-02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Structurally block marketing, profiling, tracking and targeted advertising for minors; not grantable by any role.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CHD-03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On majority, notify both parties, invite re-consent in the person's own right, and retire guardian control.</w:t>
            </w:r>
          </w:p>
        </w:tc>
      </w:tr>
    </w:tbl>
    <w:tbl>
      <w:tblPr>
        <w:tblW w:type="pct" w:w="100%"/>
        <w:tblBorders>
          <w:top w:val="single" w:color="EEF3FB" w:sz="1"/>
          <w:left w:val="single" w:color="1B5FD1" w:sz="26"/>
          <w:bottom w:val="single" w:color="EEF3FB" w:sz="1"/>
          <w:right w:val="single" w:color="EEF3FB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Acceptance (CHD):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Given a customer is 17 with no verified guardian, When any system checks {customer, Marketing, *}, Then BLOCK with reason 'minor — no verified guardian', and no admin screen offers an override.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4.18  SDF Pack (SDF)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SDF-01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DPIA workspace: structured assessment with scoring, blockers and an approval workflow on an annual cycle.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SDF-02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Independent-audit workspace: external-auditor role, read-only, PII masked, scoped evidence access, findings log.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4.19  Administration (ADM)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ADM-01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Data discovery and PII map across the estate, per system and category.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ADM-02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Vendor (processor) registry with purpose linkage and contract references, including DPA expiry tracking.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ADM-03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Retention rules per data category; deletion jobs execute via ORC with evidence of completion in AUD.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ADM-04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User and role management enforcing SYS-11 and SYS-12, with maker-checker on privileged grants.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4.20  Developers (DEV)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DEV-01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API key issuance and rotation; interactive sandbox against simulation mode; webhook subscriptions with signed payloads and replay.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DEV-02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Publish SDKs and the Preference-Center widget with versioned documentation.</w:t>
            </w:r>
          </w:p>
        </w:tc>
      </w:tr>
    </w:tbl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0B2545"/>
          <w:sz w:val="21"/>
          <w:szCs w:val="21"/>
        </w:rPr>
        <w:t xml:space="preserve">4.21  Settings (SET)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(the system shall…)</w:t>
            </w:r>
          </w:p>
        </w:tc>
      </w:tr>
      <w:tr>
        <w:tc>
          <w:tcPr>
            <w:tcW w:type="dxa" w:w="1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SET-01</w:t>
            </w:r>
          </w:p>
        </w:tc>
        <w:tc>
          <w:tcPr>
            <w:tcW w:type="dxa" w:w="8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Fiduciary profile, versioned notice text, enabled languages, enforcement defaults.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SET-02</w:t>
            </w:r>
          </w:p>
        </w:tc>
        <w:tc>
          <w:tcPr>
            <w:tcW w:type="dxa" w:w="8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Policy windows editable only by the officer role under maker-checker, each carrying a verified flag and an 'awaiting counsel sign-off' badge until confirmed (SYS-07).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545"/>
          <w:sz w:val="29"/>
          <w:szCs w:val="29"/>
        </w:rPr>
        <w:t xml:space="preserve">5 · Non-functional requirements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0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Latency</w:t>
            </w:r>
          </w:p>
        </w:tc>
        <w:tc>
          <w:tcPr>
            <w:tcW w:type="dxa" w:w="7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Validation p50 ≤ 25 ms, p99 ≤ 100 ms at rated load. Orchestration dispatch ≤ 5 s from event.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Throughput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2,000 validation calls/sec sustained; 30 M customers / 150 M consent events without redesign.</w:t>
            </w:r>
          </w:p>
        </w:tc>
      </w:tr>
      <w:tr>
        <w:tc>
          <w:tcPr>
            <w:tcW w:type="dxa" w:w="20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Target 99.9% for validation. </w:t>
            </w: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Degraded-mode behaviour (cached last-known-good vs halt) is an OPEN COMMERCIAL DECISION — implement both behind configuration; contract language decides the default.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Durability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No data loss on single-node failure; WORM-style storage for evidence.</w:t>
            </w:r>
          </w:p>
        </w:tc>
      </w:tr>
      <w:tr>
        <w:tc>
          <w:tcPr>
            <w:tcW w:type="dxa" w:w="20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Security</w:t>
            </w:r>
          </w:p>
        </w:tc>
        <w:tc>
          <w:tcPr>
            <w:tcW w:type="dxa" w:w="7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Encryption in transit and at rest; secrets vaulted; RBAC; session and key rotation; OWASP ASVS-aligned; independent pen test before GA.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Residency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All data at rest within India; single-tenant deployment in the client environment (SYS-11).</w:t>
            </w:r>
          </w:p>
        </w:tc>
      </w:tr>
      <w:tr>
        <w:tc>
          <w:tcPr>
            <w:tcW w:type="dxa" w:w="20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7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Chain verification ≤ 60 s per 10 M entries; every decision reconstructible from stored inputs.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Accessibility &amp; i18n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Customer-facing surfaces meet WCAG 2.1 AA; ≥9 languages with full translation, not machine stubs.</w:t>
            </w:r>
          </w:p>
        </w:tc>
      </w:tr>
      <w:tr>
        <w:tc>
          <w:tcPr>
            <w:tcW w:type="dxa" w:w="20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Motion</w:t>
            </w:r>
          </w:p>
        </w:tc>
        <w:tc>
          <w:tcPr>
            <w:tcW w:type="dxa" w:w="7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All animation respects prefers-reduced-motion; no information is conveyed by motion alone.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Health, latency, DLQ depth and propagation SLA exported as metrics with alerting.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545"/>
          <w:sz w:val="29"/>
          <w:szCs w:val="29"/>
        </w:rPr>
        <w:t xml:space="preserve">6 · Core data model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1800"/>
        <w:gridCol w:w="4100"/>
        <w:gridCol w:w="3460"/>
      </w:tblGrid>
      <w:tr>
        <w:trPr>
          <w:tblHeader/>
        </w:trPr>
        <w:tc>
          <w:tcPr>
            <w:tcW w:type="dxa" w:w="18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1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4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rule</w:t>
            </w:r>
          </w:p>
        </w:tc>
      </w:tr>
      <w:tr>
        <w:tc>
          <w:tcPr>
            <w:tcW w:type="dxa" w:w="18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CustomerRef</w:t>
            </w:r>
          </w:p>
        </w:tc>
        <w:tc>
          <w:tcPr>
            <w:tcW w:type="dxa" w:w="4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Pointer to the fiduciary's customer</w:t>
            </w:r>
          </w:p>
        </w:tc>
        <w:tc>
          <w:tcPr>
            <w:tcW w:type="dxa" w:w="34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Reference, not a copy (SYS-10)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Entity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Legal entity within a group</w:t>
            </w:r>
          </w:p>
        </w:tc>
        <w:tc>
          <w:tcPr>
            <w:tcW w:type="dxa" w:w="3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Every record scoped to one entity</w:t>
            </w:r>
          </w:p>
        </w:tc>
      </w:tr>
      <w:tr>
        <w:tc>
          <w:tcPr>
            <w:tcW w:type="dxa" w:w="18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Purpose</w:t>
            </w:r>
          </w:p>
        </w:tc>
        <w:tc>
          <w:tcPr>
            <w:tcW w:type="dxa" w:w="4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 named purpose + declared legal basis</w:t>
            </w:r>
          </w:p>
        </w:tc>
        <w:tc>
          <w:tcPr>
            <w:tcW w:type="dxa" w:w="34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Exactly one basis (SYS-14)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Notice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Versioned notice text per language</w:t>
            </w:r>
          </w:p>
        </w:tc>
        <w:tc>
          <w:tcPr>
            <w:tcW w:type="dxa" w:w="3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Version recorded on every consent</w:t>
            </w:r>
          </w:p>
        </w:tc>
      </w:tr>
      <w:tr>
        <w:tc>
          <w:tcPr>
            <w:tcW w:type="dxa" w:w="18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ConsentEvent</w:t>
            </w:r>
          </w:p>
        </w:tc>
        <w:tc>
          <w:tcPr>
            <w:tcW w:type="dxa" w:w="4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Immutable grant/withdraw/expiry event</w:t>
            </w:r>
          </w:p>
        </w:tc>
        <w:tc>
          <w:tcPr>
            <w:tcW w:type="dxa" w:w="34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Append-only (SYS-01)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ConsentState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Derived current state per (customer, purpose)</w:t>
            </w:r>
          </w:p>
        </w:tc>
        <w:tc>
          <w:tcPr>
            <w:tcW w:type="dxa" w:w="3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Computed, never hand-edited</w:t>
            </w:r>
          </w:p>
        </w:tc>
      </w:tr>
      <w:tr>
        <w:tc>
          <w:tcPr>
            <w:tcW w:type="dxa" w:w="18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DecisionLog</w:t>
            </w:r>
          </w:p>
        </w:tc>
        <w:tc>
          <w:tcPr>
            <w:tcW w:type="dxa" w:w="4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Every ALLOW/BLOCK with inputs and reason</w:t>
            </w:r>
          </w:p>
        </w:tc>
        <w:tc>
          <w:tcPr>
            <w:tcW w:type="dxa" w:w="34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Written before response returns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AuditEvent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Hash-chained record of everything</w:t>
            </w:r>
          </w:p>
        </w:tc>
        <w:tc>
          <w:tcPr>
            <w:tcW w:type="dxa" w:w="3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Each embeds previous hash</w:t>
            </w:r>
          </w:p>
        </w:tc>
      </w:tr>
      <w:tr>
        <w:tc>
          <w:tcPr>
            <w:tcW w:type="dxa" w:w="18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DSRequest</w:t>
            </w:r>
          </w:p>
        </w:tc>
        <w:tc>
          <w:tcPr>
            <w:tcW w:type="dxa" w:w="4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 rights request and its workflow state</w:t>
            </w:r>
          </w:p>
        </w:tc>
        <w:tc>
          <w:tcPr>
            <w:tcW w:type="dxa" w:w="34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Clock from configuration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Drive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 consent collection initiative</w:t>
            </w:r>
          </w:p>
        </w:tc>
        <w:tc>
          <w:tcPr>
            <w:tcW w:type="dxa" w:w="3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Purpose and audience immutable after creation</w:t>
            </w:r>
          </w:p>
        </w:tc>
      </w:tr>
      <w:tr>
        <w:tc>
          <w:tcPr>
            <w:tcW w:type="dxa" w:w="18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Workflow / Run</w:t>
            </w:r>
          </w:p>
        </w:tc>
        <w:tc>
          <w:tcPr>
            <w:tcW w:type="dxa" w:w="4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Versioned recipe + each execution</w:t>
            </w:r>
          </w:p>
        </w:tc>
        <w:tc>
          <w:tcPr>
            <w:tcW w:type="dxa" w:w="34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Active version recorded per run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Command / DLQEntry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Orchestration unit and its failure record</w:t>
            </w:r>
          </w:p>
        </w:tc>
        <w:tc>
          <w:tcPr>
            <w:tcW w:type="dxa" w:w="34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Idempotent; never silently dropped</w:t>
            </w:r>
          </w:p>
        </w:tc>
      </w:tr>
      <w:tr>
        <w:tc>
          <w:tcPr>
            <w:tcW w:type="dxa" w:w="18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Connector</w:t>
            </w:r>
          </w:p>
        </w:tc>
        <w:tc>
          <w:tcPr>
            <w:tcW w:type="dxa" w:w="4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 registered external system</w:t>
            </w:r>
          </w:p>
        </w:tc>
        <w:tc>
          <w:tcPr>
            <w:tcW w:type="dxa" w:w="34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Secrets write-only; health tracked; DPA expiry tracked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545"/>
          <w:sz w:val="29"/>
          <w:szCs w:val="29"/>
        </w:rPr>
        <w:t xml:space="preserve">7 · External API surface (v1)</w:t>
      </w:r>
    </w:p>
    <w:tbl>
      <w:tblPr>
        <w:tblW w:type="dxa" w:w="9360"/>
        <w:tblBorders>
          <w:top w:val="single" w:color="E3E8EF" w:sz="1"/>
          <w:left w:val="single" w:color="E3E8EF" w:sz="1"/>
          <w:bottom w:val="single" w:color="E3E8EF" w:sz="1"/>
          <w:right w:val="single" w:color="E3E8EF" w:sz="1"/>
          <w:insideH w:val="single" w:color="E3E8EF" w:sz="1"/>
          <w:insideV w:val="single" w:color="E3E8EF" w:sz="1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 / hook</w:t>
            </w:r>
          </w:p>
        </w:tc>
        <w:tc>
          <w:tcPr>
            <w:tcW w:type="dxa" w:w="5060"/>
            <w:shd w:fill="0B25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POST /v1/consent/check</w:t>
            </w:r>
          </w:p>
        </w:tc>
        <w:tc>
          <w:tcPr>
            <w:tcW w:type="dxa" w:w="5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The validation call. The single most important endpoint.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POST /v1/consents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Record a consent captured by a fiduciary channel.</w:t>
            </w:r>
          </w:p>
        </w:tc>
      </w:tr>
      <w:tr>
        <w:tc>
          <w:tcPr>
            <w:tcW w:type="dxa" w:w="4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POST /v1/consents/{id}/withdraw</w:t>
            </w:r>
          </w:p>
        </w:tc>
        <w:tc>
          <w:tcPr>
            <w:tcW w:type="dxa" w:w="5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Append a withdrawal event; triggers orchestration.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GET /v1/customers/{ref}/consents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Derived consent state and history for one customer.</w:t>
            </w:r>
          </w:p>
        </w:tc>
      </w:tr>
      <w:tr>
        <w:tc>
          <w:tcPr>
            <w:tcW w:type="dxa" w:w="4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GET /v1/permissions</w:t>
            </w:r>
          </w:p>
        </w:tc>
        <w:tc>
          <w:tcPr>
            <w:tcW w:type="dxa" w:w="5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The permission matrix: current decisions per purpose × system.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POST /v1/dsr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Open a rights request.</w:t>
            </w:r>
          </w:p>
        </w:tc>
      </w:tr>
      <w:tr>
        <w:tc>
          <w:tcPr>
            <w:tcW w:type="dxa" w:w="43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POST /v1/drives</w:t>
            </w:r>
          </w:p>
        </w:tc>
        <w:tc>
          <w:tcPr>
            <w:tcW w:type="dxa" w:w="50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Create and launch a consent drive.</w:t>
            </w:r>
          </w:p>
        </w:tc>
      </w:tr>
      <w:tr>
        <w:tc>
          <w:tcPr>
            <w:tcW w:type="dxa" w:w="4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2545"/>
                <w:sz w:val="18"/>
                <w:szCs w:val="18"/>
              </w:rPr>
              <w:t xml:space="preserve">Webhooks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2332"/>
                <w:sz w:val="18"/>
                <w:szCs w:val="18"/>
              </w:rPr>
              <w:t xml:space="preserve">consent.updated · dsr.created · dsr.completed · dlq.entry — signed and replayable.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i/>
          <w:iCs/>
          <w:color w:val="55606E"/>
          <w:sz w:val="21"/>
          <w:szCs w:val="21"/>
        </w:rPr>
        <w:t xml:space="preserve">Full request/response schemas live with the code (OpenAPI) and are the build-time source of truth; this table fixes the surface, not the field lists.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B2545"/>
          <w:sz w:val="29"/>
          <w:szCs w:val="29"/>
        </w:rPr>
        <w:t xml:space="preserve">8 · Traceability &amp; known gaps</w:t>
      </w:r>
    </w:p>
    <w:p>
      <w:pPr>
        <w:spacing w:after="110" w:line="274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Story tickets must carry FR IDs so every shipped behaviour traces to a requirement and, through the Product Definition matrix, to a DPDP obligation.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Carried forward from the Feature Addendum (not yet folded into §4 as full specs):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requester identity verification (IDV), maker-checker (MC) and the legal-basis register (LBR) are P0 and referenced above as SYS-13/14; consent analytics (ANA), group-entity consent (GRP), the regulator-inquiry workspace (DPB) and the guardian view (GDN) remain P1 candidates.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color w:val="1A2332"/>
          <w:sz w:val="21"/>
          <w:szCs w:val="21"/>
        </w:rPr>
        <w:t xml:space="preserve">Still unspecified: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consent-expiry handling is implemented in the prototype (workflow template + validation BLOCK) but has no numbered requirements; nomination </w:t>
      </w:r>
      <w:r>
        <w:rPr>
          <w:rFonts w:ascii="Calibri" w:cs="Calibri" w:eastAsia="Calibri" w:hAnsi="Calibri"/>
          <w:i/>
          <w:iCs/>
          <w:color w:val="55606E"/>
          <w:sz w:val="21"/>
          <w:szCs w:val="21"/>
        </w:rPr>
        <w:t xml:space="preserve">invocation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(a nominee presenting proof and exercising rights) is designed but not specified; back-book migration and notice-version re-consent need their own specs before build.</w:t>
      </w:r>
    </w:p>
    <w:tbl>
      <w:tblPr>
        <w:tblW w:type="pct" w:w="100%"/>
        <w:tblBorders>
          <w:top w:val="single" w:color="FBEEEF" w:sz="1"/>
          <w:left w:val="single" w:color="B3182C" w:sz="26"/>
          <w:bottom w:val="single" w:color="FBEEEF" w:sz="1"/>
          <w:right w:val="single" w:color="FBEEEF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E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Honest status of the prototype: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connectors are simulated, the AI is scripted, and the out-of-scope items in §1 are not built. Nothing in this FSD should be represented to a client as live until its module passes acceptance against a real environment.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/>
      </w:r>
    </w:p>
    <w:p>
      <w:pPr>
        <w:spacing w:after="110" w:line="274"/>
      </w:pPr>
      <w:r>
        <w:rPr>
          <w:rFonts w:ascii="Calibri" w:cs="Calibri" w:eastAsia="Calibri" w:hAnsi="Calibri"/>
          <w:i/>
          <w:iCs/>
          <w:color w:val="55606E"/>
          <w:sz w:val="21"/>
          <w:szCs w:val="21"/>
        </w:rPr>
        <w:t xml:space="preserve">Companion documents: Architecture v2.0 (how) · Feature Addendum (P0/P1 additions) · Iteration Model (build cadence) · Phased Build Plan (timeline and hiring) · Module Guide (plain-language tour). Not legal advice — verify all compliance mappings with qualified Indian privacy counsel.</w:t>
      </w:r>
    </w:p>
    <w:sectPr>
      <w:pgSz w:w="11906" w:h="16838" w:orient="portrait"/>
      <w:pgMar w:top="1150" w:right="1150" w:bottom="10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1B5FD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Consentia FSD v2.0</dc:title>
  <dc:creator>Consentia</dc:creator>
  <cp:lastModifiedBy>Un-named</cp:lastModifiedBy>
  <cp:revision>1</cp:revision>
  <dcterms:created xsi:type="dcterms:W3CDTF">2026-07-20T16:49:36.563Z</dcterms:created>
  <dcterms:modified xsi:type="dcterms:W3CDTF">2026-07-20T16:49:36.575Z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