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91FC" w14:textId="34DD0A8D" w:rsidR="51F24B10" w:rsidRDefault="51F24B10">
      <w:r w:rsidRPr="51F24B10">
        <w:rPr>
          <w:rFonts w:ascii="Calibri" w:eastAsia="Calibri" w:hAnsi="Calibri" w:cs="Calibri"/>
          <w:b/>
          <w:bCs/>
          <w:lang w:val="en-US"/>
        </w:rPr>
        <w:t>The French Navy</w:t>
      </w:r>
    </w:p>
    <w:p w14:paraId="672A6659" w14:textId="77777777" w:rsidR="00736614" w:rsidRDefault="00736614">
      <w:r>
        <w:rPr>
          <w:noProof/>
          <w:lang w:eastAsia="en-CA"/>
        </w:rPr>
        <w:drawing>
          <wp:inline distT="0" distB="0" distL="0" distR="0" wp14:anchorId="4E21B11B" wp14:editId="7D94374A">
            <wp:extent cx="5657850" cy="401269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c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067" cy="40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CF87" w14:textId="468E00DB" w:rsidR="00736614" w:rsidRDefault="00736614" w:rsidP="51F24B10">
      <w:r>
        <w:t>The French Navy is relatively large but stretched thin with global commitments and is suffer</w:t>
      </w:r>
      <w:r w:rsidR="00F22B66">
        <w:t>s</w:t>
      </w:r>
      <w:r>
        <w:t xml:space="preserve"> from some dated technology.  </w:t>
      </w:r>
      <w:r w:rsidRPr="00736614">
        <w:t xml:space="preserve">In addition to maintaining its strategic Nuclear Ballistic Missile Submarines (SSBN) the French Navy stations fleets both in the Atlantic </w:t>
      </w:r>
      <w:r w:rsidRPr="51F24B10">
        <w:rPr>
          <w:noProof/>
          <w:lang w:eastAsia="en-CA"/>
        </w:rPr>
        <w:t>and the Mediterranean as well as routine global deployments. The Naval Air Arm is of significant size but largely consists of older aircraft.</w:t>
      </w:r>
      <w:r w:rsidR="00263DEE">
        <w:rPr>
          <w:noProof/>
          <w:lang w:eastAsia="en-CA"/>
        </w:rPr>
        <w:t xml:space="preserve"> </w:t>
      </w:r>
      <w:r w:rsidR="51F24B10" w:rsidRPr="51F24B10">
        <w:rPr>
          <w:noProof/>
          <w:lang w:eastAsia="en-CA"/>
        </w:rPr>
        <w:t xml:space="preserve"> The long lead time for delivery of the Rafale fighter and the new aircraft carrier (Charles de Gaulle) has put a strain on operational commitments and readiness.</w:t>
      </w:r>
    </w:p>
    <w:p w14:paraId="4C6E6DB4" w14:textId="7AD77668" w:rsidR="51F24B10" w:rsidRDefault="51F24B10" w:rsidP="51F24B10">
      <w:pPr>
        <w:rPr>
          <w:noProof/>
          <w:lang w:eastAsia="en-CA"/>
        </w:rPr>
      </w:pPr>
    </w:p>
    <w:p w14:paraId="7A9AE7F5" w14:textId="07B8655A" w:rsidR="51F24B10" w:rsidRDefault="51F24B10" w:rsidP="51F24B10">
      <w:pPr>
        <w:rPr>
          <w:noProof/>
          <w:lang w:eastAsia="en-CA"/>
        </w:rPr>
      </w:pPr>
      <w:r>
        <w:rPr>
          <w:noProof/>
        </w:rPr>
        <w:lastRenderedPageBreak/>
        <w:drawing>
          <wp:inline distT="0" distB="0" distL="0" distR="0" wp14:anchorId="2822CB06" wp14:editId="2F8F2777">
            <wp:extent cx="4991102" cy="2807335"/>
            <wp:effectExtent l="0" t="0" r="0" b="0"/>
            <wp:docPr id="1080029646" name="Picture 1080029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736614" w:rsidRDefault="00736614"/>
    <w:sectPr w:rsidR="00736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614"/>
    <w:rsid w:val="00263DEE"/>
    <w:rsid w:val="00476E54"/>
    <w:rsid w:val="004828C6"/>
    <w:rsid w:val="00736614"/>
    <w:rsid w:val="00F22B66"/>
    <w:rsid w:val="51F2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6B27"/>
  <w15:docId w15:val="{6B8BB11C-A886-47CE-8059-46A4EE6B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501</Characters>
  <Application>Microsoft Office Word</Application>
  <DocSecurity>0</DocSecurity>
  <Lines>4</Lines>
  <Paragraphs>1</Paragraphs>
  <ScaleCrop>false</ScaleCrop>
  <Company>DLSE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4</cp:revision>
  <dcterms:created xsi:type="dcterms:W3CDTF">2018-11-27T16:13:00Z</dcterms:created>
  <dcterms:modified xsi:type="dcterms:W3CDTF">2021-10-22T19:08:00Z</dcterms:modified>
</cp:coreProperties>
</file>