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067" w:rsidRDefault="001D16C6">
      <w:pPr>
        <w:rPr>
          <w:b/>
        </w:rPr>
      </w:pPr>
      <w:r w:rsidRPr="001D16C6">
        <w:rPr>
          <w:b/>
        </w:rPr>
        <w:t xml:space="preserve">USAF Electronic Countermeasures (ECM) </w:t>
      </w:r>
      <w:r w:rsidR="00665087">
        <w:rPr>
          <w:b/>
        </w:rPr>
        <w:t xml:space="preserve">and Battle management </w:t>
      </w:r>
      <w:r w:rsidRPr="001D16C6">
        <w:rPr>
          <w:b/>
        </w:rPr>
        <w:t>aircraft</w:t>
      </w:r>
    </w:p>
    <w:p w:rsidR="001D16C6" w:rsidRDefault="00E75DC2">
      <w:pPr>
        <w:rPr>
          <w:b/>
        </w:rPr>
      </w:pPr>
      <w:hyperlink r:id="rId4" w:history="1">
        <w:r w:rsidR="001D16C6" w:rsidRPr="00094A7A">
          <w:rPr>
            <w:rStyle w:val="Hyperlink"/>
            <w:b/>
          </w:rPr>
          <w:t>EF-111 Raven</w:t>
        </w:r>
      </w:hyperlink>
    </w:p>
    <w:p w:rsidR="001D16C6" w:rsidRDefault="001D16C6">
      <w:r>
        <w:t xml:space="preserve">The universal nickname for this aircraft was the ‘Spark </w:t>
      </w:r>
      <w:proofErr w:type="spellStart"/>
      <w:r>
        <w:t>Vark</w:t>
      </w:r>
      <w:proofErr w:type="spellEnd"/>
      <w:r>
        <w:t xml:space="preserve">’ because it was </w:t>
      </w:r>
      <w:r w:rsidR="00E75DC2">
        <w:t xml:space="preserve">the </w:t>
      </w:r>
      <w:r>
        <w:t>electronic warfare version of the F-111 Aardvark.  From the mid</w:t>
      </w:r>
      <w:r w:rsidR="00E75DC2">
        <w:t xml:space="preserve"> ’80</w:t>
      </w:r>
      <w:r>
        <w:t>s onward these aircraft were designed to accompany strike packages and jam or confuse enemy radars and electronic systems</w:t>
      </w:r>
      <w:r w:rsidR="00094A7A">
        <w:t>.  Equipped with the same AN/ALQ-99 electronic warfare system that the US Navy uses, it can</w:t>
      </w:r>
      <w:r w:rsidR="00094A7A" w:rsidRPr="00094A7A">
        <w:t xml:space="preserve"> </w:t>
      </w:r>
      <w:r w:rsidR="00094A7A">
        <w:t>intercept</w:t>
      </w:r>
      <w:r w:rsidR="00094A7A" w:rsidRPr="00094A7A">
        <w:t xml:space="preserve"> </w:t>
      </w:r>
      <w:r w:rsidR="00094A7A">
        <w:t>process and jam</w:t>
      </w:r>
      <w:r w:rsidR="00094A7A" w:rsidRPr="00094A7A">
        <w:t xml:space="preserve"> </w:t>
      </w:r>
      <w:r w:rsidR="00094A7A">
        <w:t xml:space="preserve">signals </w:t>
      </w:r>
      <w:r w:rsidR="00E75DC2">
        <w:t xml:space="preserve">from </w:t>
      </w:r>
      <w:r w:rsidR="00094A7A">
        <w:t>radio and radar, as well as det</w:t>
      </w:r>
      <w:r w:rsidR="00094A7A" w:rsidRPr="00094A7A">
        <w:t>ect, identify a</w:t>
      </w:r>
      <w:r w:rsidR="00E75DC2">
        <w:t>nd direction find those signals and provide</w:t>
      </w:r>
      <w:r w:rsidR="00094A7A" w:rsidRPr="00094A7A">
        <w:t xml:space="preserve"> signals intelligence (SIGINT)</w:t>
      </w:r>
      <w:r w:rsidR="00094A7A">
        <w:t xml:space="preserve">, all of this either automatically or manually.  The USAF converted 42 F-111A strike bombers to this role between 1981 and 1983 and upgraded them with an </w:t>
      </w:r>
      <w:r w:rsidR="00094A7A" w:rsidRPr="00094A7A">
        <w:t>Avionics Modernization Program (AMP)</w:t>
      </w:r>
      <w:r w:rsidR="00094A7A">
        <w:t xml:space="preserve"> </w:t>
      </w:r>
      <w:hyperlink r:id="rId5" w:history="1">
        <w:r w:rsidR="00094A7A" w:rsidRPr="00C873D0">
          <w:rPr>
            <w:rStyle w:val="Hyperlink"/>
          </w:rPr>
          <w:t>by 1994</w:t>
        </w:r>
      </w:hyperlink>
      <w:r w:rsidR="00094A7A">
        <w:t>. Historically there was much shuffling the Spark-</w:t>
      </w:r>
      <w:proofErr w:type="spellStart"/>
      <w:r w:rsidR="00094A7A">
        <w:t>Varks</w:t>
      </w:r>
      <w:proofErr w:type="spellEnd"/>
      <w:r w:rsidR="00094A7A">
        <w:t xml:space="preserve"> about in 19</w:t>
      </w:r>
      <w:r w:rsidR="00C873D0">
        <w:t>93/94 but in Northern Fury the three Electronic Combat Squadrons (ECS) have remained in place.</w:t>
      </w:r>
    </w:p>
    <w:tbl>
      <w:tblPr>
        <w:tblW w:w="9473" w:type="dxa"/>
        <w:tblInd w:w="103" w:type="dxa"/>
        <w:tblLook w:val="04A0" w:firstRow="1" w:lastRow="0" w:firstColumn="1" w:lastColumn="0" w:noHBand="0" w:noVBand="1"/>
      </w:tblPr>
      <w:tblGrid>
        <w:gridCol w:w="1281"/>
        <w:gridCol w:w="1559"/>
        <w:gridCol w:w="830"/>
        <w:gridCol w:w="2410"/>
        <w:gridCol w:w="530"/>
        <w:gridCol w:w="1050"/>
        <w:gridCol w:w="1813"/>
      </w:tblGrid>
      <w:tr w:rsidR="00C873D0" w:rsidRPr="00C966D9" w:rsidTr="00C873D0">
        <w:trPr>
          <w:trHeight w:val="300"/>
        </w:trPr>
        <w:tc>
          <w:tcPr>
            <w:tcW w:w="1281"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873D0" w:rsidRPr="00C966D9" w:rsidRDefault="00C873D0" w:rsidP="0002332C">
            <w:pPr>
              <w:spacing w:after="0" w:line="240" w:lineRule="auto"/>
              <w:jc w:val="center"/>
              <w:rPr>
                <w:rFonts w:ascii="Calibri" w:eastAsia="Times New Roman" w:hAnsi="Calibri" w:cs="Times New Roman"/>
                <w:color w:val="000000"/>
                <w:lang w:eastAsia="en-CA"/>
              </w:rPr>
            </w:pPr>
            <w:proofErr w:type="spellStart"/>
            <w:r w:rsidRPr="00C966D9">
              <w:rPr>
                <w:rFonts w:ascii="Calibri" w:eastAsia="Times New Roman" w:hAnsi="Calibri" w:cs="Times New Roman"/>
                <w:color w:val="000000"/>
                <w:lang w:eastAsia="en-CA"/>
              </w:rPr>
              <w:t>Sqn</w:t>
            </w:r>
            <w:proofErr w:type="spellEnd"/>
          </w:p>
        </w:tc>
        <w:tc>
          <w:tcPr>
            <w:tcW w:w="1559" w:type="dxa"/>
            <w:tcBorders>
              <w:top w:val="single" w:sz="4" w:space="0" w:color="auto"/>
              <w:left w:val="nil"/>
              <w:bottom w:val="single" w:sz="4" w:space="0" w:color="auto"/>
              <w:right w:val="single" w:sz="4" w:space="0" w:color="auto"/>
            </w:tcBorders>
            <w:shd w:val="clear" w:color="000000" w:fill="D9D9D9"/>
            <w:noWrap/>
            <w:vAlign w:val="bottom"/>
            <w:hideMark/>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Name</w:t>
            </w:r>
          </w:p>
        </w:tc>
        <w:tc>
          <w:tcPr>
            <w:tcW w:w="830" w:type="dxa"/>
            <w:tcBorders>
              <w:top w:val="single" w:sz="4" w:space="0" w:color="auto"/>
              <w:left w:val="nil"/>
              <w:bottom w:val="single" w:sz="4" w:space="0" w:color="auto"/>
              <w:right w:val="single" w:sz="4" w:space="0" w:color="auto"/>
            </w:tcBorders>
            <w:shd w:val="clear" w:color="000000" w:fill="D9D9D9"/>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Wing</w:t>
            </w:r>
          </w:p>
        </w:tc>
        <w:tc>
          <w:tcPr>
            <w:tcW w:w="241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C873D0" w:rsidRPr="00C966D9" w:rsidRDefault="00C873D0" w:rsidP="0002332C">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Location</w:t>
            </w:r>
          </w:p>
        </w:tc>
        <w:tc>
          <w:tcPr>
            <w:tcW w:w="530" w:type="dxa"/>
            <w:tcBorders>
              <w:top w:val="single" w:sz="4" w:space="0" w:color="auto"/>
              <w:left w:val="nil"/>
              <w:bottom w:val="single" w:sz="4" w:space="0" w:color="auto"/>
              <w:right w:val="single" w:sz="4" w:space="0" w:color="auto"/>
            </w:tcBorders>
            <w:shd w:val="clear" w:color="000000" w:fill="D9D9D9"/>
            <w:noWrap/>
            <w:vAlign w:val="bottom"/>
            <w:hideMark/>
          </w:tcPr>
          <w:p w:rsidR="00C873D0" w:rsidRPr="00C966D9" w:rsidRDefault="00C873D0" w:rsidP="0002332C">
            <w:pPr>
              <w:spacing w:after="0" w:line="240" w:lineRule="auto"/>
              <w:jc w:val="center"/>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No.</w:t>
            </w:r>
          </w:p>
        </w:tc>
        <w:tc>
          <w:tcPr>
            <w:tcW w:w="1050" w:type="dxa"/>
            <w:tcBorders>
              <w:top w:val="single" w:sz="4" w:space="0" w:color="auto"/>
              <w:left w:val="nil"/>
              <w:bottom w:val="single" w:sz="4" w:space="0" w:color="auto"/>
              <w:right w:val="single" w:sz="4" w:space="0" w:color="auto"/>
            </w:tcBorders>
            <w:shd w:val="clear" w:color="000000" w:fill="D9D9D9"/>
            <w:noWrap/>
            <w:vAlign w:val="bottom"/>
            <w:hideMark/>
          </w:tcPr>
          <w:p w:rsidR="00C873D0" w:rsidRPr="00C966D9" w:rsidRDefault="00C873D0" w:rsidP="0002332C">
            <w:pPr>
              <w:spacing w:after="0" w:line="240" w:lineRule="auto"/>
              <w:rPr>
                <w:rFonts w:ascii="Calibri" w:eastAsia="Times New Roman" w:hAnsi="Calibri" w:cs="Times New Roman"/>
                <w:color w:val="000000"/>
                <w:lang w:eastAsia="en-CA"/>
              </w:rPr>
            </w:pPr>
            <w:r w:rsidRPr="00C966D9">
              <w:rPr>
                <w:rFonts w:ascii="Calibri" w:eastAsia="Times New Roman" w:hAnsi="Calibri" w:cs="Times New Roman"/>
                <w:color w:val="000000"/>
                <w:lang w:eastAsia="en-CA"/>
              </w:rPr>
              <w:t>Type</w:t>
            </w:r>
          </w:p>
        </w:tc>
        <w:tc>
          <w:tcPr>
            <w:tcW w:w="1813" w:type="dxa"/>
            <w:tcBorders>
              <w:top w:val="single" w:sz="4" w:space="0" w:color="auto"/>
              <w:left w:val="nil"/>
              <w:bottom w:val="single" w:sz="4" w:space="0" w:color="auto"/>
              <w:right w:val="single" w:sz="4" w:space="0" w:color="auto"/>
            </w:tcBorders>
            <w:shd w:val="clear" w:color="000000" w:fill="D9D9D9"/>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Remarks</w:t>
            </w:r>
          </w:p>
        </w:tc>
      </w:tr>
      <w:tr w:rsidR="00C873D0" w:rsidRPr="00C966D9" w:rsidTr="00C873D0">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42 ECS</w:t>
            </w:r>
          </w:p>
        </w:tc>
        <w:tc>
          <w:tcPr>
            <w:tcW w:w="1559" w:type="dxa"/>
            <w:tcBorders>
              <w:top w:val="nil"/>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Raptors</w:t>
            </w:r>
          </w:p>
        </w:tc>
        <w:tc>
          <w:tcPr>
            <w:tcW w:w="830" w:type="dxa"/>
            <w:tcBorders>
              <w:top w:val="single" w:sz="4" w:space="0" w:color="auto"/>
              <w:left w:val="nil"/>
              <w:bottom w:val="single" w:sz="4" w:space="0" w:color="auto"/>
              <w:right w:val="single" w:sz="4" w:space="0" w:color="auto"/>
            </w:tcBorders>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38</w:t>
            </w:r>
            <w:r w:rsidRPr="00C873D0">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RAF Upper </w:t>
            </w:r>
            <w:proofErr w:type="spellStart"/>
            <w:r>
              <w:rPr>
                <w:rFonts w:ascii="Calibri" w:eastAsia="Times New Roman" w:hAnsi="Calibri" w:cs="Times New Roman"/>
                <w:color w:val="000000"/>
                <w:lang w:eastAsia="en-CA"/>
              </w:rPr>
              <w:t>Hayford</w:t>
            </w:r>
            <w:proofErr w:type="spellEnd"/>
            <w:r>
              <w:rPr>
                <w:rFonts w:ascii="Calibri" w:eastAsia="Times New Roman" w:hAnsi="Calibri" w:cs="Times New Roman"/>
                <w:color w:val="000000"/>
                <w:lang w:eastAsia="en-CA"/>
              </w:rPr>
              <w:t>, UK</w:t>
            </w:r>
          </w:p>
        </w:tc>
        <w:tc>
          <w:tcPr>
            <w:tcW w:w="530" w:type="dxa"/>
            <w:tcBorders>
              <w:top w:val="nil"/>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050" w:type="dxa"/>
            <w:tcBorders>
              <w:top w:val="nil"/>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EF-111</w:t>
            </w:r>
          </w:p>
        </w:tc>
        <w:tc>
          <w:tcPr>
            <w:tcW w:w="1813" w:type="dxa"/>
            <w:tcBorders>
              <w:top w:val="nil"/>
              <w:left w:val="nil"/>
              <w:bottom w:val="single" w:sz="4" w:space="0" w:color="auto"/>
              <w:right w:val="single" w:sz="4" w:space="0" w:color="auto"/>
            </w:tcBorders>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USAFE</w:t>
            </w:r>
          </w:p>
        </w:tc>
      </w:tr>
      <w:tr w:rsidR="00C873D0" w:rsidRPr="00C966D9" w:rsidTr="00C873D0">
        <w:trPr>
          <w:trHeight w:val="300"/>
        </w:trPr>
        <w:tc>
          <w:tcPr>
            <w:tcW w:w="1281" w:type="dxa"/>
            <w:tcBorders>
              <w:top w:val="nil"/>
              <w:left w:val="single" w:sz="4" w:space="0" w:color="auto"/>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429 ECS</w:t>
            </w:r>
          </w:p>
        </w:tc>
        <w:tc>
          <w:tcPr>
            <w:tcW w:w="1559" w:type="dxa"/>
            <w:tcBorders>
              <w:top w:val="nil"/>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Buccaneers</w:t>
            </w:r>
          </w:p>
        </w:tc>
        <w:tc>
          <w:tcPr>
            <w:tcW w:w="830" w:type="dxa"/>
            <w:tcBorders>
              <w:top w:val="single" w:sz="4" w:space="0" w:color="auto"/>
              <w:left w:val="nil"/>
              <w:bottom w:val="single" w:sz="4" w:space="0" w:color="auto"/>
              <w:right w:val="single" w:sz="4" w:space="0" w:color="auto"/>
            </w:tcBorders>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27</w:t>
            </w:r>
            <w:r w:rsidRPr="00C873D0">
              <w:rPr>
                <w:rFonts w:ascii="Calibri" w:eastAsia="Times New Roman" w:hAnsi="Calibri" w:cs="Times New Roman"/>
                <w:color w:val="000000"/>
                <w:vertAlign w:val="superscript"/>
                <w:lang w:eastAsia="en-CA"/>
              </w:rPr>
              <w:t>th</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Cannon AFB, MN</w:t>
            </w:r>
          </w:p>
        </w:tc>
        <w:tc>
          <w:tcPr>
            <w:tcW w:w="530" w:type="dxa"/>
            <w:tcBorders>
              <w:top w:val="nil"/>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050" w:type="dxa"/>
            <w:tcBorders>
              <w:top w:val="nil"/>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EF-111</w:t>
            </w:r>
          </w:p>
        </w:tc>
        <w:tc>
          <w:tcPr>
            <w:tcW w:w="1813" w:type="dxa"/>
            <w:tcBorders>
              <w:top w:val="nil"/>
              <w:left w:val="nil"/>
              <w:bottom w:val="single" w:sz="4" w:space="0" w:color="auto"/>
              <w:right w:val="single" w:sz="4" w:space="0" w:color="auto"/>
            </w:tcBorders>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 xml:space="preserve">USAFE or </w:t>
            </w:r>
            <w:proofErr w:type="spellStart"/>
            <w:r>
              <w:rPr>
                <w:rFonts w:ascii="Calibri" w:eastAsia="Times New Roman" w:hAnsi="Calibri" w:cs="Times New Roman"/>
                <w:color w:val="000000"/>
                <w:lang w:eastAsia="en-CA"/>
              </w:rPr>
              <w:t>PacAF</w:t>
            </w:r>
            <w:proofErr w:type="spellEnd"/>
          </w:p>
        </w:tc>
      </w:tr>
      <w:tr w:rsidR="00C873D0" w:rsidRPr="00C966D9" w:rsidTr="00C873D0">
        <w:trPr>
          <w:trHeight w:val="300"/>
        </w:trPr>
        <w:tc>
          <w:tcPr>
            <w:tcW w:w="1281"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430 ECS</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Black Falcons</w:t>
            </w:r>
          </w:p>
        </w:tc>
        <w:tc>
          <w:tcPr>
            <w:tcW w:w="830" w:type="dxa"/>
            <w:tcBorders>
              <w:top w:val="single" w:sz="4" w:space="0" w:color="auto"/>
              <w:left w:val="nil"/>
              <w:bottom w:val="single" w:sz="4" w:space="0" w:color="auto"/>
              <w:right w:val="single" w:sz="4" w:space="0" w:color="auto"/>
            </w:tcBorders>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27</w:t>
            </w:r>
            <w:r w:rsidRPr="00C873D0">
              <w:rPr>
                <w:rFonts w:ascii="Calibri" w:eastAsia="Times New Roman" w:hAnsi="Calibri" w:cs="Times New Roman"/>
                <w:color w:val="000000"/>
                <w:vertAlign w:val="superscript"/>
                <w:lang w:eastAsia="en-CA"/>
              </w:rPr>
              <w:t>th</w:t>
            </w:r>
            <w:r>
              <w:rPr>
                <w:rFonts w:ascii="Calibri" w:eastAsia="Times New Roman" w:hAnsi="Calibri" w:cs="Times New Roman"/>
                <w:color w:val="000000"/>
                <w:lang w:eastAsia="en-CA"/>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Cannon AFB, MN</w:t>
            </w:r>
          </w:p>
        </w:tc>
        <w:tc>
          <w:tcPr>
            <w:tcW w:w="530" w:type="dxa"/>
            <w:tcBorders>
              <w:top w:val="single" w:sz="4" w:space="0" w:color="auto"/>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jc w:val="center"/>
              <w:rPr>
                <w:rFonts w:ascii="Calibri" w:eastAsia="Times New Roman" w:hAnsi="Calibri" w:cs="Times New Roman"/>
                <w:color w:val="000000"/>
                <w:lang w:eastAsia="en-CA"/>
              </w:rPr>
            </w:pPr>
            <w:r>
              <w:rPr>
                <w:rFonts w:ascii="Calibri" w:eastAsia="Times New Roman" w:hAnsi="Calibri" w:cs="Times New Roman"/>
                <w:color w:val="000000"/>
                <w:lang w:eastAsia="en-CA"/>
              </w:rPr>
              <w:t>12</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EF-111</w:t>
            </w:r>
          </w:p>
        </w:tc>
        <w:tc>
          <w:tcPr>
            <w:tcW w:w="1813" w:type="dxa"/>
            <w:tcBorders>
              <w:top w:val="single" w:sz="4" w:space="0" w:color="auto"/>
              <w:left w:val="nil"/>
              <w:bottom w:val="single" w:sz="4" w:space="0" w:color="auto"/>
              <w:right w:val="single" w:sz="4" w:space="0" w:color="auto"/>
            </w:tcBorders>
          </w:tcPr>
          <w:p w:rsidR="00C873D0" w:rsidRPr="00C966D9" w:rsidRDefault="00C873D0" w:rsidP="0002332C">
            <w:pPr>
              <w:spacing w:after="0" w:line="240" w:lineRule="auto"/>
              <w:rPr>
                <w:rFonts w:ascii="Calibri" w:eastAsia="Times New Roman" w:hAnsi="Calibri" w:cs="Times New Roman"/>
                <w:color w:val="000000"/>
                <w:lang w:eastAsia="en-CA"/>
              </w:rPr>
            </w:pPr>
            <w:r>
              <w:rPr>
                <w:rFonts w:ascii="Calibri" w:eastAsia="Times New Roman" w:hAnsi="Calibri" w:cs="Times New Roman"/>
                <w:color w:val="000000"/>
                <w:lang w:eastAsia="en-CA"/>
              </w:rPr>
              <w:t>USAFE or Gulf</w:t>
            </w:r>
          </w:p>
        </w:tc>
      </w:tr>
    </w:tbl>
    <w:p w:rsidR="00C873D0" w:rsidRDefault="00C873D0"/>
    <w:p w:rsidR="0002332C" w:rsidRDefault="0002332C">
      <w:r>
        <w:rPr>
          <w:noProof/>
          <w:lang w:eastAsia="en-CA"/>
        </w:rPr>
        <w:drawing>
          <wp:inline distT="0" distB="0" distL="0" distR="0">
            <wp:extent cx="5943600" cy="3863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11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63340"/>
                    </a:xfrm>
                    <a:prstGeom prst="rect">
                      <a:avLst/>
                    </a:prstGeom>
                  </pic:spPr>
                </pic:pic>
              </a:graphicData>
            </a:graphic>
          </wp:inline>
        </w:drawing>
      </w:r>
    </w:p>
    <w:p w:rsidR="0002332C" w:rsidRDefault="0002332C"/>
    <w:p w:rsidR="0002332C" w:rsidRDefault="0002332C"/>
    <w:p w:rsidR="009B09C8" w:rsidRPr="00BF7C55" w:rsidRDefault="00E75DC2">
      <w:pPr>
        <w:rPr>
          <w:b/>
        </w:rPr>
      </w:pPr>
      <w:hyperlink r:id="rId7" w:history="1">
        <w:r w:rsidR="009B09C8" w:rsidRPr="00BF7C55">
          <w:rPr>
            <w:rStyle w:val="Hyperlink"/>
            <w:b/>
          </w:rPr>
          <w:t>F-4G Wild Weasel</w:t>
        </w:r>
      </w:hyperlink>
    </w:p>
    <w:p w:rsidR="009B09C8" w:rsidRDefault="00BF7C55">
      <w:r>
        <w:t>One of the last key roles in the amazing career of the F-4 Phantom was that of hunting and killing enemy air defence systems.  The Wild Weasel role is described well in the link, and the F-4G practically wrote the book on SEAD (</w:t>
      </w:r>
      <w:r w:rsidR="00E75DC2">
        <w:t>Suppression of Enemy Air D</w:t>
      </w:r>
      <w:r>
        <w:t xml:space="preserve">efences).  Equipped with </w:t>
      </w:r>
      <w:r w:rsidRPr="00BF7C55">
        <w:t>AN/APR-38 RHAW</w:t>
      </w:r>
      <w:r w:rsidR="0001143D">
        <w:t xml:space="preserve"> (</w:t>
      </w:r>
      <w:r w:rsidR="0001143D" w:rsidRPr="0001143D">
        <w:t xml:space="preserve">Radar Homing </w:t>
      </w:r>
      <w:r w:rsidR="00E75DC2" w:rsidRPr="0001143D">
        <w:t>and</w:t>
      </w:r>
      <w:r w:rsidR="0001143D" w:rsidRPr="0001143D">
        <w:t xml:space="preserve"> Warning System</w:t>
      </w:r>
      <w:r w:rsidR="0001143D">
        <w:t>) and HARMs (</w:t>
      </w:r>
      <w:r w:rsidR="00E75DC2" w:rsidRPr="0001143D">
        <w:t>High-Speed Anti-Radiation Missile</w:t>
      </w:r>
      <w:r w:rsidR="0001143D">
        <w:t>), the F-4G can find, suppress and destroy enemy ground bas</w:t>
      </w:r>
      <w:r w:rsidR="00E75DC2">
        <w:t>ed Surface to Air (SAM) missile radars</w:t>
      </w:r>
      <w:r w:rsidR="0001143D">
        <w:t>. This very specialized role was in the process of being handed over to F-16 Block 50 squadrons in 1994 but two Squadrons of F-4Gs remain, 561</w:t>
      </w:r>
      <w:r w:rsidR="0001143D" w:rsidRPr="0001143D">
        <w:rPr>
          <w:vertAlign w:val="superscript"/>
        </w:rPr>
        <w:t>st</w:t>
      </w:r>
      <w:r w:rsidR="0001143D">
        <w:t xml:space="preserve"> FS the original ‘Wild Weasels’ and 190</w:t>
      </w:r>
      <w:r w:rsidR="0001143D" w:rsidRPr="0001143D">
        <w:rPr>
          <w:vertAlign w:val="superscript"/>
        </w:rPr>
        <w:t>th</w:t>
      </w:r>
      <w:r w:rsidR="0001143D">
        <w:t xml:space="preserve"> ‘</w:t>
      </w:r>
      <w:r w:rsidR="0001143D" w:rsidRPr="0001143D">
        <w:t>Skull Bangers</w:t>
      </w:r>
      <w:r w:rsidR="0001143D">
        <w:t>’ ANG Squadron</w:t>
      </w:r>
      <w:r w:rsidR="007C1942">
        <w:t>, each fly 24 aircraft and there are several dozen replacements available from reserve</w:t>
      </w:r>
      <w:r w:rsidR="0001143D">
        <w:t>.</w:t>
      </w:r>
    </w:p>
    <w:p w:rsidR="007C1942" w:rsidRDefault="007C1942">
      <w:r>
        <w:rPr>
          <w:noProof/>
          <w:lang w:eastAsia="en-CA"/>
        </w:rPr>
        <w:drawing>
          <wp:inline distT="0" distB="0" distL="0" distR="0">
            <wp:extent cx="5815972" cy="382238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G W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5972" cy="3822386"/>
                    </a:xfrm>
                    <a:prstGeom prst="rect">
                      <a:avLst/>
                    </a:prstGeom>
                  </pic:spPr>
                </pic:pic>
              </a:graphicData>
            </a:graphic>
          </wp:inline>
        </w:drawing>
      </w:r>
    </w:p>
    <w:p w:rsidR="0002332C" w:rsidRDefault="00E75DC2">
      <w:pPr>
        <w:rPr>
          <w:b/>
        </w:rPr>
      </w:pPr>
      <w:hyperlink r:id="rId9" w:history="1">
        <w:r w:rsidR="0002332C" w:rsidRPr="0002332C">
          <w:rPr>
            <w:rStyle w:val="Hyperlink"/>
            <w:b/>
          </w:rPr>
          <w:t>EC-130</w:t>
        </w:r>
      </w:hyperlink>
    </w:p>
    <w:p w:rsidR="0002332C" w:rsidRDefault="0002332C">
      <w:r>
        <w:t xml:space="preserve">This section will present </w:t>
      </w:r>
      <w:r w:rsidR="00DE6017">
        <w:t>two</w:t>
      </w:r>
      <w:r>
        <w:t xml:space="preserve"> versions of the EC-130 Hercules one of them is a dedicated ECM aircraft</w:t>
      </w:r>
      <w:r w:rsidR="00665087">
        <w:t>, and the other a Battlespace management aircraft</w:t>
      </w:r>
      <w:r>
        <w:t>.</w:t>
      </w:r>
    </w:p>
    <w:p w:rsidR="0002332C" w:rsidRDefault="00E75DC2">
      <w:hyperlink r:id="rId10" w:history="1">
        <w:r w:rsidR="0002332C" w:rsidRPr="009C79A5">
          <w:rPr>
            <w:rStyle w:val="Hyperlink"/>
          </w:rPr>
          <w:t>EC-130H Compass Call</w:t>
        </w:r>
      </w:hyperlink>
    </w:p>
    <w:p w:rsidR="009C79A5" w:rsidRDefault="009C79A5">
      <w:r>
        <w:t>These are dedicated wide area offensive and defensive ECM aircraft which support operations by disrupting, tracking and interpreting electronic signals.  In 1994, there are 13 of these aircraft in service across two squadrons</w:t>
      </w:r>
      <w:r w:rsidR="00925B36">
        <w:t>, three more are on order with one entering service in July 94</w:t>
      </w:r>
      <w:r>
        <w:t>.  They are routinely deployed around the world in detachments of one or two to support specific operations.</w:t>
      </w:r>
    </w:p>
    <w:p w:rsidR="00DF5869" w:rsidRDefault="00DF5869">
      <w:r>
        <w:rPr>
          <w:noProof/>
          <w:lang w:eastAsia="en-CA"/>
        </w:rPr>
        <w:lastRenderedPageBreak/>
        <w:drawing>
          <wp:inline distT="0" distB="0" distL="0" distR="0">
            <wp:extent cx="5694892" cy="3950527"/>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130_07.jpg"/>
                    <pic:cNvPicPr/>
                  </pic:nvPicPr>
                  <pic:blipFill>
                    <a:blip r:embed="rId11">
                      <a:extLst>
                        <a:ext uri="{28A0092B-C50C-407E-A947-70E740481C1C}">
                          <a14:useLocalDpi xmlns:a14="http://schemas.microsoft.com/office/drawing/2010/main" val="0"/>
                        </a:ext>
                      </a:extLst>
                    </a:blip>
                    <a:stretch>
                      <a:fillRect/>
                    </a:stretch>
                  </pic:blipFill>
                  <pic:spPr>
                    <a:xfrm>
                      <a:off x="0" y="0"/>
                      <a:ext cx="5694892" cy="3950527"/>
                    </a:xfrm>
                    <a:prstGeom prst="rect">
                      <a:avLst/>
                    </a:prstGeom>
                  </pic:spPr>
                </pic:pic>
              </a:graphicData>
            </a:graphic>
          </wp:inline>
        </w:drawing>
      </w:r>
    </w:p>
    <w:p w:rsidR="009C79A5" w:rsidRDefault="00E75DC2">
      <w:hyperlink r:id="rId12" w:history="1">
        <w:r w:rsidR="009C79A5" w:rsidRPr="00E33786">
          <w:rPr>
            <w:rStyle w:val="Hyperlink"/>
          </w:rPr>
          <w:t>EC-130E ABCCC</w:t>
        </w:r>
      </w:hyperlink>
    </w:p>
    <w:p w:rsidR="00E33786" w:rsidRDefault="00531FD4">
      <w:r>
        <w:rPr>
          <w:noProof/>
          <w:lang w:eastAsia="en-CA"/>
        </w:rPr>
        <w:drawing>
          <wp:anchor distT="0" distB="0" distL="114300" distR="114300" simplePos="0" relativeHeight="251658240" behindDoc="0" locked="0" layoutInCell="1" allowOverlap="1" wp14:anchorId="582F18F0" wp14:editId="21DC86B5">
            <wp:simplePos x="0" y="0"/>
            <wp:positionH relativeFrom="column">
              <wp:posOffset>2494106</wp:posOffset>
            </wp:positionH>
            <wp:positionV relativeFrom="paragraph">
              <wp:posOffset>2080278</wp:posOffset>
            </wp:positionV>
            <wp:extent cx="3620135" cy="23545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135.jpg"/>
                    <pic:cNvPicPr/>
                  </pic:nvPicPr>
                  <pic:blipFill>
                    <a:blip r:embed="rId13">
                      <a:extLst>
                        <a:ext uri="{28A0092B-C50C-407E-A947-70E740481C1C}">
                          <a14:useLocalDpi xmlns:a14="http://schemas.microsoft.com/office/drawing/2010/main" val="0"/>
                        </a:ext>
                      </a:extLst>
                    </a:blip>
                    <a:stretch>
                      <a:fillRect/>
                    </a:stretch>
                  </pic:blipFill>
                  <pic:spPr>
                    <a:xfrm>
                      <a:off x="0" y="0"/>
                      <a:ext cx="3620135" cy="2354580"/>
                    </a:xfrm>
                    <a:prstGeom prst="rect">
                      <a:avLst/>
                    </a:prstGeom>
                  </pic:spPr>
                </pic:pic>
              </a:graphicData>
            </a:graphic>
            <wp14:sizeRelH relativeFrom="page">
              <wp14:pctWidth>0</wp14:pctWidth>
            </wp14:sizeRelH>
            <wp14:sizeRelV relativeFrom="page">
              <wp14:pctHeight>0</wp14:pctHeight>
            </wp14:sizeRelV>
          </wp:anchor>
        </w:drawing>
      </w:r>
      <w:r w:rsidR="00DF5869">
        <w:rPr>
          <w:noProof/>
          <w:lang w:eastAsia="en-CA"/>
        </w:rPr>
        <w:drawing>
          <wp:anchor distT="0" distB="0" distL="114300" distR="114300" simplePos="0" relativeHeight="251660288" behindDoc="0" locked="0" layoutInCell="1" allowOverlap="1" wp14:anchorId="5CED28CB" wp14:editId="1142E26B">
            <wp:simplePos x="0" y="0"/>
            <wp:positionH relativeFrom="column">
              <wp:posOffset>3629660</wp:posOffset>
            </wp:positionH>
            <wp:positionV relativeFrom="paragraph">
              <wp:posOffset>26670</wp:posOffset>
            </wp:positionV>
            <wp:extent cx="2278380" cy="1517650"/>
            <wp:effectExtent l="0" t="0" r="762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130e-abccc-DF-ST-98-00409.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78380" cy="1517650"/>
                    </a:xfrm>
                    <a:prstGeom prst="rect">
                      <a:avLst/>
                    </a:prstGeom>
                  </pic:spPr>
                </pic:pic>
              </a:graphicData>
            </a:graphic>
            <wp14:sizeRelH relativeFrom="page">
              <wp14:pctWidth>0</wp14:pctWidth>
            </wp14:sizeRelH>
            <wp14:sizeRelV relativeFrom="page">
              <wp14:pctHeight>0</wp14:pctHeight>
            </wp14:sizeRelV>
          </wp:anchor>
        </w:drawing>
      </w:r>
      <w:r w:rsidR="009569A0">
        <w:t>These Airborne Battlefield Command and Control Center (ABCCC) aircraft enabled Command and Control of large air or ground operations.  They had a 40 foot ‘capsule’ or ‘pod’ in the cargo bay which contained over 20 radio systems allowing the full time monitoring of AWACS or J-STARS feed, communications with air and ground units gave the commander a near-real time understanding of the battle space.  Developed in Viet Nam, only seven of these aircraft remained in operation by 1994, operated by 7</w:t>
      </w:r>
      <w:r w:rsidR="009569A0" w:rsidRPr="009569A0">
        <w:rPr>
          <w:vertAlign w:val="superscript"/>
        </w:rPr>
        <w:t>th</w:t>
      </w:r>
      <w:r w:rsidR="009569A0">
        <w:t xml:space="preserve"> Airborne Command and Control Squadron (ACCS) which remained at Keesler AFB.  In Northern Fury they did not move to Offutt AFB as their transition to the EC-135 does not occur. </w:t>
      </w:r>
    </w:p>
    <w:p w:rsidR="0049184B" w:rsidRDefault="00E75DC2">
      <w:hyperlink r:id="rId15" w:history="1">
        <w:r w:rsidR="0049184B" w:rsidRPr="0049184B">
          <w:rPr>
            <w:rStyle w:val="Hyperlink"/>
          </w:rPr>
          <w:t>EC-135 Looking Glass</w:t>
        </w:r>
      </w:hyperlink>
    </w:p>
    <w:p w:rsidR="0049184B" w:rsidRDefault="0049184B">
      <w:r>
        <w:t xml:space="preserve">Since February of 1961, these converted Boeing 707s have maintain </w:t>
      </w:r>
      <w:hyperlink r:id="rId16" w:history="1">
        <w:r w:rsidRPr="00FB2B6E">
          <w:rPr>
            <w:rStyle w:val="Hyperlink"/>
          </w:rPr>
          <w:t>a 24/7 airborne alert</w:t>
        </w:r>
      </w:hyperlink>
      <w:r w:rsidR="00FB2B6E">
        <w:t xml:space="preserve"> with at least one aircraft in the air at all times</w:t>
      </w:r>
      <w:r>
        <w:t xml:space="preserve">, now </w:t>
      </w:r>
      <w:r w:rsidR="00FB2B6E">
        <w:t>33 years later they still do so.</w:t>
      </w:r>
      <w:r>
        <w:t xml:space="preserve"> </w:t>
      </w:r>
      <w:r w:rsidR="00FB2B6E">
        <w:t>They</w:t>
      </w:r>
      <w:r>
        <w:t xml:space="preserve"> did not adopt a ground alert status in 1990 as they </w:t>
      </w:r>
      <w:r>
        <w:lastRenderedPageBreak/>
        <w:t>historically did.</w:t>
      </w:r>
      <w:r w:rsidR="00FB2B6E">
        <w:t xml:space="preserve"> These aircraft </w:t>
      </w:r>
      <w:r w:rsidR="00E75DC2">
        <w:t>are</w:t>
      </w:r>
      <w:r w:rsidR="00FB2B6E">
        <w:t xml:space="preserve"> the fail-safe method of launching a retaliatory nuclear strike.  Although 39 aircraft were used in this role over time, </w:t>
      </w:r>
      <w:r w:rsidR="00E75DC2">
        <w:t xml:space="preserve">only </w:t>
      </w:r>
      <w:r w:rsidR="00FB2B6E">
        <w:t>12 are operated by 2</w:t>
      </w:r>
      <w:r w:rsidR="00FB2B6E" w:rsidRPr="00FB2B6E">
        <w:rPr>
          <w:vertAlign w:val="superscript"/>
        </w:rPr>
        <w:t>nd</w:t>
      </w:r>
      <w:r w:rsidR="00FB2B6E">
        <w:t xml:space="preserve"> and 4</w:t>
      </w:r>
      <w:r w:rsidR="00FB2B6E" w:rsidRPr="00FB2B6E">
        <w:rPr>
          <w:vertAlign w:val="superscript"/>
        </w:rPr>
        <w:t>th</w:t>
      </w:r>
      <w:r w:rsidR="00FB2B6E">
        <w:t xml:space="preserve"> Airborne Command and Control Squadron</w:t>
      </w:r>
      <w:r w:rsidR="00DF5869">
        <w:t>s</w:t>
      </w:r>
      <w:r w:rsidR="00FB2B6E">
        <w:t xml:space="preserve"> (ACCS)</w:t>
      </w:r>
      <w:r w:rsidR="00DF5869">
        <w:t xml:space="preserve">. Until the closure of SAC, the Looking Glass Wings </w:t>
      </w:r>
      <w:r w:rsidR="00E75DC2">
        <w:t>had</w:t>
      </w:r>
      <w:bookmarkStart w:id="0" w:name="_GoBack"/>
      <w:bookmarkEnd w:id="0"/>
      <w:r w:rsidR="00DF5869">
        <w:t xml:space="preserve"> dedicated tankers; </w:t>
      </w:r>
      <w:r w:rsidR="00531FD4">
        <w:t>however,</w:t>
      </w:r>
      <w:r w:rsidR="00DF5869">
        <w:t xml:space="preserve"> this role has been transferred to AMC for general tanker support.</w:t>
      </w:r>
    </w:p>
    <w:p w:rsidR="00DF5869" w:rsidRPr="0002332C" w:rsidRDefault="00DF5869"/>
    <w:sectPr w:rsidR="00DF5869" w:rsidRPr="000233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6C6"/>
    <w:rsid w:val="0001143D"/>
    <w:rsid w:val="0002332C"/>
    <w:rsid w:val="00094A7A"/>
    <w:rsid w:val="001D16C6"/>
    <w:rsid w:val="0049184B"/>
    <w:rsid w:val="00496067"/>
    <w:rsid w:val="00531FD4"/>
    <w:rsid w:val="00665087"/>
    <w:rsid w:val="007C1942"/>
    <w:rsid w:val="00925B36"/>
    <w:rsid w:val="009569A0"/>
    <w:rsid w:val="009B09C8"/>
    <w:rsid w:val="009C79A5"/>
    <w:rsid w:val="00BF7C55"/>
    <w:rsid w:val="00C873D0"/>
    <w:rsid w:val="00DE6017"/>
    <w:rsid w:val="00DF5869"/>
    <w:rsid w:val="00E33786"/>
    <w:rsid w:val="00E75DC2"/>
    <w:rsid w:val="00EE097D"/>
    <w:rsid w:val="00FB2B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57F21"/>
  <w15:docId w15:val="{CB087B8E-3225-4993-BACF-E466B7AF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4A7A"/>
    <w:rPr>
      <w:color w:val="0000FF" w:themeColor="hyperlink"/>
      <w:u w:val="single"/>
    </w:rPr>
  </w:style>
  <w:style w:type="paragraph" w:styleId="BalloonText">
    <w:name w:val="Balloon Text"/>
    <w:basedOn w:val="Normal"/>
    <w:link w:val="BalloonTextChar"/>
    <w:uiPriority w:val="99"/>
    <w:semiHidden/>
    <w:unhideWhenUsed/>
    <w:rsid w:val="00023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32C"/>
    <w:rPr>
      <w:rFonts w:ascii="Tahoma" w:hAnsi="Tahoma" w:cs="Tahoma"/>
      <w:sz w:val="16"/>
      <w:szCs w:val="16"/>
    </w:rPr>
  </w:style>
  <w:style w:type="character" w:styleId="FollowedHyperlink">
    <w:name w:val="FollowedHyperlink"/>
    <w:basedOn w:val="DefaultParagraphFont"/>
    <w:uiPriority w:val="99"/>
    <w:semiHidden/>
    <w:unhideWhenUsed/>
    <w:rsid w:val="009569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ausairpower.net/TE-Weasel.html" TargetMode="External"/><Relationship Id="rId12" Type="http://schemas.openxmlformats.org/officeDocument/2006/relationships/hyperlink" Target="http://www.airforcemag.com/MagazineArchive/Magazine%20Documents/1999/July%201999/0799abccc.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eanmunger.com/2016/02/03/bird-of-doom-the-endless-nuclear-vigil-of-the-looking-glass/" TargetMode="Externa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3.jpg"/><Relationship Id="rId5" Type="http://schemas.openxmlformats.org/officeDocument/2006/relationships/hyperlink" Target="https://fas.org/man/dod-101/sys/ac/f-111.htm" TargetMode="External"/><Relationship Id="rId15" Type="http://schemas.openxmlformats.org/officeDocument/2006/relationships/hyperlink" Target="https://fas.org/nuke/guide/usa/c3i/ec-135.htm" TargetMode="External"/><Relationship Id="rId10" Type="http://schemas.openxmlformats.org/officeDocument/2006/relationships/hyperlink" Target="http://www.af.mil/About-Us/Fact-Sheets/Display/Article/104550/ec-130h-compass-call/" TargetMode="External"/><Relationship Id="rId4" Type="http://schemas.openxmlformats.org/officeDocument/2006/relationships/hyperlink" Target="http://www.military-today.com/aircraft/ef111_raven.htm" TargetMode="External"/><Relationship Id="rId9" Type="http://schemas.openxmlformats.org/officeDocument/2006/relationships/hyperlink" Target="https://fas.org/man/dod-101/sys/ac/ec-130e.htm"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Pages>4</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Gauvin</dc:creator>
  <cp:lastModifiedBy>Bart Gauvin</cp:lastModifiedBy>
  <cp:revision>8</cp:revision>
  <dcterms:created xsi:type="dcterms:W3CDTF">2018-03-20T18:19:00Z</dcterms:created>
  <dcterms:modified xsi:type="dcterms:W3CDTF">2018-03-25T17:36:00Z</dcterms:modified>
</cp:coreProperties>
</file>