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57A" w:rsidRPr="00C54363" w:rsidRDefault="001C10C9">
      <w:pPr>
        <w:rPr>
          <w:b/>
        </w:rPr>
      </w:pPr>
      <w:r w:rsidRPr="00C54363">
        <w:rPr>
          <w:b/>
        </w:rPr>
        <w:t>Soviet SSG/SSGNs</w:t>
      </w:r>
    </w:p>
    <w:p w:rsidR="00C54363" w:rsidRDefault="001C10C9">
      <w:r>
        <w:t xml:space="preserve">The Soviet Navy has a long history of using its submarines to deliver guided missiles against both land and naval targets.  Guided Missile submarines (SSG) and their nuclear powered counterpart (SSGN) present a complex threat to an adversary. Able to launch their missiles from ranges much greater than most Anti-Submarine Warfare (ASW) defences, these platforms stand a good chance of escaping </w:t>
      </w:r>
      <w:r w:rsidR="00C54363">
        <w:t>undetected;</w:t>
      </w:r>
      <w:r>
        <w:t xml:space="preserve"> while </w:t>
      </w:r>
      <w:r w:rsidR="00C54363">
        <w:t>the missiles themselves pose a significant threat they will often trigger defensive measures that might reveal locations or gaps in defences to other lurking threats. Against a weak or isolated foe, the missiles are deadly, but against a well-protected adversary they will often lack the numbers needed to penetrate the defensive screen, unless coordinated with other attacks.</w:t>
      </w:r>
    </w:p>
    <w:p w:rsidR="00C54363" w:rsidRPr="00C54363" w:rsidRDefault="006F73D6">
      <w:pPr>
        <w:rPr>
          <w:b/>
        </w:rPr>
      </w:pPr>
      <w:hyperlink r:id="rId4" w:history="1">
        <w:r w:rsidR="00C54363" w:rsidRPr="00C54363">
          <w:rPr>
            <w:rStyle w:val="Hyperlink"/>
            <w:b/>
          </w:rPr>
          <w:t>Oscar Class</w:t>
        </w:r>
      </w:hyperlink>
    </w:p>
    <w:p w:rsidR="001C10C9" w:rsidRDefault="00C54363">
      <w:r>
        <w:t xml:space="preserve"> </w:t>
      </w:r>
      <w:r w:rsidR="0024129A">
        <w:t xml:space="preserve">In 1994 these were the largest guided missile submarines in the world (until 2007) and designed specifically to attack US aircraft carrier battle groups.  These 18,000 ton boats have, as all Soviet submarines, a double hull, an inner pressure hull and an outer, hydrodynamic hull.  In the case of the Oscar, the two hulls are separated by rubber noise dampening </w:t>
      </w:r>
      <w:r w:rsidR="00A922A6">
        <w:t>material</w:t>
      </w:r>
      <w:r w:rsidR="0024129A">
        <w:t>.</w:t>
      </w:r>
      <w:r w:rsidR="00A922A6">
        <w:t xml:space="preserve"> The two nuclear reactors and steam turbines propel the Oscar at over 30kns, at a maximum depth of over 300 and possibly as much as 600 meters.  In addition to torpedoes, the real weapons of this monster are the </w:t>
      </w:r>
      <w:r w:rsidR="00A922A6" w:rsidRPr="00A922A6">
        <w:t xml:space="preserve">24 - </w:t>
      </w:r>
      <w:hyperlink r:id="rId5" w:history="1">
        <w:r w:rsidR="00A922A6" w:rsidRPr="00A922A6">
          <w:rPr>
            <w:rStyle w:val="Hyperlink"/>
          </w:rPr>
          <w:t>SS-N-19 Shipwreck</w:t>
        </w:r>
      </w:hyperlink>
      <w:r w:rsidR="00A922A6">
        <w:t xml:space="preserve"> missiles, with a range of 380 nautical miles and a 750Kg (1653 lbs) warhead. </w:t>
      </w:r>
      <w:r w:rsidR="00C800C3">
        <w:t xml:space="preserve">There are two versions of the Oscar – the Soviet named ‘Project 949 Granit’, or ‘Oscar I’ with two examples and the ‘Project 949A </w:t>
      </w:r>
      <w:proofErr w:type="spellStart"/>
      <w:r w:rsidR="00C800C3">
        <w:t>Antey</w:t>
      </w:r>
      <w:proofErr w:type="spellEnd"/>
      <w:r w:rsidR="00C800C3">
        <w:t>’ or ‘Oscar II’ which is 10 meters longer, the space allowing for better computing and targeting systems , and much quieter with improved propulsion equipment and a seven blade propeller. Historically there is debate on how many Oscar II’s were planned but it is fairly certain that 11 were launched with the 11</w:t>
      </w:r>
      <w:r w:rsidR="00C800C3" w:rsidRPr="00C800C3">
        <w:rPr>
          <w:vertAlign w:val="superscript"/>
        </w:rPr>
        <w:t>th</w:t>
      </w:r>
      <w:r w:rsidR="00C800C3">
        <w:t xml:space="preserve"> significantly delayed, and three more building and later scrapped. In Northern Fury, the first 11 are in service with three more building and an additional</w:t>
      </w:r>
      <w:r w:rsidR="006B3194">
        <w:t xml:space="preserve"> four planned. There were also a bewildering number of name and pennant changes for these boats, the names presented are those used in 1994 as best as can be determined.</w:t>
      </w:r>
    </w:p>
    <w:tbl>
      <w:tblPr>
        <w:tblStyle w:val="TableGrid"/>
        <w:tblW w:w="9576" w:type="dxa"/>
        <w:tblLayout w:type="fixed"/>
        <w:tblLook w:val="04A0" w:firstRow="1" w:lastRow="0" w:firstColumn="1" w:lastColumn="0" w:noHBand="0" w:noVBand="1"/>
      </w:tblPr>
      <w:tblGrid>
        <w:gridCol w:w="1242"/>
        <w:gridCol w:w="993"/>
        <w:gridCol w:w="3685"/>
        <w:gridCol w:w="1276"/>
        <w:gridCol w:w="2380"/>
      </w:tblGrid>
      <w:tr w:rsidR="006B3194" w:rsidTr="00EC00FA">
        <w:tc>
          <w:tcPr>
            <w:tcW w:w="1242" w:type="dxa"/>
          </w:tcPr>
          <w:p w:rsidR="006B3194" w:rsidRDefault="006B3194" w:rsidP="00EC00FA">
            <w:r>
              <w:t>Class</w:t>
            </w:r>
          </w:p>
        </w:tc>
        <w:tc>
          <w:tcPr>
            <w:tcW w:w="993" w:type="dxa"/>
          </w:tcPr>
          <w:p w:rsidR="006B3194" w:rsidRDefault="006B3194" w:rsidP="00EC00FA">
            <w:r>
              <w:t>Pennant</w:t>
            </w:r>
          </w:p>
        </w:tc>
        <w:tc>
          <w:tcPr>
            <w:tcW w:w="3685" w:type="dxa"/>
          </w:tcPr>
          <w:p w:rsidR="006B3194" w:rsidRDefault="006B3194" w:rsidP="00EC00FA">
            <w:r>
              <w:t>Name</w:t>
            </w:r>
          </w:p>
        </w:tc>
        <w:tc>
          <w:tcPr>
            <w:tcW w:w="1276" w:type="dxa"/>
          </w:tcPr>
          <w:p w:rsidR="006B3194" w:rsidRDefault="006B3194" w:rsidP="00EC00FA">
            <w:r>
              <w:t>Fleet</w:t>
            </w:r>
          </w:p>
        </w:tc>
        <w:tc>
          <w:tcPr>
            <w:tcW w:w="2380" w:type="dxa"/>
          </w:tcPr>
          <w:p w:rsidR="006B3194" w:rsidRDefault="006B3194" w:rsidP="00EC00FA">
            <w:r>
              <w:t>Remarks</w:t>
            </w:r>
          </w:p>
        </w:tc>
      </w:tr>
      <w:tr w:rsidR="006B3194" w:rsidRPr="004E2516" w:rsidTr="00EC00FA">
        <w:trPr>
          <w:trHeight w:val="255"/>
        </w:trPr>
        <w:tc>
          <w:tcPr>
            <w:tcW w:w="1242" w:type="dxa"/>
            <w:noWrap/>
            <w:vAlign w:val="bottom"/>
          </w:tcPr>
          <w:p w:rsidR="006B3194" w:rsidRDefault="006B3194" w:rsidP="00EC00FA">
            <w:pPr>
              <w:rPr>
                <w:rFonts w:ascii="Arial" w:hAnsi="Arial" w:cs="Arial"/>
                <w:sz w:val="20"/>
                <w:szCs w:val="20"/>
              </w:rPr>
            </w:pPr>
            <w:r>
              <w:rPr>
                <w:rFonts w:ascii="Arial" w:hAnsi="Arial" w:cs="Arial"/>
                <w:sz w:val="20"/>
                <w:szCs w:val="20"/>
              </w:rPr>
              <w:t>Oscar I</w:t>
            </w:r>
          </w:p>
        </w:tc>
        <w:tc>
          <w:tcPr>
            <w:tcW w:w="993" w:type="dxa"/>
            <w:noWrap/>
            <w:vAlign w:val="bottom"/>
          </w:tcPr>
          <w:p w:rsidR="006B3194" w:rsidRDefault="006B3194" w:rsidP="00EC00FA">
            <w:pPr>
              <w:jc w:val="center"/>
              <w:rPr>
                <w:rFonts w:ascii="Arial" w:hAnsi="Arial" w:cs="Arial"/>
                <w:sz w:val="20"/>
                <w:szCs w:val="20"/>
              </w:rPr>
            </w:pPr>
            <w:r>
              <w:rPr>
                <w:rFonts w:ascii="Arial" w:hAnsi="Arial" w:cs="Arial"/>
                <w:sz w:val="20"/>
                <w:szCs w:val="20"/>
              </w:rPr>
              <w:t>K-525</w:t>
            </w:r>
          </w:p>
        </w:tc>
        <w:tc>
          <w:tcPr>
            <w:tcW w:w="3685" w:type="dxa"/>
            <w:noWrap/>
            <w:vAlign w:val="bottom"/>
          </w:tcPr>
          <w:p w:rsidR="006B3194" w:rsidRDefault="006B3194" w:rsidP="00EC00FA">
            <w:pPr>
              <w:rPr>
                <w:rFonts w:ascii="Arial" w:hAnsi="Arial" w:cs="Arial"/>
                <w:sz w:val="20"/>
                <w:szCs w:val="20"/>
              </w:rPr>
            </w:pPr>
            <w:r>
              <w:rPr>
                <w:rFonts w:ascii="Arial" w:hAnsi="Arial" w:cs="Arial"/>
                <w:sz w:val="20"/>
                <w:szCs w:val="20"/>
              </w:rPr>
              <w:t>Arkhangelsk</w:t>
            </w:r>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rsidP="00EC00FA">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rsidP="00EC00FA">
            <w:pPr>
              <w:jc w:val="center"/>
              <w:rPr>
                <w:rFonts w:ascii="Arial" w:hAnsi="Arial" w:cs="Arial"/>
                <w:sz w:val="20"/>
                <w:szCs w:val="20"/>
              </w:rPr>
            </w:pPr>
            <w:r>
              <w:rPr>
                <w:rFonts w:ascii="Arial" w:hAnsi="Arial" w:cs="Arial"/>
                <w:sz w:val="20"/>
                <w:szCs w:val="20"/>
              </w:rPr>
              <w:t>K-206</w:t>
            </w:r>
          </w:p>
        </w:tc>
        <w:tc>
          <w:tcPr>
            <w:tcW w:w="3685" w:type="dxa"/>
            <w:noWrap/>
            <w:vAlign w:val="bottom"/>
          </w:tcPr>
          <w:p w:rsidR="006B3194" w:rsidRDefault="006B3194" w:rsidP="00EC00FA">
            <w:pPr>
              <w:rPr>
                <w:rFonts w:ascii="Arial" w:hAnsi="Arial" w:cs="Arial"/>
                <w:sz w:val="20"/>
                <w:szCs w:val="20"/>
              </w:rPr>
            </w:pPr>
            <w:r>
              <w:rPr>
                <w:rFonts w:ascii="Arial" w:hAnsi="Arial" w:cs="Arial"/>
                <w:sz w:val="20"/>
                <w:szCs w:val="20"/>
              </w:rPr>
              <w:t>Murmansk</w:t>
            </w:r>
          </w:p>
        </w:tc>
        <w:tc>
          <w:tcPr>
            <w:tcW w:w="1276" w:type="dxa"/>
            <w:noWrap/>
          </w:tcPr>
          <w:p w:rsidR="006B3194" w:rsidRDefault="006B3194" w:rsidP="006B3194">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Oscar II</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K-148</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Krasnodar</w:t>
            </w:r>
          </w:p>
        </w:tc>
        <w:tc>
          <w:tcPr>
            <w:tcW w:w="1276" w:type="dxa"/>
            <w:noWrap/>
          </w:tcPr>
          <w:p w:rsidR="006B3194" w:rsidRDefault="006B3194" w:rsidP="006B3194">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K-119</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Voronezh</w:t>
            </w:r>
          </w:p>
        </w:tc>
        <w:tc>
          <w:tcPr>
            <w:tcW w:w="1276" w:type="dxa"/>
            <w:noWrap/>
          </w:tcPr>
          <w:p w:rsidR="006B3194" w:rsidRDefault="006B3194" w:rsidP="006B3194">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K-410</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Smolensk</w:t>
            </w:r>
          </w:p>
        </w:tc>
        <w:tc>
          <w:tcPr>
            <w:tcW w:w="1276" w:type="dxa"/>
            <w:noWrap/>
          </w:tcPr>
          <w:p w:rsidR="006B3194" w:rsidRDefault="006B3194" w:rsidP="006B3194">
            <w:r w:rsidRPr="001D28D0">
              <w:rPr>
                <w:rFonts w:ascii="Arial" w:hAnsi="Arial" w:cs="Arial"/>
                <w:sz w:val="20"/>
                <w:szCs w:val="20"/>
              </w:rPr>
              <w:t>Northern</w:t>
            </w:r>
          </w:p>
        </w:tc>
        <w:tc>
          <w:tcPr>
            <w:tcW w:w="2380" w:type="dxa"/>
            <w:noWrap/>
            <w:vAlign w:val="bottom"/>
          </w:tcPr>
          <w:p w:rsidR="006B3194" w:rsidRPr="0055643D"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K-266</w:t>
            </w:r>
          </w:p>
        </w:tc>
        <w:tc>
          <w:tcPr>
            <w:tcW w:w="3685" w:type="dxa"/>
            <w:noWrap/>
            <w:vAlign w:val="bottom"/>
          </w:tcPr>
          <w:p w:rsidR="006B3194" w:rsidRDefault="006B3194" w:rsidP="006B3194">
            <w:pPr>
              <w:rPr>
                <w:rFonts w:ascii="Arial" w:hAnsi="Arial" w:cs="Arial"/>
                <w:sz w:val="20"/>
                <w:szCs w:val="20"/>
              </w:rPr>
            </w:pPr>
            <w:r>
              <w:rPr>
                <w:rFonts w:ascii="Arial" w:hAnsi="Arial" w:cs="Arial"/>
                <w:sz w:val="20"/>
                <w:szCs w:val="20"/>
              </w:rPr>
              <w:t xml:space="preserve">Orel </w:t>
            </w:r>
          </w:p>
        </w:tc>
        <w:tc>
          <w:tcPr>
            <w:tcW w:w="1276" w:type="dxa"/>
            <w:noWrap/>
          </w:tcPr>
          <w:p w:rsidR="006B3194" w:rsidRDefault="006B3194" w:rsidP="006B3194">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K-141</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Kursk</w:t>
            </w:r>
          </w:p>
        </w:tc>
        <w:tc>
          <w:tcPr>
            <w:tcW w:w="1276" w:type="dxa"/>
            <w:noWrap/>
          </w:tcPr>
          <w:p w:rsidR="006B3194" w:rsidRDefault="006B3194" w:rsidP="006B3194">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vAlign w:val="bottom"/>
          </w:tcPr>
          <w:p w:rsidR="006B3194" w:rsidRDefault="006B3194">
            <w:pPr>
              <w:jc w:val="center"/>
              <w:rPr>
                <w:rFonts w:ascii="Arial" w:hAnsi="Arial" w:cs="Arial"/>
                <w:sz w:val="20"/>
                <w:szCs w:val="20"/>
              </w:rPr>
            </w:pPr>
            <w:r>
              <w:rPr>
                <w:rFonts w:ascii="Arial" w:hAnsi="Arial" w:cs="Arial"/>
                <w:sz w:val="20"/>
                <w:szCs w:val="20"/>
              </w:rPr>
              <w:t>K-173</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Krasnoyarsk</w:t>
            </w:r>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Pacific</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tcPr>
          <w:p w:rsidR="006B3194" w:rsidRDefault="006B3194">
            <w:pPr>
              <w:jc w:val="center"/>
              <w:rPr>
                <w:rFonts w:ascii="Arial" w:hAnsi="Arial" w:cs="Arial"/>
                <w:sz w:val="20"/>
                <w:szCs w:val="20"/>
              </w:rPr>
            </w:pPr>
            <w:r>
              <w:rPr>
                <w:rFonts w:ascii="Arial" w:hAnsi="Arial" w:cs="Arial"/>
                <w:sz w:val="20"/>
                <w:szCs w:val="20"/>
              </w:rPr>
              <w:t>K-132</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Irkutsk</w:t>
            </w:r>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Pacific</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tcPr>
          <w:p w:rsidR="006B3194" w:rsidRDefault="006B3194">
            <w:pPr>
              <w:jc w:val="center"/>
              <w:rPr>
                <w:rFonts w:ascii="Arial" w:hAnsi="Arial" w:cs="Arial"/>
                <w:sz w:val="20"/>
                <w:szCs w:val="20"/>
              </w:rPr>
            </w:pPr>
            <w:r>
              <w:rPr>
                <w:rFonts w:ascii="Arial" w:hAnsi="Arial" w:cs="Arial"/>
                <w:sz w:val="20"/>
                <w:szCs w:val="20"/>
              </w:rPr>
              <w:t>K-442</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Chelyabinsk</w:t>
            </w:r>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Pacific</w:t>
            </w:r>
          </w:p>
        </w:tc>
        <w:tc>
          <w:tcPr>
            <w:tcW w:w="2380" w:type="dxa"/>
            <w:noWrap/>
            <w:vAlign w:val="bottom"/>
          </w:tcPr>
          <w:p w:rsidR="006B3194" w:rsidRPr="0055643D"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tcPr>
          <w:p w:rsidR="006B3194" w:rsidRDefault="006B3194">
            <w:pPr>
              <w:jc w:val="center"/>
              <w:rPr>
                <w:rFonts w:ascii="Arial" w:hAnsi="Arial" w:cs="Arial"/>
                <w:sz w:val="20"/>
                <w:szCs w:val="20"/>
              </w:rPr>
            </w:pPr>
            <w:r>
              <w:rPr>
                <w:rFonts w:ascii="Arial" w:hAnsi="Arial" w:cs="Arial"/>
                <w:sz w:val="20"/>
                <w:szCs w:val="20"/>
              </w:rPr>
              <w:t>K-456</w:t>
            </w:r>
          </w:p>
        </w:tc>
        <w:tc>
          <w:tcPr>
            <w:tcW w:w="3685" w:type="dxa"/>
            <w:noWrap/>
            <w:vAlign w:val="bottom"/>
          </w:tcPr>
          <w:p w:rsidR="006B3194" w:rsidRDefault="006B3194">
            <w:pPr>
              <w:rPr>
                <w:rFonts w:ascii="Arial" w:hAnsi="Arial" w:cs="Arial"/>
                <w:sz w:val="20"/>
                <w:szCs w:val="20"/>
              </w:rPr>
            </w:pPr>
            <w:proofErr w:type="spellStart"/>
            <w:r>
              <w:rPr>
                <w:rFonts w:ascii="Arial" w:hAnsi="Arial" w:cs="Arial"/>
                <w:sz w:val="20"/>
                <w:szCs w:val="20"/>
              </w:rPr>
              <w:t>Kasatka</w:t>
            </w:r>
            <w:proofErr w:type="spellEnd"/>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Pacific</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tcPr>
          <w:p w:rsidR="006B3194" w:rsidRDefault="006B3194">
            <w:pPr>
              <w:jc w:val="center"/>
              <w:rPr>
                <w:rFonts w:ascii="Arial" w:hAnsi="Arial" w:cs="Arial"/>
                <w:sz w:val="20"/>
                <w:szCs w:val="20"/>
              </w:rPr>
            </w:pPr>
            <w:r>
              <w:rPr>
                <w:rFonts w:ascii="Arial" w:hAnsi="Arial" w:cs="Arial"/>
                <w:sz w:val="20"/>
                <w:szCs w:val="20"/>
              </w:rPr>
              <w:t>K-198</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Omsk</w:t>
            </w:r>
          </w:p>
        </w:tc>
        <w:tc>
          <w:tcPr>
            <w:tcW w:w="1276" w:type="dxa"/>
            <w:noWrap/>
            <w:vAlign w:val="bottom"/>
          </w:tcPr>
          <w:p w:rsidR="006B3194" w:rsidRDefault="006B3194" w:rsidP="006B3194">
            <w:pPr>
              <w:rPr>
                <w:rFonts w:ascii="Arial" w:hAnsi="Arial" w:cs="Arial"/>
                <w:sz w:val="20"/>
                <w:szCs w:val="20"/>
              </w:rPr>
            </w:pPr>
            <w:r w:rsidRPr="001D28D0">
              <w:rPr>
                <w:rFonts w:ascii="Arial" w:hAnsi="Arial" w:cs="Arial"/>
                <w:sz w:val="20"/>
                <w:szCs w:val="20"/>
              </w:rPr>
              <w:t>Northern</w:t>
            </w:r>
          </w:p>
        </w:tc>
        <w:tc>
          <w:tcPr>
            <w:tcW w:w="2380" w:type="dxa"/>
            <w:noWrap/>
          </w:tcPr>
          <w:p w:rsidR="006B3194" w:rsidRDefault="006B3194" w:rsidP="00EC00FA"/>
        </w:tc>
      </w:tr>
      <w:tr w:rsidR="006B3194" w:rsidRPr="004E2516" w:rsidTr="00EC00FA">
        <w:trPr>
          <w:trHeight w:val="255"/>
        </w:trPr>
        <w:tc>
          <w:tcPr>
            <w:tcW w:w="1242" w:type="dxa"/>
            <w:noWrap/>
            <w:vAlign w:val="bottom"/>
          </w:tcPr>
          <w:p w:rsidR="006B3194" w:rsidRDefault="006B3194">
            <w:pPr>
              <w:rPr>
                <w:rFonts w:ascii="Arial" w:hAnsi="Arial" w:cs="Arial"/>
                <w:sz w:val="20"/>
                <w:szCs w:val="20"/>
              </w:rPr>
            </w:pPr>
            <w:r>
              <w:rPr>
                <w:rFonts w:ascii="Arial" w:hAnsi="Arial" w:cs="Arial"/>
                <w:sz w:val="20"/>
                <w:szCs w:val="20"/>
              </w:rPr>
              <w:t> </w:t>
            </w:r>
          </w:p>
        </w:tc>
        <w:tc>
          <w:tcPr>
            <w:tcW w:w="993" w:type="dxa"/>
            <w:noWrap/>
          </w:tcPr>
          <w:p w:rsidR="006B3194" w:rsidRDefault="006B3194">
            <w:pPr>
              <w:jc w:val="center"/>
              <w:rPr>
                <w:rFonts w:ascii="Arial" w:hAnsi="Arial" w:cs="Arial"/>
                <w:sz w:val="20"/>
                <w:szCs w:val="20"/>
              </w:rPr>
            </w:pPr>
            <w:r>
              <w:rPr>
                <w:rFonts w:ascii="Arial" w:hAnsi="Arial" w:cs="Arial"/>
                <w:sz w:val="20"/>
                <w:szCs w:val="20"/>
              </w:rPr>
              <w:t>K-512</w:t>
            </w:r>
          </w:p>
        </w:tc>
        <w:tc>
          <w:tcPr>
            <w:tcW w:w="3685" w:type="dxa"/>
            <w:noWrap/>
            <w:vAlign w:val="bottom"/>
          </w:tcPr>
          <w:p w:rsidR="006B3194" w:rsidRDefault="006B3194">
            <w:pPr>
              <w:rPr>
                <w:rFonts w:ascii="Arial" w:hAnsi="Arial" w:cs="Arial"/>
                <w:sz w:val="20"/>
                <w:szCs w:val="20"/>
              </w:rPr>
            </w:pPr>
            <w:r>
              <w:rPr>
                <w:rFonts w:ascii="Arial" w:hAnsi="Arial" w:cs="Arial"/>
                <w:sz w:val="20"/>
                <w:szCs w:val="20"/>
              </w:rPr>
              <w:t>Tomsk</w:t>
            </w:r>
          </w:p>
        </w:tc>
        <w:tc>
          <w:tcPr>
            <w:tcW w:w="1276" w:type="dxa"/>
            <w:noWrap/>
            <w:vAlign w:val="bottom"/>
          </w:tcPr>
          <w:p w:rsidR="006B3194" w:rsidRDefault="006B3194" w:rsidP="006B3194">
            <w:pPr>
              <w:rPr>
                <w:rFonts w:ascii="Arial" w:hAnsi="Arial" w:cs="Arial"/>
                <w:sz w:val="20"/>
                <w:szCs w:val="20"/>
              </w:rPr>
            </w:pPr>
            <w:r>
              <w:rPr>
                <w:rFonts w:ascii="Arial" w:hAnsi="Arial" w:cs="Arial"/>
                <w:sz w:val="20"/>
                <w:szCs w:val="20"/>
              </w:rPr>
              <w:t>Pacific</w:t>
            </w:r>
          </w:p>
        </w:tc>
        <w:tc>
          <w:tcPr>
            <w:tcW w:w="2380" w:type="dxa"/>
            <w:noWrap/>
            <w:vAlign w:val="bottom"/>
          </w:tcPr>
          <w:p w:rsidR="006B3194" w:rsidRPr="0055643D" w:rsidRDefault="006B3194" w:rsidP="00EC00FA"/>
        </w:tc>
      </w:tr>
    </w:tbl>
    <w:p w:rsidR="006B3194" w:rsidRDefault="006B3194"/>
    <w:p w:rsidR="00EC00FA" w:rsidRDefault="00EC00FA">
      <w:r>
        <w:rPr>
          <w:noProof/>
          <w:lang w:eastAsia="en-CA"/>
        </w:rPr>
        <w:lastRenderedPageBreak/>
        <w:drawing>
          <wp:inline distT="0" distB="0" distL="0" distR="0">
            <wp:extent cx="594360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ar_2_class_l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p>
    <w:p w:rsidR="00E73EA2" w:rsidRPr="00E73EA2" w:rsidRDefault="006F73D6">
      <w:pPr>
        <w:rPr>
          <w:b/>
        </w:rPr>
      </w:pPr>
      <w:hyperlink r:id="rId7" w:history="1">
        <w:r w:rsidR="00E73EA2" w:rsidRPr="00E73EA2">
          <w:rPr>
            <w:rStyle w:val="Hyperlink"/>
            <w:b/>
          </w:rPr>
          <w:t>Charlie Class</w:t>
        </w:r>
      </w:hyperlink>
    </w:p>
    <w:p w:rsidR="00E73EA2" w:rsidRDefault="00E73EA2">
      <w:r>
        <w:t xml:space="preserve">Considered a ‘Second Generation’ of Soviet Submarine, the Charlie class has two main variants. The Charlie I is slightly smaller has eight </w:t>
      </w:r>
      <w:hyperlink r:id="rId8" w:history="1">
        <w:r w:rsidRPr="00E73EA2">
          <w:rPr>
            <w:rStyle w:val="Hyperlink"/>
          </w:rPr>
          <w:t xml:space="preserve">SS-N-7 </w:t>
        </w:r>
        <w:proofErr w:type="spellStart"/>
        <w:r w:rsidRPr="00E73EA2">
          <w:rPr>
            <w:rStyle w:val="Hyperlink"/>
          </w:rPr>
          <w:t>Starbright</w:t>
        </w:r>
        <w:proofErr w:type="spellEnd"/>
      </w:hyperlink>
      <w:r>
        <w:t xml:space="preserve"> while the Charlie II has eight of the much more capable </w:t>
      </w:r>
      <w:hyperlink r:id="rId9" w:history="1">
        <w:r w:rsidRPr="00E73EA2">
          <w:rPr>
            <w:rStyle w:val="Hyperlink"/>
          </w:rPr>
          <w:t>SS-N-9 Siren</w:t>
        </w:r>
      </w:hyperlink>
      <w:r>
        <w:t xml:space="preserve"> missiles. Although these boats are much more capable than their predecessors, they have many design flaws, are relatively noisy and can only maintain 24knts speed, insufficient to maintain pace with many of their perspective targets. By 1994, the Charlies are not likely to be used against US aircraft carriers, but will limit their hunting to commercial and logistic traffic, where their lack of stealth, short ranged and limited </w:t>
      </w:r>
      <w:r w:rsidR="00795F2A">
        <w:t xml:space="preserve">number of </w:t>
      </w:r>
      <w:r>
        <w:t>missiles</w:t>
      </w:r>
      <w:r w:rsidR="00795F2A">
        <w:t xml:space="preserve"> may allow them to survive better.</w:t>
      </w:r>
    </w:p>
    <w:tbl>
      <w:tblPr>
        <w:tblStyle w:val="TableGrid"/>
        <w:tblW w:w="9576" w:type="dxa"/>
        <w:tblLayout w:type="fixed"/>
        <w:tblLook w:val="04A0" w:firstRow="1" w:lastRow="0" w:firstColumn="1" w:lastColumn="0" w:noHBand="0" w:noVBand="1"/>
      </w:tblPr>
      <w:tblGrid>
        <w:gridCol w:w="1242"/>
        <w:gridCol w:w="993"/>
        <w:gridCol w:w="1275"/>
        <w:gridCol w:w="1134"/>
        <w:gridCol w:w="4932"/>
      </w:tblGrid>
      <w:tr w:rsidR="00795F2A" w:rsidTr="00B729D2">
        <w:tc>
          <w:tcPr>
            <w:tcW w:w="1242" w:type="dxa"/>
          </w:tcPr>
          <w:p w:rsidR="00795F2A" w:rsidRDefault="00795F2A" w:rsidP="00795F2A">
            <w:r>
              <w:t>Class</w:t>
            </w:r>
          </w:p>
        </w:tc>
        <w:tc>
          <w:tcPr>
            <w:tcW w:w="993" w:type="dxa"/>
          </w:tcPr>
          <w:p w:rsidR="00795F2A" w:rsidRDefault="00795F2A" w:rsidP="00795F2A">
            <w:r>
              <w:t>Pennant</w:t>
            </w:r>
          </w:p>
        </w:tc>
        <w:tc>
          <w:tcPr>
            <w:tcW w:w="1275" w:type="dxa"/>
          </w:tcPr>
          <w:p w:rsidR="00795F2A" w:rsidRDefault="00795F2A" w:rsidP="00795F2A">
            <w:r>
              <w:t>Name</w:t>
            </w:r>
          </w:p>
        </w:tc>
        <w:tc>
          <w:tcPr>
            <w:tcW w:w="1134" w:type="dxa"/>
          </w:tcPr>
          <w:p w:rsidR="00795F2A" w:rsidRDefault="00795F2A" w:rsidP="00795F2A">
            <w:r>
              <w:t>Fleet</w:t>
            </w:r>
          </w:p>
        </w:tc>
        <w:tc>
          <w:tcPr>
            <w:tcW w:w="4932" w:type="dxa"/>
          </w:tcPr>
          <w:p w:rsidR="00795F2A" w:rsidRDefault="00795F2A" w:rsidP="00795F2A">
            <w:r>
              <w:t>Remarks</w:t>
            </w:r>
          </w:p>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Charlie I</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K-25</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rsidP="00795F2A">
            <w:pPr>
              <w:rPr>
                <w:rFonts w:ascii="Arial" w:hAnsi="Arial" w:cs="Arial"/>
                <w:sz w:val="20"/>
                <w:szCs w:val="20"/>
              </w:rPr>
            </w:pPr>
            <w:r>
              <w:rPr>
                <w:rFonts w:ascii="Arial" w:hAnsi="Arial" w:cs="Arial"/>
                <w:sz w:val="20"/>
                <w:szCs w:val="20"/>
              </w:rPr>
              <w:t>Pacific</w:t>
            </w:r>
          </w:p>
        </w:tc>
        <w:tc>
          <w:tcPr>
            <w:tcW w:w="4932" w:type="dxa"/>
            <w:noWrap/>
          </w:tcPr>
          <w:p w:rsidR="00795F2A"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K-43</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rsidP="00795F2A">
            <w:pPr>
              <w:rPr>
                <w:rFonts w:ascii="Arial" w:hAnsi="Arial" w:cs="Arial"/>
                <w:sz w:val="20"/>
                <w:szCs w:val="20"/>
              </w:rPr>
            </w:pPr>
            <w:r>
              <w:rPr>
                <w:rFonts w:ascii="Arial" w:hAnsi="Arial" w:cs="Arial"/>
                <w:sz w:val="20"/>
                <w:szCs w:val="20"/>
              </w:rPr>
              <w:t>Pacific</w:t>
            </w:r>
          </w:p>
        </w:tc>
        <w:tc>
          <w:tcPr>
            <w:tcW w:w="4932" w:type="dxa"/>
            <w:noWrap/>
          </w:tcPr>
          <w:p w:rsidR="00795F2A"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K-87</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rsidP="00795F2A">
            <w:pPr>
              <w:rPr>
                <w:rFonts w:ascii="Arial" w:hAnsi="Arial" w:cs="Arial"/>
                <w:sz w:val="20"/>
                <w:szCs w:val="20"/>
              </w:rPr>
            </w:pPr>
            <w:r>
              <w:rPr>
                <w:rFonts w:ascii="Arial" w:hAnsi="Arial" w:cs="Arial"/>
                <w:sz w:val="20"/>
                <w:szCs w:val="20"/>
              </w:rPr>
              <w:t>Pacific</w:t>
            </w:r>
          </w:p>
        </w:tc>
        <w:tc>
          <w:tcPr>
            <w:tcW w:w="4932" w:type="dxa"/>
            <w:noWrap/>
          </w:tcPr>
          <w:p w:rsidR="00795F2A"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K-121</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K-313</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tcPr>
          <w:p w:rsidR="00795F2A"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K-308</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tcPr>
          <w:p w:rsidR="00795F2A"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K-320</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K-302</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K-325</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vAlign w:val="bottom"/>
          </w:tcPr>
          <w:p w:rsidR="00795F2A" w:rsidRPr="0055643D" w:rsidRDefault="00795F2A" w:rsidP="00795F2A"/>
        </w:tc>
      </w:tr>
      <w:tr w:rsidR="00795F2A" w:rsidRPr="004E2516" w:rsidTr="00B729D2">
        <w:trPr>
          <w:trHeight w:val="255"/>
        </w:trPr>
        <w:tc>
          <w:tcPr>
            <w:tcW w:w="1242" w:type="dxa"/>
            <w:shd w:val="clear" w:color="auto" w:fill="auto"/>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shd w:val="clear" w:color="auto" w:fill="auto"/>
            <w:noWrap/>
            <w:vAlign w:val="bottom"/>
          </w:tcPr>
          <w:p w:rsidR="00795F2A" w:rsidRDefault="00795F2A">
            <w:pPr>
              <w:rPr>
                <w:rFonts w:ascii="Arial" w:hAnsi="Arial" w:cs="Arial"/>
                <w:sz w:val="20"/>
                <w:szCs w:val="20"/>
              </w:rPr>
            </w:pPr>
            <w:r>
              <w:rPr>
                <w:rFonts w:ascii="Arial" w:hAnsi="Arial" w:cs="Arial"/>
                <w:sz w:val="20"/>
                <w:szCs w:val="20"/>
              </w:rPr>
              <w:t>K-429</w:t>
            </w:r>
          </w:p>
        </w:tc>
        <w:tc>
          <w:tcPr>
            <w:tcW w:w="1275" w:type="dxa"/>
            <w:shd w:val="clear" w:color="auto" w:fill="auto"/>
            <w:noWrap/>
            <w:vAlign w:val="bottom"/>
          </w:tcPr>
          <w:p w:rsidR="00795F2A" w:rsidRDefault="00795F2A">
            <w:pPr>
              <w:rPr>
                <w:rFonts w:ascii="Arial" w:hAnsi="Arial" w:cs="Arial"/>
                <w:sz w:val="20"/>
                <w:szCs w:val="20"/>
              </w:rPr>
            </w:pPr>
          </w:p>
        </w:tc>
        <w:tc>
          <w:tcPr>
            <w:tcW w:w="1134" w:type="dxa"/>
            <w:shd w:val="clear" w:color="auto" w:fill="auto"/>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shd w:val="clear" w:color="auto" w:fill="auto"/>
            <w:noWrap/>
            <w:vAlign w:val="bottom"/>
          </w:tcPr>
          <w:p w:rsidR="00795F2A" w:rsidRPr="0055643D" w:rsidRDefault="00795F2A" w:rsidP="00B729D2">
            <w:r>
              <w:t>Sunk</w:t>
            </w:r>
            <w:r w:rsidR="00B729D2">
              <w:t>, refloated, sunk</w:t>
            </w:r>
            <w:r>
              <w:t xml:space="preserve"> </w:t>
            </w:r>
            <w:r w:rsidR="00B729D2">
              <w:t>again: refloated and in service</w:t>
            </w:r>
          </w:p>
        </w:tc>
      </w:tr>
      <w:tr w:rsidR="00795F2A" w:rsidRPr="004E2516" w:rsidTr="00B729D2">
        <w:trPr>
          <w:trHeight w:val="255"/>
        </w:trPr>
        <w:tc>
          <w:tcPr>
            <w:tcW w:w="1242" w:type="dxa"/>
            <w:noWrap/>
            <w:vAlign w:val="bottom"/>
          </w:tcPr>
          <w:p w:rsidR="00795F2A" w:rsidRDefault="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pPr>
              <w:rPr>
                <w:rFonts w:ascii="Arial" w:hAnsi="Arial" w:cs="Arial"/>
                <w:sz w:val="20"/>
                <w:szCs w:val="20"/>
              </w:rPr>
            </w:pPr>
            <w:r>
              <w:rPr>
                <w:rFonts w:ascii="Arial" w:hAnsi="Arial" w:cs="Arial"/>
                <w:sz w:val="20"/>
                <w:szCs w:val="20"/>
              </w:rPr>
              <w:t>K-201</w:t>
            </w:r>
          </w:p>
        </w:tc>
        <w:tc>
          <w:tcPr>
            <w:tcW w:w="1275" w:type="dxa"/>
            <w:noWrap/>
            <w:vAlign w:val="bottom"/>
          </w:tcPr>
          <w:p w:rsidR="00795F2A" w:rsidRDefault="00795F2A">
            <w:pPr>
              <w:rPr>
                <w:rFonts w:ascii="Arial" w:hAnsi="Arial" w:cs="Arial"/>
                <w:sz w:val="20"/>
                <w:szCs w:val="20"/>
              </w:rPr>
            </w:pPr>
          </w:p>
        </w:tc>
        <w:tc>
          <w:tcPr>
            <w:tcW w:w="1134" w:type="dxa"/>
            <w:noWrap/>
            <w:vAlign w:val="bottom"/>
          </w:tcPr>
          <w:p w:rsidR="00795F2A" w:rsidRDefault="00795F2A">
            <w:pPr>
              <w:rPr>
                <w:rFonts w:ascii="Arial" w:hAnsi="Arial" w:cs="Arial"/>
                <w:sz w:val="20"/>
                <w:szCs w:val="20"/>
              </w:rPr>
            </w:pPr>
            <w:r>
              <w:rPr>
                <w:rFonts w:ascii="Arial" w:hAnsi="Arial" w:cs="Arial"/>
                <w:sz w:val="20"/>
                <w:szCs w:val="20"/>
              </w:rPr>
              <w:t>Pacific</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lastRenderedPageBreak/>
              <w:t>Charlie II</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K-458</w:t>
            </w:r>
          </w:p>
        </w:tc>
        <w:tc>
          <w:tcPr>
            <w:tcW w:w="1275" w:type="dxa"/>
            <w:noWrap/>
            <w:vAlign w:val="bottom"/>
          </w:tcPr>
          <w:p w:rsidR="00795F2A" w:rsidRDefault="00795F2A" w:rsidP="00795F2A">
            <w:pPr>
              <w:rPr>
                <w:rFonts w:ascii="Arial" w:hAnsi="Arial" w:cs="Arial"/>
                <w:sz w:val="20"/>
                <w:szCs w:val="20"/>
              </w:rPr>
            </w:pPr>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K-452</w:t>
            </w:r>
          </w:p>
        </w:tc>
        <w:tc>
          <w:tcPr>
            <w:tcW w:w="1275" w:type="dxa"/>
            <w:noWrap/>
            <w:vAlign w:val="bottom"/>
          </w:tcPr>
          <w:p w:rsidR="00795F2A" w:rsidRDefault="00795F2A" w:rsidP="00795F2A">
            <w:pPr>
              <w:rPr>
                <w:rFonts w:ascii="Arial" w:hAnsi="Arial" w:cs="Arial"/>
                <w:sz w:val="20"/>
                <w:szCs w:val="20"/>
              </w:rPr>
            </w:pPr>
            <w:proofErr w:type="spellStart"/>
            <w:r w:rsidRPr="00795F2A">
              <w:rPr>
                <w:rFonts w:ascii="Arial" w:hAnsi="Arial" w:cs="Arial"/>
                <w:sz w:val="20"/>
                <w:szCs w:val="20"/>
              </w:rPr>
              <w:t>Berkut</w:t>
            </w:r>
            <w:proofErr w:type="spellEnd"/>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K-479</w:t>
            </w:r>
          </w:p>
        </w:tc>
        <w:tc>
          <w:tcPr>
            <w:tcW w:w="1275" w:type="dxa"/>
            <w:noWrap/>
            <w:vAlign w:val="bottom"/>
          </w:tcPr>
          <w:p w:rsidR="00795F2A" w:rsidRDefault="00795F2A" w:rsidP="00795F2A">
            <w:pPr>
              <w:rPr>
                <w:rFonts w:ascii="Arial" w:hAnsi="Arial" w:cs="Arial"/>
                <w:sz w:val="20"/>
                <w:szCs w:val="20"/>
              </w:rPr>
            </w:pPr>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K-503</w:t>
            </w:r>
          </w:p>
        </w:tc>
        <w:tc>
          <w:tcPr>
            <w:tcW w:w="1275" w:type="dxa"/>
            <w:noWrap/>
            <w:vAlign w:val="bottom"/>
          </w:tcPr>
          <w:p w:rsidR="00795F2A" w:rsidRDefault="00795F2A" w:rsidP="00795F2A">
            <w:pPr>
              <w:rPr>
                <w:rFonts w:ascii="Arial" w:hAnsi="Arial" w:cs="Arial"/>
                <w:sz w:val="20"/>
                <w:szCs w:val="20"/>
              </w:rPr>
            </w:pPr>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K-508</w:t>
            </w:r>
          </w:p>
        </w:tc>
        <w:tc>
          <w:tcPr>
            <w:tcW w:w="1275" w:type="dxa"/>
            <w:noWrap/>
            <w:vAlign w:val="bottom"/>
          </w:tcPr>
          <w:p w:rsidR="00795F2A" w:rsidRDefault="00795F2A" w:rsidP="00795F2A">
            <w:pPr>
              <w:rPr>
                <w:rFonts w:ascii="Arial" w:hAnsi="Arial" w:cs="Arial"/>
                <w:sz w:val="20"/>
                <w:szCs w:val="20"/>
              </w:rPr>
            </w:pPr>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r w:rsidR="00795F2A" w:rsidRPr="004E2516" w:rsidTr="00B729D2">
        <w:trPr>
          <w:trHeight w:val="255"/>
        </w:trPr>
        <w:tc>
          <w:tcPr>
            <w:tcW w:w="1242" w:type="dxa"/>
            <w:noWrap/>
            <w:vAlign w:val="bottom"/>
          </w:tcPr>
          <w:p w:rsidR="00795F2A" w:rsidRDefault="00795F2A" w:rsidP="00795F2A">
            <w:pPr>
              <w:rPr>
                <w:rFonts w:ascii="Arial" w:hAnsi="Arial" w:cs="Arial"/>
                <w:sz w:val="20"/>
                <w:szCs w:val="20"/>
              </w:rPr>
            </w:pPr>
            <w:r>
              <w:rPr>
                <w:rFonts w:ascii="Arial" w:hAnsi="Arial" w:cs="Arial"/>
                <w:sz w:val="20"/>
                <w:szCs w:val="20"/>
              </w:rPr>
              <w:t> </w:t>
            </w:r>
          </w:p>
        </w:tc>
        <w:tc>
          <w:tcPr>
            <w:tcW w:w="993" w:type="dxa"/>
            <w:noWrap/>
            <w:vAlign w:val="bottom"/>
          </w:tcPr>
          <w:p w:rsidR="00795F2A" w:rsidRDefault="00795F2A" w:rsidP="00795F2A">
            <w:pPr>
              <w:rPr>
                <w:rFonts w:ascii="Arial" w:hAnsi="Arial" w:cs="Arial"/>
                <w:sz w:val="20"/>
                <w:szCs w:val="20"/>
              </w:rPr>
            </w:pPr>
            <w:r>
              <w:rPr>
                <w:rFonts w:ascii="Arial" w:hAnsi="Arial" w:cs="Arial"/>
                <w:sz w:val="20"/>
                <w:szCs w:val="20"/>
              </w:rPr>
              <w:t>K-209</w:t>
            </w:r>
          </w:p>
        </w:tc>
        <w:tc>
          <w:tcPr>
            <w:tcW w:w="1275" w:type="dxa"/>
            <w:noWrap/>
            <w:vAlign w:val="bottom"/>
          </w:tcPr>
          <w:p w:rsidR="00795F2A" w:rsidRDefault="00795F2A" w:rsidP="00795F2A">
            <w:pPr>
              <w:rPr>
                <w:rFonts w:ascii="Arial" w:hAnsi="Arial" w:cs="Arial"/>
                <w:sz w:val="20"/>
                <w:szCs w:val="20"/>
              </w:rPr>
            </w:pPr>
          </w:p>
        </w:tc>
        <w:tc>
          <w:tcPr>
            <w:tcW w:w="1134" w:type="dxa"/>
            <w:noWrap/>
          </w:tcPr>
          <w:p w:rsidR="00795F2A" w:rsidRDefault="00795F2A">
            <w:r w:rsidRPr="00C92306">
              <w:rPr>
                <w:rFonts w:ascii="Arial" w:hAnsi="Arial" w:cs="Arial"/>
                <w:sz w:val="20"/>
                <w:szCs w:val="20"/>
              </w:rPr>
              <w:t>Northern</w:t>
            </w:r>
          </w:p>
        </w:tc>
        <w:tc>
          <w:tcPr>
            <w:tcW w:w="4932" w:type="dxa"/>
            <w:noWrap/>
            <w:vAlign w:val="bottom"/>
          </w:tcPr>
          <w:p w:rsidR="00795F2A" w:rsidRPr="0055643D" w:rsidRDefault="00795F2A" w:rsidP="00795F2A"/>
        </w:tc>
      </w:tr>
    </w:tbl>
    <w:p w:rsidR="00795F2A" w:rsidRDefault="00795F2A"/>
    <w:p w:rsidR="00795F2A" w:rsidRDefault="00795F2A">
      <w:r>
        <w:rPr>
          <w:noProof/>
          <w:lang w:eastAsia="en-CA"/>
        </w:rPr>
        <w:drawing>
          <wp:inline distT="0" distB="0" distL="0" distR="0">
            <wp:extent cx="5943600" cy="2323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lie400.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C51A7D" w:rsidRPr="00EA1FA0" w:rsidRDefault="00EA1FA0">
      <w:pPr>
        <w:rPr>
          <w:rStyle w:val="Hyperlink"/>
          <w:b/>
        </w:rPr>
      </w:pPr>
      <w:r>
        <w:rPr>
          <w:b/>
        </w:rPr>
        <w:fldChar w:fldCharType="begin"/>
      </w:r>
      <w:r>
        <w:rPr>
          <w:b/>
        </w:rPr>
        <w:instrText xml:space="preserve"> HYPERLINK "https://fas.org/nuke/guide/russia/theater/661.htm" </w:instrText>
      </w:r>
      <w:r>
        <w:rPr>
          <w:b/>
        </w:rPr>
        <w:fldChar w:fldCharType="separate"/>
      </w:r>
      <w:r w:rsidR="00C51A7D" w:rsidRPr="00EA1FA0">
        <w:rPr>
          <w:rStyle w:val="Hyperlink"/>
          <w:b/>
        </w:rPr>
        <w:t>Papa Class</w:t>
      </w:r>
    </w:p>
    <w:p w:rsidR="00B729D2" w:rsidRDefault="00EA1FA0">
      <w:r>
        <w:rPr>
          <w:b/>
        </w:rPr>
        <w:fldChar w:fldCharType="end"/>
      </w:r>
      <w:r w:rsidR="00B729D2">
        <w:t>This is a single unit class, with the design of submarine K-</w:t>
      </w:r>
      <w:r w:rsidR="000201B0">
        <w:t>162</w:t>
      </w:r>
      <w:r w:rsidR="00B729D2">
        <w:t xml:space="preserve"> being </w:t>
      </w:r>
      <w:r>
        <w:t>discouraged</w:t>
      </w:r>
      <w:r w:rsidR="00B729D2">
        <w:t xml:space="preserve"> from using existing technologies in an effort to spur innovation</w:t>
      </w:r>
      <w:r>
        <w:t>, development was a long process</w:t>
      </w:r>
      <w:r w:rsidR="00B729D2">
        <w:t xml:space="preserve">.  </w:t>
      </w:r>
      <w:r>
        <w:t xml:space="preserve">Built based on a Charlie class hull as a fast attack submarine with a </w:t>
      </w:r>
      <w:r w:rsidR="00B729D2">
        <w:t xml:space="preserve">titanium hull, </w:t>
      </w:r>
      <w:r>
        <w:t>ten</w:t>
      </w:r>
      <w:r w:rsidRPr="00EA1FA0">
        <w:t xml:space="preserve"> </w:t>
      </w:r>
      <w:hyperlink r:id="rId11" w:history="1">
        <w:r w:rsidRPr="00EA1FA0">
          <w:rPr>
            <w:rStyle w:val="Hyperlink"/>
          </w:rPr>
          <w:t xml:space="preserve">SS-N-7 </w:t>
        </w:r>
        <w:proofErr w:type="spellStart"/>
        <w:r w:rsidRPr="00EA1FA0">
          <w:rPr>
            <w:rStyle w:val="Hyperlink"/>
          </w:rPr>
          <w:t>Starbright</w:t>
        </w:r>
        <w:proofErr w:type="spellEnd"/>
      </w:hyperlink>
      <w:r>
        <w:t xml:space="preserve"> missiles mounted forward of the sail and a new reactor set-up; she is considered a forerunner to the Alpha and </w:t>
      </w:r>
      <w:proofErr w:type="spellStart"/>
      <w:r>
        <w:t>Siera</w:t>
      </w:r>
      <w:proofErr w:type="spellEnd"/>
      <w:r>
        <w:t xml:space="preserve"> SSNs, but maintains the designation SSGN.  K-</w:t>
      </w:r>
      <w:r w:rsidR="000201B0">
        <w:t>162</w:t>
      </w:r>
      <w:r>
        <w:t xml:space="preserve"> was </w:t>
      </w:r>
      <w:r w:rsidR="00B729D2">
        <w:t>the fastest submarine in the world</w:t>
      </w:r>
      <w:r w:rsidR="000201B0">
        <w:t xml:space="preserve">, reaching a speed of 44.7 </w:t>
      </w:r>
      <w:proofErr w:type="spellStart"/>
      <w:r w:rsidR="000201B0">
        <w:t>knts</w:t>
      </w:r>
      <w:proofErr w:type="spellEnd"/>
      <w:r>
        <w:t xml:space="preserve">. The sub was placed in reserve in during the late ‘80s and historically was </w:t>
      </w:r>
      <w:r w:rsidR="000201B0">
        <w:t xml:space="preserve">stricken shortly after that – in Northern Fury he remains in reserve and will be recommissioned in the Northern Fleet. </w:t>
      </w:r>
      <w:r>
        <w:t xml:space="preserve"> </w:t>
      </w:r>
    </w:p>
    <w:p w:rsidR="000201B0" w:rsidRDefault="000201B0" w:rsidP="000201B0">
      <w:pPr>
        <w:keepNext/>
      </w:pPr>
      <w:r>
        <w:rPr>
          <w:noProof/>
          <w:lang w:eastAsia="en-CA"/>
        </w:rPr>
        <w:drawing>
          <wp:inline distT="0" distB="0" distL="0" distR="0" wp14:anchorId="634F3E69" wp14:editId="721A3109">
            <wp:extent cx="5943600" cy="2126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a-class-submarin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26615"/>
                    </a:xfrm>
                    <a:prstGeom prst="rect">
                      <a:avLst/>
                    </a:prstGeom>
                  </pic:spPr>
                </pic:pic>
              </a:graphicData>
            </a:graphic>
          </wp:inline>
        </w:drawing>
      </w:r>
    </w:p>
    <w:p w:rsidR="000201B0" w:rsidRDefault="000201B0" w:rsidP="000201B0">
      <w:pPr>
        <w:pStyle w:val="Caption"/>
      </w:pPr>
      <w:r>
        <w:t>K-162 Papa Class SSGN</w:t>
      </w:r>
    </w:p>
    <w:p w:rsidR="00C22E7F" w:rsidRDefault="006F73D6" w:rsidP="00C22E7F">
      <w:pPr>
        <w:rPr>
          <w:b/>
        </w:rPr>
      </w:pPr>
      <w:hyperlink r:id="rId13" w:history="1">
        <w:r w:rsidR="00F82F1E" w:rsidRPr="00F82F1E">
          <w:rPr>
            <w:rStyle w:val="Hyperlink"/>
            <w:b/>
          </w:rPr>
          <w:t>Yankee Notch Class</w:t>
        </w:r>
      </w:hyperlink>
    </w:p>
    <w:p w:rsidR="00F82F1E" w:rsidRDefault="002F1A45" w:rsidP="00C22E7F">
      <w:r>
        <w:rPr>
          <w:noProof/>
          <w:lang w:eastAsia="en-CA"/>
        </w:rPr>
        <w:drawing>
          <wp:anchor distT="0" distB="0" distL="114300" distR="114300" simplePos="0" relativeHeight="251658240" behindDoc="0" locked="0" layoutInCell="1" allowOverlap="1" wp14:anchorId="163E688A" wp14:editId="733D43C1">
            <wp:simplePos x="0" y="0"/>
            <wp:positionH relativeFrom="column">
              <wp:posOffset>2933065</wp:posOffset>
            </wp:positionH>
            <wp:positionV relativeFrom="paragraph">
              <wp:posOffset>17780</wp:posOffset>
            </wp:positionV>
            <wp:extent cx="3124835" cy="2343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kee notch.jpg"/>
                    <pic:cNvPicPr/>
                  </pic:nvPicPr>
                  <pic:blipFill>
                    <a:blip r:embed="rId14">
                      <a:extLst>
                        <a:ext uri="{28A0092B-C50C-407E-A947-70E740481C1C}">
                          <a14:useLocalDpi xmlns:a14="http://schemas.microsoft.com/office/drawing/2010/main" val="0"/>
                        </a:ext>
                      </a:extLst>
                    </a:blip>
                    <a:stretch>
                      <a:fillRect/>
                    </a:stretch>
                  </pic:blipFill>
                  <pic:spPr>
                    <a:xfrm>
                      <a:off x="0" y="0"/>
                      <a:ext cx="3124835" cy="2343150"/>
                    </a:xfrm>
                    <a:prstGeom prst="rect">
                      <a:avLst/>
                    </a:prstGeom>
                  </pic:spPr>
                </pic:pic>
              </a:graphicData>
            </a:graphic>
            <wp14:sizeRelH relativeFrom="page">
              <wp14:pctWidth>0</wp14:pctWidth>
            </wp14:sizeRelH>
            <wp14:sizeRelV relativeFrom="page">
              <wp14:pctHeight>0</wp14:pctHeight>
            </wp14:sizeRelV>
          </wp:anchor>
        </w:drawing>
      </w:r>
      <w:r w:rsidR="00F82F1E">
        <w:t>The Yankee class was the largest class of ballistic missile submarines (SSBN) ever built</w:t>
      </w:r>
      <w:r w:rsidR="00BC761F">
        <w:t>, with 34 boats</w:t>
      </w:r>
      <w:r>
        <w:t>, one of which sank due to a missile fire</w:t>
      </w:r>
      <w:r w:rsidR="00BC761F">
        <w:t xml:space="preserve">. However, they were built in the mid 60’s and the limitations put on the number of submarine launched ballistic missiles (SLBM) in the </w:t>
      </w:r>
      <w:r w:rsidR="00BC761F" w:rsidRPr="00BC761F">
        <w:t>Strategic Arms Limitation Talks (SALT</w:t>
      </w:r>
      <w:r w:rsidR="00BC761F">
        <w:t xml:space="preserve"> I</w:t>
      </w:r>
      <w:r w:rsidR="00BC761F" w:rsidRPr="00BC761F">
        <w:t>)</w:t>
      </w:r>
      <w:r w:rsidR="00BC761F">
        <w:t xml:space="preserve"> treaty meant that as new SSBNs were produced the older ones needed to be retired.  The Soviets felt that the Yankee class had years of service left in the basic design so they proceeded to convert many of them: 16 became SSNs (retired by 94), two became sonar testbed platforms (Yankee Pod and Yankee Big Nose), </w:t>
      </w:r>
      <w:r w:rsidR="00890685">
        <w:t>one was converted to be a mothership for the</w:t>
      </w:r>
      <w:r w:rsidR="00890685">
        <w:rPr>
          <w:rFonts w:ascii="Arial" w:hAnsi="Arial" w:cs="Arial"/>
          <w:color w:val="222222"/>
          <w:sz w:val="21"/>
          <w:szCs w:val="21"/>
          <w:shd w:val="clear" w:color="auto" w:fill="FFFFFF"/>
        </w:rPr>
        <w:t> </w:t>
      </w:r>
      <w:proofErr w:type="spellStart"/>
      <w:r w:rsidR="00890685">
        <w:fldChar w:fldCharType="begin"/>
      </w:r>
      <w:r w:rsidR="00890685">
        <w:instrText xml:space="preserve"> HYPERLINK "http://www.hisutton.com/Spy%20Subs%20-%20X-RAY.html" </w:instrText>
      </w:r>
      <w:r w:rsidR="00890685">
        <w:fldChar w:fldCharType="separate"/>
      </w:r>
      <w:r w:rsidR="00890685" w:rsidRPr="00890685">
        <w:rPr>
          <w:rStyle w:val="Hyperlink"/>
        </w:rPr>
        <w:t>Paltus</w:t>
      </w:r>
      <w:proofErr w:type="spellEnd"/>
      <w:r w:rsidR="00890685" w:rsidRPr="00890685">
        <w:rPr>
          <w:rStyle w:val="Hyperlink"/>
        </w:rPr>
        <w:t>-class </w:t>
      </w:r>
      <w:r w:rsidR="00890685">
        <w:fldChar w:fldCharType="end"/>
      </w:r>
      <w:r w:rsidR="00890685" w:rsidRPr="00890685">
        <w:t>mini-submarines</w:t>
      </w:r>
      <w:r w:rsidR="00890685">
        <w:t xml:space="preserve"> (</w:t>
      </w:r>
      <w:r w:rsidR="00890685" w:rsidRPr="00890685">
        <w:t>Yankee Stretch</w:t>
      </w:r>
      <w:r w:rsidR="00890685">
        <w:t>), one as a testbed for a cancel missile project (</w:t>
      </w:r>
      <w:r w:rsidR="00890685" w:rsidRPr="00890685">
        <w:t>Yankee Sidecar</w:t>
      </w:r>
      <w:r w:rsidR="00890685">
        <w:t xml:space="preserve">), and four (six planned) were converted to SSGNs – the Yankee Notch or </w:t>
      </w:r>
      <w:proofErr w:type="spellStart"/>
      <w:r w:rsidR="00890685" w:rsidRPr="00890685">
        <w:t>Grusha</w:t>
      </w:r>
      <w:proofErr w:type="spellEnd"/>
      <w:r w:rsidR="00890685" w:rsidRPr="00890685">
        <w:t xml:space="preserve"> class</w:t>
      </w:r>
      <w:r w:rsidR="00890685">
        <w:t xml:space="preserve">.  In Northern Fury all six Yankee Notch were converted and they each carry 40 conventional or nuclear tipped </w:t>
      </w:r>
      <w:hyperlink r:id="rId15" w:anchor="mozTocId152650" w:history="1">
        <w:r w:rsidR="00890685" w:rsidRPr="00890685">
          <w:rPr>
            <w:rStyle w:val="Hyperlink"/>
          </w:rPr>
          <w:t>SS-N-21</w:t>
        </w:r>
      </w:hyperlink>
      <w:r w:rsidR="00890685">
        <w:t>.</w:t>
      </w:r>
    </w:p>
    <w:tbl>
      <w:tblPr>
        <w:tblStyle w:val="TableGrid"/>
        <w:tblW w:w="9576" w:type="dxa"/>
        <w:tblLayout w:type="fixed"/>
        <w:tblLook w:val="04A0" w:firstRow="1" w:lastRow="0" w:firstColumn="1" w:lastColumn="0" w:noHBand="0" w:noVBand="1"/>
      </w:tblPr>
      <w:tblGrid>
        <w:gridCol w:w="1951"/>
        <w:gridCol w:w="1276"/>
        <w:gridCol w:w="1417"/>
        <w:gridCol w:w="1134"/>
        <w:gridCol w:w="3798"/>
      </w:tblGrid>
      <w:tr w:rsidR="002F1A45" w:rsidTr="002F1A45">
        <w:tc>
          <w:tcPr>
            <w:tcW w:w="1951" w:type="dxa"/>
          </w:tcPr>
          <w:p w:rsidR="002F1A45" w:rsidRDefault="002F1A45" w:rsidP="002F1A45">
            <w:r>
              <w:t>Class</w:t>
            </w:r>
          </w:p>
        </w:tc>
        <w:tc>
          <w:tcPr>
            <w:tcW w:w="1276" w:type="dxa"/>
          </w:tcPr>
          <w:p w:rsidR="002F1A45" w:rsidRDefault="002F1A45" w:rsidP="002F1A45">
            <w:r>
              <w:t>Pennant</w:t>
            </w:r>
          </w:p>
        </w:tc>
        <w:tc>
          <w:tcPr>
            <w:tcW w:w="1417" w:type="dxa"/>
          </w:tcPr>
          <w:p w:rsidR="002F1A45" w:rsidRDefault="002F1A45" w:rsidP="002F1A45">
            <w:r>
              <w:t>Name</w:t>
            </w:r>
          </w:p>
        </w:tc>
        <w:tc>
          <w:tcPr>
            <w:tcW w:w="1134" w:type="dxa"/>
          </w:tcPr>
          <w:p w:rsidR="002F1A45" w:rsidRDefault="002F1A45" w:rsidP="002F1A45">
            <w:r>
              <w:t>Fleet</w:t>
            </w:r>
          </w:p>
        </w:tc>
        <w:tc>
          <w:tcPr>
            <w:tcW w:w="3798" w:type="dxa"/>
          </w:tcPr>
          <w:p w:rsidR="002F1A45" w:rsidRDefault="002F1A45" w:rsidP="002F1A45">
            <w:r>
              <w:t>Remarks</w:t>
            </w:r>
          </w:p>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r>
              <w:rPr>
                <w:rFonts w:ascii="Arial" w:hAnsi="Arial" w:cs="Arial"/>
                <w:sz w:val="20"/>
                <w:szCs w:val="20"/>
              </w:rPr>
              <w:t>Yankee Notch</w:t>
            </w:r>
          </w:p>
        </w:tc>
        <w:tc>
          <w:tcPr>
            <w:tcW w:w="1276" w:type="dxa"/>
            <w:noWrap/>
            <w:vAlign w:val="bottom"/>
          </w:tcPr>
          <w:p w:rsidR="002F1A45" w:rsidRDefault="002F1A45">
            <w:pPr>
              <w:rPr>
                <w:rFonts w:ascii="Calibri" w:hAnsi="Calibri"/>
                <w:color w:val="000000"/>
              </w:rPr>
            </w:pPr>
            <w:r>
              <w:rPr>
                <w:rFonts w:ascii="Calibri" w:hAnsi="Calibri"/>
                <w:color w:val="000000"/>
              </w:rPr>
              <w:t>K-253</w:t>
            </w:r>
          </w:p>
        </w:tc>
        <w:tc>
          <w:tcPr>
            <w:tcW w:w="1417" w:type="dxa"/>
            <w:noWrap/>
            <w:vAlign w:val="bottom"/>
          </w:tcPr>
          <w:p w:rsidR="002F1A45" w:rsidRDefault="002F1A45" w:rsidP="002F1A45">
            <w:pPr>
              <w:rPr>
                <w:rFonts w:ascii="Arial" w:hAnsi="Arial" w:cs="Arial"/>
                <w:sz w:val="20"/>
                <w:szCs w:val="20"/>
              </w:rPr>
            </w:pPr>
          </w:p>
        </w:tc>
        <w:tc>
          <w:tcPr>
            <w:tcW w:w="1134" w:type="dxa"/>
            <w:noWrap/>
            <w:vAlign w:val="bottom"/>
          </w:tcPr>
          <w:p w:rsidR="002F1A45" w:rsidRDefault="002F1A45" w:rsidP="002F1A45">
            <w:pPr>
              <w:rPr>
                <w:rFonts w:ascii="Arial" w:hAnsi="Arial" w:cs="Arial"/>
                <w:sz w:val="20"/>
                <w:szCs w:val="20"/>
              </w:rPr>
            </w:pPr>
            <w:r>
              <w:rPr>
                <w:rFonts w:ascii="Arial" w:hAnsi="Arial" w:cs="Arial"/>
                <w:sz w:val="20"/>
                <w:szCs w:val="20"/>
              </w:rPr>
              <w:t>Pacific</w:t>
            </w:r>
          </w:p>
        </w:tc>
        <w:tc>
          <w:tcPr>
            <w:tcW w:w="3798" w:type="dxa"/>
            <w:noWrap/>
          </w:tcPr>
          <w:p w:rsidR="002F1A45" w:rsidRDefault="002F1A45" w:rsidP="002F1A45"/>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p>
        </w:tc>
        <w:tc>
          <w:tcPr>
            <w:tcW w:w="1276" w:type="dxa"/>
            <w:noWrap/>
            <w:vAlign w:val="bottom"/>
          </w:tcPr>
          <w:p w:rsidR="002F1A45" w:rsidRDefault="002F1A45">
            <w:pPr>
              <w:rPr>
                <w:rFonts w:ascii="Calibri" w:hAnsi="Calibri"/>
                <w:color w:val="000000"/>
              </w:rPr>
            </w:pPr>
            <w:r>
              <w:rPr>
                <w:rFonts w:ascii="Calibri" w:hAnsi="Calibri"/>
                <w:color w:val="000000"/>
              </w:rPr>
              <w:t>K-395</w:t>
            </w:r>
          </w:p>
        </w:tc>
        <w:tc>
          <w:tcPr>
            <w:tcW w:w="1417" w:type="dxa"/>
            <w:noWrap/>
            <w:vAlign w:val="bottom"/>
          </w:tcPr>
          <w:p w:rsidR="002F1A45" w:rsidRDefault="002F1A45" w:rsidP="002F1A45">
            <w:pPr>
              <w:rPr>
                <w:rFonts w:ascii="Arial" w:hAnsi="Arial" w:cs="Arial"/>
                <w:sz w:val="20"/>
                <w:szCs w:val="20"/>
              </w:rPr>
            </w:pPr>
          </w:p>
        </w:tc>
        <w:tc>
          <w:tcPr>
            <w:tcW w:w="1134" w:type="dxa"/>
            <w:noWrap/>
            <w:vAlign w:val="bottom"/>
          </w:tcPr>
          <w:p w:rsidR="002F1A45" w:rsidRDefault="002F1A45" w:rsidP="002F1A45">
            <w:pPr>
              <w:rPr>
                <w:rFonts w:ascii="Arial" w:hAnsi="Arial" w:cs="Arial"/>
                <w:sz w:val="20"/>
                <w:szCs w:val="20"/>
              </w:rPr>
            </w:pPr>
            <w:r>
              <w:rPr>
                <w:rFonts w:ascii="Arial" w:hAnsi="Arial" w:cs="Arial"/>
                <w:sz w:val="20"/>
                <w:szCs w:val="20"/>
              </w:rPr>
              <w:t>Pacific</w:t>
            </w:r>
          </w:p>
        </w:tc>
        <w:tc>
          <w:tcPr>
            <w:tcW w:w="3798" w:type="dxa"/>
            <w:noWrap/>
          </w:tcPr>
          <w:p w:rsidR="002F1A45" w:rsidRDefault="002F1A45" w:rsidP="002F1A45"/>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p>
        </w:tc>
        <w:tc>
          <w:tcPr>
            <w:tcW w:w="1276" w:type="dxa"/>
            <w:noWrap/>
            <w:vAlign w:val="bottom"/>
          </w:tcPr>
          <w:p w:rsidR="002F1A45" w:rsidRDefault="002F1A45">
            <w:pPr>
              <w:rPr>
                <w:rFonts w:ascii="Calibri" w:hAnsi="Calibri"/>
                <w:color w:val="000000"/>
              </w:rPr>
            </w:pPr>
            <w:r>
              <w:rPr>
                <w:rFonts w:ascii="Calibri" w:hAnsi="Calibri"/>
                <w:color w:val="000000"/>
              </w:rPr>
              <w:t>K-408</w:t>
            </w:r>
          </w:p>
        </w:tc>
        <w:tc>
          <w:tcPr>
            <w:tcW w:w="1417" w:type="dxa"/>
            <w:noWrap/>
            <w:vAlign w:val="bottom"/>
          </w:tcPr>
          <w:p w:rsidR="002F1A45" w:rsidRDefault="002F1A45" w:rsidP="002F1A45">
            <w:pPr>
              <w:rPr>
                <w:rFonts w:ascii="Arial" w:hAnsi="Arial" w:cs="Arial"/>
                <w:sz w:val="20"/>
                <w:szCs w:val="20"/>
              </w:rPr>
            </w:pPr>
          </w:p>
        </w:tc>
        <w:tc>
          <w:tcPr>
            <w:tcW w:w="1134" w:type="dxa"/>
            <w:noWrap/>
          </w:tcPr>
          <w:p w:rsidR="002F1A45" w:rsidRDefault="002F1A45">
            <w:r w:rsidRPr="00622CD7">
              <w:rPr>
                <w:rFonts w:ascii="Arial" w:hAnsi="Arial" w:cs="Arial"/>
                <w:sz w:val="20"/>
                <w:szCs w:val="20"/>
              </w:rPr>
              <w:t>Northern</w:t>
            </w:r>
          </w:p>
        </w:tc>
        <w:tc>
          <w:tcPr>
            <w:tcW w:w="3798" w:type="dxa"/>
            <w:noWrap/>
          </w:tcPr>
          <w:p w:rsidR="002F1A45" w:rsidRDefault="002F1A45" w:rsidP="002F1A45"/>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p>
        </w:tc>
        <w:tc>
          <w:tcPr>
            <w:tcW w:w="1276" w:type="dxa"/>
            <w:noWrap/>
            <w:vAlign w:val="bottom"/>
          </w:tcPr>
          <w:p w:rsidR="002F1A45" w:rsidRDefault="002F1A45">
            <w:pPr>
              <w:rPr>
                <w:rFonts w:ascii="Calibri" w:hAnsi="Calibri"/>
                <w:color w:val="000000"/>
              </w:rPr>
            </w:pPr>
            <w:r>
              <w:rPr>
                <w:rFonts w:ascii="Calibri" w:hAnsi="Calibri"/>
                <w:color w:val="000000"/>
              </w:rPr>
              <w:t>K-411</w:t>
            </w:r>
          </w:p>
        </w:tc>
        <w:tc>
          <w:tcPr>
            <w:tcW w:w="1417" w:type="dxa"/>
            <w:noWrap/>
            <w:vAlign w:val="bottom"/>
          </w:tcPr>
          <w:p w:rsidR="002F1A45" w:rsidRDefault="002F1A45" w:rsidP="002F1A45">
            <w:pPr>
              <w:rPr>
                <w:rFonts w:ascii="Arial" w:hAnsi="Arial" w:cs="Arial"/>
                <w:sz w:val="20"/>
                <w:szCs w:val="20"/>
              </w:rPr>
            </w:pPr>
          </w:p>
        </w:tc>
        <w:tc>
          <w:tcPr>
            <w:tcW w:w="1134" w:type="dxa"/>
            <w:noWrap/>
          </w:tcPr>
          <w:p w:rsidR="002F1A45" w:rsidRDefault="002F1A45">
            <w:r w:rsidRPr="00622CD7">
              <w:rPr>
                <w:rFonts w:ascii="Arial" w:hAnsi="Arial" w:cs="Arial"/>
                <w:sz w:val="20"/>
                <w:szCs w:val="20"/>
              </w:rPr>
              <w:t>Northern</w:t>
            </w:r>
          </w:p>
        </w:tc>
        <w:tc>
          <w:tcPr>
            <w:tcW w:w="3798" w:type="dxa"/>
            <w:noWrap/>
            <w:vAlign w:val="bottom"/>
          </w:tcPr>
          <w:p w:rsidR="002F1A45" w:rsidRPr="0055643D" w:rsidRDefault="002F1A45" w:rsidP="002F1A45"/>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p>
        </w:tc>
        <w:tc>
          <w:tcPr>
            <w:tcW w:w="1276" w:type="dxa"/>
            <w:noWrap/>
            <w:vAlign w:val="bottom"/>
          </w:tcPr>
          <w:p w:rsidR="002F1A45" w:rsidRDefault="002F1A45">
            <w:pPr>
              <w:rPr>
                <w:rFonts w:ascii="Calibri" w:hAnsi="Calibri"/>
                <w:color w:val="000000"/>
              </w:rPr>
            </w:pPr>
            <w:r>
              <w:rPr>
                <w:rFonts w:ascii="Calibri" w:hAnsi="Calibri"/>
                <w:color w:val="000000"/>
              </w:rPr>
              <w:t>K-252</w:t>
            </w:r>
          </w:p>
        </w:tc>
        <w:tc>
          <w:tcPr>
            <w:tcW w:w="1417" w:type="dxa"/>
            <w:noWrap/>
            <w:vAlign w:val="bottom"/>
          </w:tcPr>
          <w:p w:rsidR="002F1A45" w:rsidRDefault="002F1A45" w:rsidP="002F1A45">
            <w:pPr>
              <w:rPr>
                <w:rFonts w:ascii="Arial" w:hAnsi="Arial" w:cs="Arial"/>
                <w:sz w:val="20"/>
                <w:szCs w:val="20"/>
              </w:rPr>
            </w:pPr>
          </w:p>
        </w:tc>
        <w:tc>
          <w:tcPr>
            <w:tcW w:w="1134" w:type="dxa"/>
            <w:noWrap/>
          </w:tcPr>
          <w:p w:rsidR="002F1A45" w:rsidRDefault="002F1A45" w:rsidP="002F1A45">
            <w:r w:rsidRPr="00C92306">
              <w:rPr>
                <w:rFonts w:ascii="Arial" w:hAnsi="Arial" w:cs="Arial"/>
                <w:sz w:val="20"/>
                <w:szCs w:val="20"/>
              </w:rPr>
              <w:t>Northern</w:t>
            </w:r>
          </w:p>
        </w:tc>
        <w:tc>
          <w:tcPr>
            <w:tcW w:w="3798" w:type="dxa"/>
            <w:noWrap/>
          </w:tcPr>
          <w:p w:rsidR="002F1A45" w:rsidRDefault="002F1A45" w:rsidP="002F1A45"/>
        </w:tc>
      </w:tr>
      <w:tr w:rsidR="002F1A45" w:rsidRPr="004E2516" w:rsidTr="002F1A45">
        <w:trPr>
          <w:trHeight w:val="255"/>
        </w:trPr>
        <w:tc>
          <w:tcPr>
            <w:tcW w:w="1951" w:type="dxa"/>
            <w:noWrap/>
            <w:vAlign w:val="bottom"/>
          </w:tcPr>
          <w:p w:rsidR="002F1A45" w:rsidRDefault="002F1A45" w:rsidP="002F1A45">
            <w:pPr>
              <w:rPr>
                <w:rFonts w:ascii="Arial" w:hAnsi="Arial" w:cs="Arial"/>
                <w:sz w:val="20"/>
                <w:szCs w:val="20"/>
              </w:rPr>
            </w:pPr>
          </w:p>
        </w:tc>
        <w:tc>
          <w:tcPr>
            <w:tcW w:w="1276" w:type="dxa"/>
            <w:noWrap/>
            <w:vAlign w:val="bottom"/>
          </w:tcPr>
          <w:p w:rsidR="002F1A45" w:rsidRDefault="002F1A45">
            <w:pPr>
              <w:rPr>
                <w:rFonts w:ascii="Calibri" w:hAnsi="Calibri"/>
                <w:color w:val="000000"/>
              </w:rPr>
            </w:pPr>
            <w:r>
              <w:rPr>
                <w:rFonts w:ascii="Calibri" w:hAnsi="Calibri"/>
                <w:color w:val="000000"/>
              </w:rPr>
              <w:t>K-389</w:t>
            </w:r>
          </w:p>
        </w:tc>
        <w:tc>
          <w:tcPr>
            <w:tcW w:w="1417" w:type="dxa"/>
            <w:noWrap/>
            <w:vAlign w:val="bottom"/>
          </w:tcPr>
          <w:p w:rsidR="002F1A45" w:rsidRDefault="002F1A45" w:rsidP="002F1A45">
            <w:pPr>
              <w:rPr>
                <w:rFonts w:ascii="Arial" w:hAnsi="Arial" w:cs="Arial"/>
                <w:sz w:val="20"/>
                <w:szCs w:val="20"/>
              </w:rPr>
            </w:pPr>
          </w:p>
        </w:tc>
        <w:tc>
          <w:tcPr>
            <w:tcW w:w="1134" w:type="dxa"/>
            <w:noWrap/>
          </w:tcPr>
          <w:p w:rsidR="002F1A45" w:rsidRDefault="002F1A45" w:rsidP="002F1A45">
            <w:r w:rsidRPr="00C92306">
              <w:rPr>
                <w:rFonts w:ascii="Arial" w:hAnsi="Arial" w:cs="Arial"/>
                <w:sz w:val="20"/>
                <w:szCs w:val="20"/>
              </w:rPr>
              <w:t>Northern</w:t>
            </w:r>
          </w:p>
        </w:tc>
        <w:tc>
          <w:tcPr>
            <w:tcW w:w="3798" w:type="dxa"/>
            <w:noWrap/>
          </w:tcPr>
          <w:p w:rsidR="002F1A45" w:rsidRDefault="002F1A45" w:rsidP="002F1A45"/>
        </w:tc>
      </w:tr>
    </w:tbl>
    <w:p w:rsidR="00890685" w:rsidRPr="00F82F1E" w:rsidRDefault="00890685" w:rsidP="00C22E7F"/>
    <w:p w:rsidR="00F82F1E" w:rsidRPr="00475E93" w:rsidRDefault="006F73D6" w:rsidP="00C22E7F">
      <w:pPr>
        <w:rPr>
          <w:b/>
        </w:rPr>
      </w:pPr>
      <w:hyperlink r:id="rId16" w:history="1">
        <w:r w:rsidR="00475E93" w:rsidRPr="00475E93">
          <w:rPr>
            <w:rStyle w:val="Hyperlink"/>
            <w:b/>
          </w:rPr>
          <w:t>Echo II class</w:t>
        </w:r>
      </w:hyperlink>
    </w:p>
    <w:p w:rsidR="00475E93" w:rsidRDefault="00475E93" w:rsidP="00C22E7F">
      <w:r>
        <w:t>These obsolete and accident prone boats are considered ‘First Generation’ SSGNs.  The preceding Echo I class were all retired by 1994 but all surviving Echo IIs remain active in the Northern Fury campaign. These boats must surface to launch their missiles, and must remain in that vulnerable state until the missiles receive mid-course guidance updates – up to 20 minutes. Modern submariners would consider this as suicidal.  These boats have gone through a series of upgrades to carry more modern missiles,</w:t>
      </w:r>
      <w:r w:rsidR="00C61A41">
        <w:t xml:space="preserve"> the original boats carried eight</w:t>
      </w:r>
      <w:r>
        <w:t xml:space="preserve"> </w:t>
      </w:r>
      <w:hyperlink r:id="rId17" w:history="1">
        <w:r w:rsidR="00C61A41" w:rsidRPr="00C61A41">
          <w:rPr>
            <w:rStyle w:val="Hyperlink"/>
          </w:rPr>
          <w:t>SS-N-3a "Shaddock"</w:t>
        </w:r>
      </w:hyperlink>
      <w:r w:rsidR="00C61A41">
        <w:t xml:space="preserve"> anti-ship missiles, 14 were converted to carry the </w:t>
      </w:r>
      <w:hyperlink r:id="rId18" w:history="1">
        <w:r w:rsidR="00C61A41" w:rsidRPr="00C61A41">
          <w:rPr>
            <w:rStyle w:val="Hyperlink"/>
          </w:rPr>
          <w:t xml:space="preserve">P-500 </w:t>
        </w:r>
        <w:proofErr w:type="spellStart"/>
        <w:r w:rsidR="00C61A41" w:rsidRPr="00C61A41">
          <w:rPr>
            <w:rStyle w:val="Hyperlink"/>
          </w:rPr>
          <w:t>Bazalt</w:t>
        </w:r>
        <w:proofErr w:type="spellEnd"/>
        <w:r w:rsidR="00C61A41" w:rsidRPr="00C61A41">
          <w:rPr>
            <w:rStyle w:val="Hyperlink"/>
          </w:rPr>
          <w:t xml:space="preserve">  SS-N-12 "Sandbox",</w:t>
        </w:r>
      </w:hyperlink>
      <w:r w:rsidR="00C61A41">
        <w:t xml:space="preserve"> and of five of these (3 historically) were converted to the improved P-1000 version with a better radar and extended range. </w:t>
      </w:r>
      <w:r>
        <w:t xml:space="preserve">Of the 29 boats, </w:t>
      </w:r>
      <w:r w:rsidR="00880DE6">
        <w:t xml:space="preserve">one </w:t>
      </w:r>
      <w:r>
        <w:t>ha</w:t>
      </w:r>
      <w:r w:rsidR="00880DE6">
        <w:t>s</w:t>
      </w:r>
      <w:r>
        <w:t xml:space="preserve"> been sunk </w:t>
      </w:r>
      <w:r w:rsidR="00880DE6">
        <w:t>in a collision but there have been</w:t>
      </w:r>
      <w:r>
        <w:t xml:space="preserve"> 13 major collisions, fires, or reactor accidents</w:t>
      </w:r>
      <w:r w:rsidR="00880DE6">
        <w:t xml:space="preserve"> involving these boats</w:t>
      </w:r>
      <w:r>
        <w:t xml:space="preserve">. </w:t>
      </w:r>
      <w:r w:rsidR="00C61A41">
        <w:t xml:space="preserve"> </w:t>
      </w:r>
      <w:r w:rsidR="00880DE6">
        <w:t>Three</w:t>
      </w:r>
      <w:r w:rsidR="00182BA3">
        <w:t xml:space="preserve"> boats had been converted to receive targeting data directly from satellites, and h</w:t>
      </w:r>
      <w:r w:rsidR="00C61A41">
        <w:t xml:space="preserve">istorically, one of the boats was converted to support divers and Special Forces, in Northern Fury four of the original boats have undergone this conversion.  </w:t>
      </w:r>
    </w:p>
    <w:p w:rsidR="00182BA3" w:rsidRDefault="006F73D6" w:rsidP="00C22E7F">
      <w:r>
        <w:rPr>
          <w:noProof/>
          <w:lang w:eastAsia="en-CA"/>
        </w:rPr>
        <w:lastRenderedPageBreak/>
        <w:drawing>
          <wp:anchor distT="0" distB="0" distL="114300" distR="114300" simplePos="0" relativeHeight="251659264" behindDoc="0" locked="0" layoutInCell="1" allowOverlap="1" wp14:anchorId="27EE7698" wp14:editId="02486A6B">
            <wp:simplePos x="0" y="0"/>
            <wp:positionH relativeFrom="column">
              <wp:posOffset>-161925</wp:posOffset>
            </wp:positionH>
            <wp:positionV relativeFrom="paragraph">
              <wp:posOffset>5801360</wp:posOffset>
            </wp:positionV>
            <wp:extent cx="5943600" cy="13760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r-project-675-echo-ii-class-submarin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8647" w:type="dxa"/>
        <w:tblInd w:w="-147" w:type="dxa"/>
        <w:tblLayout w:type="fixed"/>
        <w:tblLook w:val="04A0" w:firstRow="1" w:lastRow="0" w:firstColumn="1" w:lastColumn="0" w:noHBand="0" w:noVBand="1"/>
      </w:tblPr>
      <w:tblGrid>
        <w:gridCol w:w="1418"/>
        <w:gridCol w:w="992"/>
        <w:gridCol w:w="1701"/>
        <w:gridCol w:w="1134"/>
        <w:gridCol w:w="851"/>
        <w:gridCol w:w="2551"/>
      </w:tblGrid>
      <w:tr w:rsidR="00182BA3" w:rsidTr="00350249">
        <w:tc>
          <w:tcPr>
            <w:tcW w:w="1418" w:type="dxa"/>
            <w:shd w:val="clear" w:color="auto" w:fill="D9D9D9" w:themeFill="background1" w:themeFillShade="D9"/>
          </w:tcPr>
          <w:p w:rsidR="00182BA3" w:rsidRDefault="00182BA3" w:rsidP="00C61A41">
            <w:r>
              <w:t>Class</w:t>
            </w:r>
          </w:p>
        </w:tc>
        <w:tc>
          <w:tcPr>
            <w:tcW w:w="992" w:type="dxa"/>
            <w:shd w:val="clear" w:color="auto" w:fill="D9D9D9" w:themeFill="background1" w:themeFillShade="D9"/>
          </w:tcPr>
          <w:p w:rsidR="00182BA3" w:rsidRDefault="00182BA3" w:rsidP="00C61A41">
            <w:r>
              <w:t>Pennant</w:t>
            </w:r>
          </w:p>
        </w:tc>
        <w:tc>
          <w:tcPr>
            <w:tcW w:w="1701" w:type="dxa"/>
            <w:shd w:val="clear" w:color="auto" w:fill="D9D9D9" w:themeFill="background1" w:themeFillShade="D9"/>
          </w:tcPr>
          <w:p w:rsidR="00182BA3" w:rsidRDefault="00182BA3" w:rsidP="00C61A41">
            <w:r>
              <w:t>Name</w:t>
            </w:r>
            <w:bookmarkStart w:id="0" w:name="_GoBack"/>
            <w:bookmarkEnd w:id="0"/>
          </w:p>
        </w:tc>
        <w:tc>
          <w:tcPr>
            <w:tcW w:w="1134" w:type="dxa"/>
            <w:shd w:val="clear" w:color="auto" w:fill="D9D9D9" w:themeFill="background1" w:themeFillShade="D9"/>
          </w:tcPr>
          <w:p w:rsidR="00182BA3" w:rsidRDefault="00182BA3" w:rsidP="00C61A41">
            <w:r>
              <w:t>Fleet</w:t>
            </w:r>
          </w:p>
        </w:tc>
        <w:tc>
          <w:tcPr>
            <w:tcW w:w="851" w:type="dxa"/>
            <w:shd w:val="clear" w:color="auto" w:fill="D9D9D9" w:themeFill="background1" w:themeFillShade="D9"/>
          </w:tcPr>
          <w:p w:rsidR="00182BA3" w:rsidRDefault="00182BA3" w:rsidP="00C61A41">
            <w:r>
              <w:t>SSM</w:t>
            </w:r>
          </w:p>
        </w:tc>
        <w:tc>
          <w:tcPr>
            <w:tcW w:w="2551" w:type="dxa"/>
            <w:shd w:val="clear" w:color="auto" w:fill="D9D9D9" w:themeFill="background1" w:themeFillShade="D9"/>
          </w:tcPr>
          <w:p w:rsidR="00182BA3" w:rsidRDefault="00182BA3" w:rsidP="00C61A41">
            <w:r>
              <w:t>Remarks</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K-1</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K-127</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K-10</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Sunk in collision, 1982</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K-22</w:t>
            </w:r>
          </w:p>
        </w:tc>
        <w:tc>
          <w:tcPr>
            <w:tcW w:w="1701" w:type="dxa"/>
            <w:noWrap/>
            <w:vAlign w:val="bottom"/>
          </w:tcPr>
          <w:p w:rsidR="00F36808" w:rsidRDefault="00F36808">
            <w:pPr>
              <w:rPr>
                <w:rFonts w:ascii="Calibri" w:hAnsi="Calibri"/>
                <w:color w:val="000000"/>
              </w:rPr>
            </w:pPr>
            <w:proofErr w:type="spellStart"/>
            <w:r>
              <w:rPr>
                <w:rFonts w:ascii="Calibri" w:hAnsi="Calibri"/>
                <w:color w:val="000000"/>
              </w:rPr>
              <w:t>Krasnovardeets</w:t>
            </w:r>
            <w:proofErr w:type="spellEnd"/>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K-23</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K-428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K-431</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Northern</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K-134</w:t>
            </w:r>
          </w:p>
        </w:tc>
        <w:tc>
          <w:tcPr>
            <w:tcW w:w="1701" w:type="dxa"/>
            <w:noWrap/>
            <w:vAlign w:val="bottom"/>
          </w:tcPr>
          <w:p w:rsidR="00F36808" w:rsidRDefault="00F36808">
            <w:pPr>
              <w:rPr>
                <w:rFonts w:ascii="Calibri" w:hAnsi="Calibri"/>
                <w:color w:val="000000"/>
              </w:rPr>
            </w:pPr>
            <w:proofErr w:type="spellStart"/>
            <w:r>
              <w:rPr>
                <w:rFonts w:ascii="Calibri" w:hAnsi="Calibri"/>
                <w:color w:val="000000"/>
              </w:rPr>
              <w:t>Kefal</w:t>
            </w:r>
            <w:proofErr w:type="spellEnd"/>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K-35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350249">
        <w:trPr>
          <w:trHeight w:val="255"/>
        </w:trPr>
        <w:tc>
          <w:tcPr>
            <w:tcW w:w="1418" w:type="dxa"/>
            <w:shd w:val="clear" w:color="auto" w:fill="auto"/>
            <w:noWrap/>
            <w:vAlign w:val="bottom"/>
          </w:tcPr>
          <w:p w:rsidR="00F36808" w:rsidRDefault="00F36808">
            <w:pPr>
              <w:rPr>
                <w:rFonts w:ascii="Calibri" w:hAnsi="Calibri"/>
                <w:color w:val="000000"/>
              </w:rPr>
            </w:pPr>
            <w:r>
              <w:rPr>
                <w:rFonts w:ascii="Calibri" w:hAnsi="Calibri"/>
                <w:color w:val="000000"/>
              </w:rPr>
              <w:t>Echo II SOF</w:t>
            </w:r>
          </w:p>
        </w:tc>
        <w:tc>
          <w:tcPr>
            <w:tcW w:w="992" w:type="dxa"/>
            <w:shd w:val="clear" w:color="auto" w:fill="auto"/>
            <w:noWrap/>
            <w:vAlign w:val="bottom"/>
          </w:tcPr>
          <w:p w:rsidR="00F36808" w:rsidRDefault="00F36808">
            <w:pPr>
              <w:rPr>
                <w:rFonts w:ascii="Calibri" w:hAnsi="Calibri"/>
                <w:color w:val="000000"/>
              </w:rPr>
            </w:pPr>
            <w:r>
              <w:rPr>
                <w:rFonts w:ascii="Calibri" w:hAnsi="Calibri"/>
                <w:color w:val="000000"/>
              </w:rPr>
              <w:t>K-47</w:t>
            </w:r>
          </w:p>
        </w:tc>
        <w:tc>
          <w:tcPr>
            <w:tcW w:w="1701" w:type="dxa"/>
            <w:shd w:val="clear" w:color="auto" w:fill="auto"/>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auto"/>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auto"/>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K-48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K-56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K-557</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K-74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K-86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K-90</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K-94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K-144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K-108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K-116</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Pacific</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K-125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K-128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K-135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K-166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K-172</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K-175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K-184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K-189</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350249">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K-192</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Pacific</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bl>
    <w:p w:rsidR="00C61A41" w:rsidRDefault="00C61A41" w:rsidP="00C22E7F"/>
    <w:p w:rsidR="006F73D6" w:rsidRDefault="006F73D6" w:rsidP="00C22E7F"/>
    <w:p w:rsidR="006F73D6" w:rsidRDefault="006F73D6" w:rsidP="00C22E7F"/>
    <w:p w:rsidR="006F73D6" w:rsidRDefault="006F73D6" w:rsidP="00C22E7F">
      <w:hyperlink r:id="rId20" w:history="1">
        <w:proofErr w:type="spellStart"/>
        <w:r w:rsidRPr="006F73D6">
          <w:rPr>
            <w:rStyle w:val="Hyperlink"/>
          </w:rPr>
          <w:t>Juliett</w:t>
        </w:r>
        <w:proofErr w:type="spellEnd"/>
        <w:r w:rsidRPr="006F73D6">
          <w:rPr>
            <w:rStyle w:val="Hyperlink"/>
          </w:rPr>
          <w:t xml:space="preserve"> Class</w:t>
        </w:r>
      </w:hyperlink>
      <w:r>
        <w:t xml:space="preserve"> SSG</w:t>
      </w:r>
    </w:p>
    <w:p w:rsidR="006F73D6" w:rsidRDefault="006F73D6" w:rsidP="00C22E7F">
      <w:r>
        <w:t xml:space="preserve">This class of 16 conventionally powered boats are the only SSG remaining in service, all of the Whiskey class conversions have been retired.  Built to compensate for the slow design and construction of the Echo I and II classes, the </w:t>
      </w:r>
      <w:proofErr w:type="spellStart"/>
      <w:r>
        <w:t>Julietts</w:t>
      </w:r>
      <w:proofErr w:type="spellEnd"/>
      <w:r>
        <w:t xml:space="preserve"> are well past their prime</w:t>
      </w:r>
      <w:r w:rsidR="00B64133">
        <w:t xml:space="preserve"> and historically were all stricken between 1991 and 1994</w:t>
      </w:r>
      <w:r>
        <w:t xml:space="preserve">.  They are able to fire </w:t>
      </w:r>
      <w:r w:rsidRPr="006F73D6">
        <w:t xml:space="preserve">Four </w:t>
      </w:r>
      <w:hyperlink r:id="rId21" w:history="1">
        <w:r w:rsidRPr="006F73D6">
          <w:rPr>
            <w:rStyle w:val="Hyperlink"/>
          </w:rPr>
          <w:t>SS-N-3 Shaddock (P-6)</w:t>
        </w:r>
      </w:hyperlink>
      <w:r>
        <w:t xml:space="preserve"> from the surface only.</w:t>
      </w:r>
    </w:p>
    <w:tbl>
      <w:tblPr>
        <w:tblStyle w:val="TableGrid"/>
        <w:tblW w:w="7796" w:type="dxa"/>
        <w:tblInd w:w="-147" w:type="dxa"/>
        <w:tblLayout w:type="fixed"/>
        <w:tblLook w:val="04A0" w:firstRow="1" w:lastRow="0" w:firstColumn="1" w:lastColumn="0" w:noHBand="0" w:noVBand="1"/>
      </w:tblPr>
      <w:tblGrid>
        <w:gridCol w:w="1418"/>
        <w:gridCol w:w="992"/>
        <w:gridCol w:w="1163"/>
        <w:gridCol w:w="1672"/>
        <w:gridCol w:w="2551"/>
      </w:tblGrid>
      <w:tr w:rsidR="00B64133" w:rsidTr="00350249">
        <w:tc>
          <w:tcPr>
            <w:tcW w:w="1418" w:type="dxa"/>
            <w:shd w:val="clear" w:color="auto" w:fill="D9D9D9" w:themeFill="background1" w:themeFillShade="D9"/>
          </w:tcPr>
          <w:p w:rsidR="00B64133" w:rsidRDefault="00B64133" w:rsidP="00350249">
            <w:pPr>
              <w:ind w:left="345" w:hanging="426"/>
            </w:pPr>
            <w:r>
              <w:t>Class</w:t>
            </w:r>
          </w:p>
        </w:tc>
        <w:tc>
          <w:tcPr>
            <w:tcW w:w="992" w:type="dxa"/>
            <w:shd w:val="clear" w:color="auto" w:fill="D9D9D9" w:themeFill="background1" w:themeFillShade="D9"/>
          </w:tcPr>
          <w:p w:rsidR="00B64133" w:rsidRDefault="00B64133" w:rsidP="006F73D6">
            <w:r>
              <w:t>Pennant</w:t>
            </w:r>
          </w:p>
        </w:tc>
        <w:tc>
          <w:tcPr>
            <w:tcW w:w="1163" w:type="dxa"/>
            <w:shd w:val="clear" w:color="auto" w:fill="D9D9D9" w:themeFill="background1" w:themeFillShade="D9"/>
          </w:tcPr>
          <w:p w:rsidR="00B64133" w:rsidRDefault="00B64133" w:rsidP="006F73D6">
            <w:r>
              <w:t>Name</w:t>
            </w:r>
          </w:p>
        </w:tc>
        <w:tc>
          <w:tcPr>
            <w:tcW w:w="1672" w:type="dxa"/>
            <w:shd w:val="clear" w:color="auto" w:fill="D9D9D9" w:themeFill="background1" w:themeFillShade="D9"/>
          </w:tcPr>
          <w:p w:rsidR="00B64133" w:rsidRDefault="00B64133" w:rsidP="006F73D6">
            <w:r>
              <w:t>Fleet</w:t>
            </w:r>
          </w:p>
        </w:tc>
        <w:tc>
          <w:tcPr>
            <w:tcW w:w="2551" w:type="dxa"/>
            <w:shd w:val="clear" w:color="auto" w:fill="D9D9D9" w:themeFill="background1" w:themeFillShade="D9"/>
          </w:tcPr>
          <w:p w:rsidR="00B64133" w:rsidRDefault="00B64133" w:rsidP="006F73D6">
            <w:r>
              <w:t>Remarks</w:t>
            </w: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roofErr w:type="spellStart"/>
            <w:r>
              <w:rPr>
                <w:rFonts w:ascii="Calibri" w:hAnsi="Calibri"/>
                <w:color w:val="000000"/>
              </w:rPr>
              <w:t>Juliett</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K-156</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Northern</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K-85</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K-70</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Pacific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K-24</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K-77</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K-81</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K-68</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K-63</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Pacific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K-58</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Northern</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K-73</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Pacific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K-67</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Black Sea</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K-78</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K-203</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Baltic</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K-304</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Northern</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K-318</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Black Sea</w:t>
            </w:r>
          </w:p>
        </w:tc>
        <w:tc>
          <w:tcPr>
            <w:tcW w:w="2551" w:type="dxa"/>
            <w:shd w:val="clear" w:color="auto" w:fill="auto"/>
            <w:noWrap/>
            <w:vAlign w:val="bottom"/>
          </w:tcPr>
          <w:p w:rsidR="00B64133" w:rsidRDefault="00B64133" w:rsidP="006F73D6">
            <w:pPr>
              <w:rPr>
                <w:rFonts w:ascii="Calibri" w:hAnsi="Calibri"/>
                <w:color w:val="000000"/>
              </w:rPr>
            </w:pPr>
          </w:p>
        </w:tc>
      </w:tr>
      <w:tr w:rsidR="00B64133" w:rsidRPr="004E2516" w:rsidTr="00350249">
        <w:trPr>
          <w:trHeight w:val="255"/>
        </w:trPr>
        <w:tc>
          <w:tcPr>
            <w:tcW w:w="1418" w:type="dxa"/>
            <w:shd w:val="clear" w:color="auto" w:fill="auto"/>
            <w:noWrap/>
            <w:vAlign w:val="bottom"/>
          </w:tcPr>
          <w:p w:rsidR="00B64133" w:rsidRDefault="00B64133" w:rsidP="006F73D6">
            <w:pPr>
              <w:rPr>
                <w:rFonts w:ascii="Calibri" w:hAnsi="Calibri"/>
                <w:color w:val="000000"/>
              </w:rPr>
            </w:pPr>
          </w:p>
        </w:tc>
        <w:tc>
          <w:tcPr>
            <w:tcW w:w="992" w:type="dxa"/>
            <w:tcBorders>
              <w:top w:val="nil"/>
              <w:left w:val="single" w:sz="4" w:space="0" w:color="000000"/>
              <w:bottom w:val="single" w:sz="4" w:space="0" w:color="000000"/>
              <w:right w:val="single" w:sz="4" w:space="0" w:color="000000"/>
            </w:tcBorders>
            <w:shd w:val="clear" w:color="auto" w:fill="auto"/>
            <w:noWrap/>
            <w:vAlign w:val="center"/>
          </w:tcPr>
          <w:p w:rsidR="00B64133" w:rsidRDefault="00B64133" w:rsidP="006F73D6">
            <w:pPr>
              <w:rPr>
                <w:color w:val="000000"/>
              </w:rPr>
            </w:pPr>
            <w:r>
              <w:rPr>
                <w:color w:val="000000"/>
              </w:rPr>
              <w:t>K-120</w:t>
            </w:r>
          </w:p>
        </w:tc>
        <w:tc>
          <w:tcPr>
            <w:tcW w:w="1163" w:type="dxa"/>
            <w:shd w:val="clear" w:color="auto" w:fill="auto"/>
            <w:noWrap/>
            <w:vAlign w:val="bottom"/>
          </w:tcPr>
          <w:p w:rsidR="00B64133" w:rsidRDefault="00B64133" w:rsidP="006F73D6">
            <w:pPr>
              <w:rPr>
                <w:rFonts w:ascii="Calibri" w:hAnsi="Calibri"/>
                <w:color w:val="000000"/>
              </w:rPr>
            </w:pPr>
          </w:p>
        </w:tc>
        <w:tc>
          <w:tcPr>
            <w:tcW w:w="1672" w:type="dxa"/>
            <w:shd w:val="clear" w:color="auto" w:fill="auto"/>
            <w:noWrap/>
            <w:vAlign w:val="bottom"/>
          </w:tcPr>
          <w:p w:rsidR="00B64133" w:rsidRDefault="00B64133" w:rsidP="006F73D6">
            <w:pPr>
              <w:rPr>
                <w:rFonts w:ascii="Calibri" w:hAnsi="Calibri"/>
                <w:color w:val="000000"/>
              </w:rPr>
            </w:pPr>
            <w:r>
              <w:rPr>
                <w:rFonts w:ascii="Calibri" w:hAnsi="Calibri"/>
                <w:color w:val="000000"/>
              </w:rPr>
              <w:t>Pacific</w:t>
            </w:r>
          </w:p>
        </w:tc>
        <w:tc>
          <w:tcPr>
            <w:tcW w:w="2551" w:type="dxa"/>
            <w:shd w:val="clear" w:color="auto" w:fill="auto"/>
            <w:noWrap/>
            <w:vAlign w:val="bottom"/>
          </w:tcPr>
          <w:p w:rsidR="00B64133" w:rsidRDefault="00B64133" w:rsidP="006F73D6">
            <w:pPr>
              <w:rPr>
                <w:rFonts w:ascii="Calibri" w:hAnsi="Calibri"/>
                <w:color w:val="000000"/>
              </w:rPr>
            </w:pPr>
          </w:p>
        </w:tc>
      </w:tr>
    </w:tbl>
    <w:p w:rsidR="006F73D6" w:rsidRDefault="006F73D6" w:rsidP="00C22E7F"/>
    <w:p w:rsidR="00350249" w:rsidRDefault="00350249" w:rsidP="00C22E7F">
      <w:r>
        <w:rPr>
          <w:noProof/>
          <w:lang w:eastAsia="en-CA"/>
        </w:rPr>
        <w:drawing>
          <wp:inline distT="0" distB="0" distL="0" distR="0">
            <wp:extent cx="4848225" cy="361337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liet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9345" cy="3621666"/>
                    </a:xfrm>
                    <a:prstGeom prst="rect">
                      <a:avLst/>
                    </a:prstGeom>
                  </pic:spPr>
                </pic:pic>
              </a:graphicData>
            </a:graphic>
          </wp:inline>
        </w:drawing>
      </w:r>
    </w:p>
    <w:p w:rsidR="007A6B9C" w:rsidRPr="00C22E7F" w:rsidRDefault="007A6B9C" w:rsidP="00C22E7F"/>
    <w:sectPr w:rsidR="007A6B9C" w:rsidRPr="00C22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C9"/>
    <w:rsid w:val="000201B0"/>
    <w:rsid w:val="00182BA3"/>
    <w:rsid w:val="001C10C9"/>
    <w:rsid w:val="0024129A"/>
    <w:rsid w:val="002F1A45"/>
    <w:rsid w:val="00350249"/>
    <w:rsid w:val="00475E93"/>
    <w:rsid w:val="005D457A"/>
    <w:rsid w:val="006B3194"/>
    <w:rsid w:val="006F73D6"/>
    <w:rsid w:val="00795F2A"/>
    <w:rsid w:val="007A6B9C"/>
    <w:rsid w:val="00880DE6"/>
    <w:rsid w:val="00890685"/>
    <w:rsid w:val="00A922A6"/>
    <w:rsid w:val="00B64133"/>
    <w:rsid w:val="00B729D2"/>
    <w:rsid w:val="00BA1C44"/>
    <w:rsid w:val="00BC761F"/>
    <w:rsid w:val="00C22E7F"/>
    <w:rsid w:val="00C51A7D"/>
    <w:rsid w:val="00C54363"/>
    <w:rsid w:val="00C61A41"/>
    <w:rsid w:val="00C800C3"/>
    <w:rsid w:val="00E73EA2"/>
    <w:rsid w:val="00EA1FA0"/>
    <w:rsid w:val="00EC00FA"/>
    <w:rsid w:val="00F36808"/>
    <w:rsid w:val="00F82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FDBF"/>
  <w15:docId w15:val="{B1F8C845-E76C-4C2C-836B-D7BC485D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363"/>
    <w:rPr>
      <w:color w:val="0000FF" w:themeColor="hyperlink"/>
      <w:u w:val="single"/>
    </w:rPr>
  </w:style>
  <w:style w:type="table" w:styleId="TableGrid">
    <w:name w:val="Table Grid"/>
    <w:basedOn w:val="TableNormal"/>
    <w:uiPriority w:val="59"/>
    <w:rsid w:val="006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FA"/>
    <w:rPr>
      <w:rFonts w:ascii="Tahoma" w:hAnsi="Tahoma" w:cs="Tahoma"/>
      <w:sz w:val="16"/>
      <w:szCs w:val="16"/>
    </w:rPr>
  </w:style>
  <w:style w:type="paragraph" w:styleId="Caption">
    <w:name w:val="caption"/>
    <w:basedOn w:val="Normal"/>
    <w:next w:val="Normal"/>
    <w:uiPriority w:val="35"/>
    <w:unhideWhenUsed/>
    <w:qFormat/>
    <w:rsid w:val="000201B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nuke/guide/russia/theater/ss-n-7.htm" TargetMode="External"/><Relationship Id="rId13" Type="http://schemas.openxmlformats.org/officeDocument/2006/relationships/hyperlink" Target="https://fas.org/nuke/guide/russia/slbm/667AR.htm" TargetMode="External"/><Relationship Id="rId18" Type="http://schemas.openxmlformats.org/officeDocument/2006/relationships/hyperlink" Target="https://en.wikipedia.org/wiki/P-500_Bazalt" TargetMode="External"/><Relationship Id="rId3" Type="http://schemas.openxmlformats.org/officeDocument/2006/relationships/webSettings" Target="webSettings.xml"/><Relationship Id="rId21" Type="http://schemas.openxmlformats.org/officeDocument/2006/relationships/hyperlink" Target="https://en.wikipedia.org/wiki/SS-N-3_Shaddock" TargetMode="External"/><Relationship Id="rId7" Type="http://schemas.openxmlformats.org/officeDocument/2006/relationships/hyperlink" Target="https://fas.org/nuke/guide/russia/theater/670.htm" TargetMode="External"/><Relationship Id="rId12" Type="http://schemas.openxmlformats.org/officeDocument/2006/relationships/image" Target="media/image3.png"/><Relationship Id="rId17" Type="http://schemas.openxmlformats.org/officeDocument/2006/relationships/hyperlink" Target="https://en.wikipedia.org/wiki/SS-N-3_Shaddock" TargetMode="External"/><Relationship Id="rId2" Type="http://schemas.openxmlformats.org/officeDocument/2006/relationships/settings" Target="settings.xml"/><Relationship Id="rId16" Type="http://schemas.openxmlformats.org/officeDocument/2006/relationships/hyperlink" Target="https://en.wikipedia.org/wiki/Echo-class_submarine" TargetMode="External"/><Relationship Id="rId20" Type="http://schemas.openxmlformats.org/officeDocument/2006/relationships/hyperlink" Target="https://fas.org/nuke/guide/russia/theater/651.htm"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en.wikipedia.org/wiki/P-70_Ametist" TargetMode="External"/><Relationship Id="rId24" Type="http://schemas.openxmlformats.org/officeDocument/2006/relationships/theme" Target="theme/theme1.xml"/><Relationship Id="rId5" Type="http://schemas.openxmlformats.org/officeDocument/2006/relationships/hyperlink" Target="https://en.wikipedia.org/wiki/P-700_Granit" TargetMode="External"/><Relationship Id="rId15" Type="http://schemas.openxmlformats.org/officeDocument/2006/relationships/hyperlink" Target="http://www.ausairpower.net/APA-Rus-Cruise-Missiles.html"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5.png"/><Relationship Id="rId4" Type="http://schemas.openxmlformats.org/officeDocument/2006/relationships/hyperlink" Target="https://fas.org/nuke/guide/russia/theater/949.htm" TargetMode="External"/><Relationship Id="rId9" Type="http://schemas.openxmlformats.org/officeDocument/2006/relationships/hyperlink" Target="https://fas.org/nuke/guide/russia/theater/ss-n-9.htm" TargetMode="External"/><Relationship Id="rId14" Type="http://schemas.openxmlformats.org/officeDocument/2006/relationships/image" Target="media/image4.jpg"/><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2018-04-19T23:20:00Z</dcterms:created>
  <dcterms:modified xsi:type="dcterms:W3CDTF">2018-04-20T10:16:00Z</dcterms:modified>
</cp:coreProperties>
</file>