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  <w:pBdr>
          <w:bottom w:val="single" w:sz="6" w:color="DFE3E8"/>
        </w:pBdr>
      </w:pPr>
      <w:r>
        <w:rPr>
          <w:rFonts w:ascii="맑은 고딕" w:hAnsi="맑은 고딕" w:eastAsia="맑은 고딕" w:cs="맑은 고딕"/>
          <w:b/>
          <w:color w:val="0F1216"/>
          <w:sz w:val="36"/>
        </w:rPr>
        <w:t>INTX — mRNA 기반 개인맞춤형 항암치료제 조사 보고서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Individualized Neoantigen Therapy eXplorer</w:t>
      </w:r>
      <w:r>
        <w:rPr>
          <w:rFonts w:ascii="맑은 고딕" w:hAnsi="맑은 고딕" w:eastAsia="맑은 고딕" w:cs="맑은 고딕"/>
          <w:b w:val="0"/>
          <w:sz w:val="21"/>
        </w:rPr>
        <w:t xml:space="preserve"> · 데이터 기준일 2026-08-10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근거 999건 · 신뢰도 등급화 100% (상 767 / 중 178 / 하 54) · 임상 프로그램 100건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본 보고서의 모든 사실·수치에는 </w:t>
      </w:r>
      <w:r>
        <w:rPr>
          <w:rFonts w:ascii="D2Coding" w:hAnsi="D2Coding" w:eastAsia="D2Coding" w:cs="D2Coding"/>
          <w:color w:val="A32020"/>
          <w:sz w:val="19"/>
        </w:rPr>
        <w:t>[R###]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근거 ID가 붙어 있으며, 자체 산출 추정치는 </w:t>
      </w:r>
      <w:r>
        <w:rPr>
          <w:rFonts w:ascii="D2Coding" w:hAnsi="D2Coding" w:eastAsia="D2Coding" w:cs="D2Coding"/>
          <w:color w:val="A32020"/>
          <w:sz w:val="19"/>
        </w:rPr>
        <w:t>[EST]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로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구분한다. </w:t>
      </w:r>
      <w:r>
        <w:rPr>
          <w:rFonts w:ascii="D2Coding" w:hAnsi="D2Coding" w:eastAsia="D2Coding" w:cs="D2Coding"/>
          <w:color w:val="A32020"/>
          <w:sz w:val="19"/>
        </w:rPr>
        <w:t>INTX_evidence.html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을 같은 폴더에 두고 열면 </w:t>
      </w:r>
      <w:r>
        <w:rPr>
          <w:rFonts w:ascii="D2Coding" w:hAnsi="D2Coding" w:eastAsia="D2Coding" w:cs="D2Coding"/>
          <w:color w:val="A32020"/>
          <w:sz w:val="19"/>
        </w:rPr>
        <w:t>[R###]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을 눌러 원문 출처·인용·신뢰도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등급과 그 사유를 확인할 수 있다. 등급 기준은 </w:t>
      </w:r>
      <w:r>
        <w:rPr>
          <w:rFonts w:ascii="맑은 고딕" w:hAnsi="맑은 고딕" w:eastAsia="맑은 고딕" w:cs="맑은 고딕"/>
          <w:b/>
          <w:color w:val="5C6570"/>
          <w:sz w:val="20"/>
        </w:rPr>
        <w:t>상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= peer-reviewed 원논문·기업 공시·규제기관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문서·임상시험 등록정보·등록특허 원문, </w:t>
      </w:r>
      <w:r>
        <w:rPr>
          <w:rFonts w:ascii="맑은 고딕" w:hAnsi="맑은 고딕" w:eastAsia="맑은 고딕" w:cs="맑은 고딕"/>
          <w:b/>
          <w:color w:val="5C6570"/>
          <w:sz w:val="20"/>
        </w:rPr>
        <w:t>중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= 학회 초록·기업 보도자료·1차 취재 산업지,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/>
          <w:color w:val="5C6570"/>
          <w:sz w:val="20"/>
        </w:rPr>
        <w:t>하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= 2차 요약·시장조사 요약본이다.</w:t>
      </w:r>
    </w:p>
    <w:p>
      <w:pPr>
        <w:pBdr>
          <w:bottom w:val="single" w:sz="6" w:color="DFE3E8"/>
        </w:pBdr>
      </w:pPr>
    </w:p>
    <w:p>
      <w:pPr>
        <w:keepNext/>
        <w:spacing w:before="280" w:after="80"/>
        <w:pBdr>
          <w:bottom w:val="single" w:sz="4" w:color="DFE3E8"/>
        </w:pBdr>
      </w:pPr>
      <w:r>
        <w:rPr>
          <w:rFonts w:ascii="맑은 고딕" w:hAnsi="맑은 고딕" w:eastAsia="맑은 고딕" w:cs="맑은 고딕"/>
          <w:b/>
          <w:color w:val="1D4ED8"/>
          <w:sz w:val="29"/>
        </w:rPr>
        <w:t>Executive Summary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이 모달리티는 아직 증명되지 않았고, 원부자재 공급자에게는 경제성이 성립하지 않는다.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2026년 8월 현재 전 세계에 개인맞춤형 신항원 치료제의 **3상 효능 데이터는 단 한 건도 존재하지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않는다** </w:t>
      </w:r>
      <w:r>
        <w:rPr>
          <w:sz w:val="19"/>
        </w:rPr>
        <w:t>[</w:t>
      </w:r>
      <w:hyperlink r:id="rId10">
        <w:r>
          <w:rPr>
            <w:rFonts w:ascii="D2Coding" w:hAnsi="D2Coding" w:eastAsia="D2Coding"/>
            <w:color w:val="1D4ED8"/>
            <w:sz w:val="19"/>
          </w:rPr>
          <w:t xml:space="preserve">R545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최초 확증 판독은 INTerpath-001의 1차완료 예정일인 2029-10-26이며, 이 날짜는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시험 등재 이후 v0부터 v52까지 단 한 번도 변경된 적이 없다 </w:t>
      </w:r>
      <w:r>
        <w:rPr>
          <w:sz w:val="19"/>
        </w:rPr>
        <w:t>[</w:t>
      </w:r>
      <w:hyperlink r:id="rId11">
        <w:r>
          <w:rPr>
            <w:rFonts w:ascii="D2Coding" w:hAnsi="D2Coding" w:eastAsia="D2Coding"/>
            <w:color w:val="1D4ED8"/>
            <w:sz w:val="19"/>
          </w:rPr>
          <w:t xml:space="preserve">R142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0">
        <w:r>
          <w:rPr>
            <w:rFonts w:ascii="D2Coding" w:hAnsi="D2Coding" w:eastAsia="D2Coding"/>
            <w:color w:val="1D4ED8"/>
            <w:sz w:val="19"/>
          </w:rPr>
          <w:t xml:space="preserve">R545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즉 Q1에 대한 답은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"아직 모른다"가 아니라 </w:t>
      </w:r>
      <w:r>
        <w:rPr>
          <w:rFonts w:ascii="맑은 고딕" w:hAnsi="맑은 고딕" w:eastAsia="맑은 고딕" w:cs="맑은 고딕"/>
          <w:b/>
          <w:sz w:val="21"/>
        </w:rPr>
        <w:t>"최소 3년간 답이 나오지 않는다"</w:t>
      </w:r>
      <w:r>
        <w:rPr>
          <w:rFonts w:ascii="맑은 고딕" w:hAnsi="맑은 고딕" w:eastAsia="맑은 고딕" w:cs="맑은 고딕"/>
          <w:b w:val="0"/>
          <w:sz w:val="21"/>
        </w:rPr>
        <w:t xml:space="preserve"> 이다 </w:t>
      </w:r>
      <w:r>
        <w:rPr>
          <w:sz w:val="19"/>
        </w:rPr>
        <w:t>[</w:t>
      </w:r>
      <w:hyperlink r:id="rId12">
        <w:r>
          <w:rPr>
            <w:rFonts w:ascii="D2Coding" w:hAnsi="D2Coding" w:eastAsia="D2Coding"/>
            <w:color w:val="1D4ED8"/>
            <w:sz w:val="19"/>
          </w:rPr>
          <w:t xml:space="preserve">R564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기대의 출발점인 KEYNOTE-942는 N=157의 </w:t>
      </w:r>
      <w:r>
        <w:rPr>
          <w:rFonts w:ascii="맑은 고딕" w:hAnsi="맑은 고딕" w:eastAsia="맑은 고딕" w:cs="맑은 고딕"/>
          <w:b/>
          <w:sz w:val="21"/>
        </w:rPr>
        <w:t>개방표지</w:t>
      </w:r>
      <w:r>
        <w:rPr>
          <w:rFonts w:ascii="맑은 고딕" w:hAnsi="맑은 고딕" w:eastAsia="맑은 고딕" w:cs="맑은 고딕"/>
          <w:b w:val="0"/>
          <w:sz w:val="21"/>
        </w:rPr>
        <w:t xml:space="preserve"> 2b상이며, 1차 평가변수 RFS의 양측 p값은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0.053으로 통상 유의수준에 미달했다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13">
        <w:r>
          <w:rPr>
            <w:rFonts w:ascii="D2Coding" w:hAnsi="D2Coding" w:eastAsia="D2Coding"/>
            <w:color w:val="1D4ED8"/>
            <w:sz w:val="19"/>
          </w:rPr>
          <w:t xml:space="preserve">R003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4">
        <w:r>
          <w:rPr>
            <w:rFonts w:ascii="D2Coding" w:hAnsi="D2Coding" w:eastAsia="D2Coding"/>
            <w:color w:val="1D4ED8"/>
            <w:sz w:val="19"/>
          </w:rPr>
          <w:t xml:space="preserve">R100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널리 인용되는 "재발위험 44% 감소"는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HR 0.561의 역수이지만 그 95% 신뢰구간(0.309–1.017)은 1을 포함한다 </w:t>
      </w:r>
      <w:r>
        <w:rPr>
          <w:sz w:val="19"/>
        </w:rPr>
        <w:t>[</w:t>
      </w:r>
      <w:hyperlink r:id="rId13">
        <w:r>
          <w:rPr>
            <w:rFonts w:ascii="D2Coding" w:hAnsi="D2Coding" w:eastAsia="D2Coding"/>
            <w:color w:val="1D4ED8"/>
            <w:sz w:val="19"/>
          </w:rPr>
          <w:t xml:space="preserve">R003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5년 추적에서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RFS HR은 0.510 (95% CI 0.294–0.887)으로 유지되었으나 </w:t>
      </w:r>
      <w:r>
        <w:rPr>
          <w:sz w:val="19"/>
        </w:rPr>
        <w:t>[</w:t>
      </w:r>
      <w:hyperlink r:id="rId15">
        <w:r>
          <w:rPr>
            <w:rFonts w:ascii="D2Coding" w:hAnsi="D2Coding" w:eastAsia="D2Coding"/>
            <w:color w:val="1D4ED8"/>
            <w:sz w:val="19"/>
          </w:rPr>
          <w:t xml:space="preserve">R001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저자들은 **"5년 분석은 기술적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(descriptive)이며 알파가 배정되지 않았다"**고 명시했고 </w:t>
      </w:r>
      <w:r>
        <w:rPr>
          <w:sz w:val="19"/>
        </w:rPr>
        <w:t>[</w:t>
      </w:r>
      <w:hyperlink r:id="rId16">
        <w:r>
          <w:rPr>
            <w:rFonts w:ascii="D2Coding" w:hAnsi="D2Coding" w:eastAsia="D2Coding"/>
            <w:color w:val="1D4ED8"/>
            <w:sz w:val="19"/>
          </w:rPr>
          <w:t xml:space="preserve">R126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전체생존은 5년이 지나도록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HR 0.471 (95% CI 0.165–1.345)로 </w:t>
      </w:r>
      <w:r>
        <w:rPr>
          <w:rFonts w:ascii="맑은 고딕" w:hAnsi="맑은 고딕" w:eastAsia="맑은 고딕" w:cs="맑은 고딕"/>
          <w:b/>
          <w:sz w:val="21"/>
        </w:rPr>
        <w:t>1을 포함한다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총 사망이 14건뿐이기 때문이다 </w:t>
      </w:r>
      <w:r>
        <w:rPr>
          <w:sz w:val="19"/>
        </w:rPr>
        <w:t>[</w:t>
      </w:r>
      <w:hyperlink r:id="rId17">
        <w:r>
          <w:rPr>
            <w:rFonts w:ascii="D2Coding" w:hAnsi="D2Coding" w:eastAsia="D2Coding"/>
            <w:color w:val="1D4ED8"/>
            <w:sz w:val="19"/>
          </w:rPr>
          <w:t xml:space="preserve">R002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8">
        <w:r>
          <w:rPr>
            <w:rFonts w:ascii="D2Coding" w:hAnsi="D2Coding" w:eastAsia="D2Coding"/>
            <w:color w:val="1D4ED8"/>
            <w:sz w:val="19"/>
          </w:rPr>
          <w:t xml:space="preserve">R124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그러나 이 모달리티가 실패하고 있다는 통념도 정확하지 않다. ClinicalTrials.gov 등록정보에서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중단 사유가 기재된 개인맞춤·신항원 항암 시험 23건을 전수 분류한 결과, **안전성을 사유로 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중단 0건, 효능부족·무효를 사유로 한 중단 0건**이었다 </w:t>
      </w:r>
      <w:r>
        <w:rPr>
          <w:sz w:val="19"/>
        </w:rPr>
        <w:t>[</w:t>
      </w:r>
      <w:hyperlink r:id="rId19">
        <w:r>
          <w:rPr>
            <w:rFonts w:ascii="D2Coding" w:hAnsi="D2Coding" w:eastAsia="D2Coding"/>
            <w:color w:val="1D4ED8"/>
            <w:sz w:val="19"/>
          </w:rPr>
          <w:t xml:space="preserve">R013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중단은 모집 실패(26%)·자금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중단(22%)·제조 실패(13%)·사업적 판단(13%)에 집중된다 </w:t>
      </w:r>
      <w:r>
        <w:rPr>
          <w:sz w:val="19"/>
        </w:rPr>
        <w:t>[</w:t>
      </w:r>
      <w:hyperlink r:id="rId19">
        <w:r>
          <w:rPr>
            <w:rFonts w:ascii="D2Coding" w:hAnsi="D2Coding" w:eastAsia="D2Coding"/>
            <w:color w:val="1D4ED8"/>
            <w:sz w:val="19"/>
          </w:rPr>
          <w:t xml:space="preserve">R013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무너지는 것은 과학이 아니라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실행과 자본</w:t>
      </w:r>
      <w:r>
        <w:rPr>
          <w:rFonts w:ascii="맑은 고딕" w:hAnsi="맑은 고딕" w:eastAsia="맑은 고딕" w:cs="맑은 고딕"/>
          <w:b w:val="0"/>
          <w:sz w:val="21"/>
        </w:rPr>
        <w:t>이다.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가장 무거운 부정 근거는 세 가지다. 첫째, </w:t>
      </w:r>
      <w:r>
        <w:rPr>
          <w:rFonts w:ascii="맑은 고딕" w:hAnsi="맑은 고딕" w:eastAsia="맑은 고딕" w:cs="맑은 고딕"/>
          <w:b/>
          <w:sz w:val="21"/>
        </w:rPr>
        <w:t>면역원성과 임상효능의 괴리</w:t>
      </w:r>
      <w:r>
        <w:rPr>
          <w:rFonts w:ascii="맑은 고딕" w:hAnsi="맑은 고딕" w:eastAsia="맑은 고딕" w:cs="맑은 고딕"/>
          <w:b w:val="0"/>
          <w:sz w:val="21"/>
        </w:rPr>
        <w:t>다. autogene cevumeran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1상은 환자의 71%에서 면역반응을 유도했으나 단독요법 객관적 반응률은 </w:t>
      </w:r>
      <w:r>
        <w:rPr>
          <w:rFonts w:ascii="맑은 고딕" w:hAnsi="맑은 고딕" w:eastAsia="맑은 고딕" w:cs="맑은 고딕"/>
          <w:b/>
          <w:sz w:val="21"/>
        </w:rPr>
        <w:t>3.3%</w:t>
      </w:r>
      <w:r>
        <w:rPr>
          <w:rFonts w:ascii="맑은 고딕" w:hAnsi="맑은 고딕" w:eastAsia="맑은 고딕" w:cs="맑은 고딕"/>
          <w:b w:val="0"/>
          <w:sz w:val="21"/>
        </w:rPr>
        <w:t xml:space="preserve">였다 </w:t>
      </w:r>
      <w:r>
        <w:rPr>
          <w:sz w:val="19"/>
        </w:rPr>
        <w:t>[</w:t>
      </w:r>
      <w:hyperlink r:id="rId20">
        <w:r>
          <w:rPr>
            <w:rFonts w:ascii="D2Coding" w:hAnsi="D2Coding" w:eastAsia="D2Coding"/>
            <w:color w:val="1D4ED8"/>
            <w:sz w:val="19"/>
          </w:rPr>
          <w:t xml:space="preserve">R235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1">
        <w:r>
          <w:rPr>
            <w:rFonts w:ascii="D2Coding" w:hAnsi="D2Coding" w:eastAsia="D2Coding"/>
            <w:color w:val="1D4ED8"/>
            <w:sz w:val="19"/>
          </w:rPr>
          <w:t xml:space="preserve">R232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둘째, </w:t>
      </w:r>
      <w:r>
        <w:rPr>
          <w:rFonts w:ascii="맑은 고딕" w:hAnsi="맑은 고딕" w:eastAsia="맑은 고딕" w:cs="맑은 고딕"/>
          <w:b/>
          <w:sz w:val="21"/>
        </w:rPr>
        <w:t>무작위 판독의 실패</w:t>
      </w:r>
      <w:r>
        <w:rPr>
          <w:rFonts w:ascii="맑은 고딕" w:hAnsi="맑은 고딕" w:eastAsia="맑은 고딕" w:cs="맑은 고딕"/>
          <w:b w:val="0"/>
          <w:sz w:val="21"/>
        </w:rPr>
        <w:t>다. 진행성 흑색종 IMCODE001은 1차 평가변수 PFS를 충족하지 못했고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(HR 0.79, 95% CI 0.49–1.27, p=0.3284) </w:t>
      </w:r>
      <w:r>
        <w:rPr>
          <w:sz w:val="19"/>
        </w:rPr>
        <w:t>[</w:t>
      </w:r>
      <w:hyperlink r:id="rId22">
        <w:r>
          <w:rPr>
            <w:rFonts w:ascii="D2Coding" w:hAnsi="D2Coding" w:eastAsia="D2Coding"/>
            <w:color w:val="1D4ED8"/>
            <w:sz w:val="19"/>
          </w:rPr>
          <w:t xml:space="preserve">R224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ORR은 병용군 41.7%가 단독군 48.8%보다 오히려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낮았다 </w:t>
      </w:r>
      <w:r>
        <w:rPr>
          <w:sz w:val="19"/>
        </w:rPr>
        <w:t>[</w:t>
      </w:r>
      <w:hyperlink r:id="rId23">
        <w:r>
          <w:rPr>
            <w:rFonts w:ascii="D2Coding" w:hAnsi="D2Coding" w:eastAsia="D2Coding"/>
            <w:color w:val="1D4ED8"/>
            <w:sz w:val="19"/>
          </w:rPr>
          <w:t xml:space="preserve">R225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셋째, ctDNA 양성 대장암 BNT122-01은 대조군이 </w:t>
      </w:r>
      <w:r>
        <w:rPr>
          <w:rFonts w:ascii="맑은 고딕" w:hAnsi="맑은 고딕" w:eastAsia="맑은 고딕" w:cs="맑은 고딕"/>
          <w:b/>
          <w:sz w:val="21"/>
        </w:rPr>
        <w:t>무치료 관찰</w:t>
      </w:r>
      <w:r>
        <w:rPr>
          <w:rFonts w:ascii="맑은 고딕" w:hAnsi="맑은 고딕" w:eastAsia="맑은 고딕" w:cs="맑은 고딕"/>
          <w:b w:val="0"/>
          <w:sz w:val="21"/>
        </w:rPr>
        <w:t>이라는 가장 유리한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설계였음에도 첫 사전계획 중간분석에서 </w:t>
      </w:r>
      <w:r>
        <w:rPr>
          <w:rFonts w:ascii="맑은 고딕" w:hAnsi="맑은 고딕" w:eastAsia="맑은 고딕" w:cs="맑은 고딕"/>
          <w:b/>
          <w:sz w:val="21"/>
        </w:rPr>
        <w:t>무용성 경계를 교차</w:t>
      </w:r>
      <w:r>
        <w:rPr>
          <w:rFonts w:ascii="맑은 고딕" w:hAnsi="맑은 고딕" w:eastAsia="맑은 고딕" w:cs="맑은 고딕"/>
          <w:b w:val="0"/>
          <w:sz w:val="21"/>
        </w:rPr>
        <w:t xml:space="preserve">했다 </w:t>
      </w:r>
      <w:r>
        <w:rPr>
          <w:sz w:val="19"/>
        </w:rPr>
        <w:t>[</w:t>
      </w:r>
      <w:hyperlink r:id="rId24">
        <w:r>
          <w:rPr>
            <w:rFonts w:ascii="D2Coding" w:hAnsi="D2Coding" w:eastAsia="D2Coding"/>
            <w:color w:val="1D4ED8"/>
            <w:sz w:val="19"/>
          </w:rPr>
          <w:t xml:space="preserve">R217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5">
        <w:r>
          <w:rPr>
            <w:rFonts w:ascii="D2Coding" w:hAnsi="D2Coding" w:eastAsia="D2Coding"/>
            <w:color w:val="1D4ED8"/>
            <w:sz w:val="19"/>
          </w:rPr>
          <w:t xml:space="preserve">R218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6">
        <w:r>
          <w:rPr>
            <w:rFonts w:ascii="D2Coding" w:hAnsi="D2Coding" w:eastAsia="D2Coding"/>
            <w:color w:val="1D4ED8"/>
            <w:sz w:val="19"/>
          </w:rPr>
          <w:t xml:space="preserve">R216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Q3(밸류체인 진입)에 대한 답은 명확한 부정이다.</w:t>
      </w:r>
      <w:r>
        <w:rPr>
          <w:rFonts w:ascii="맑은 고딕" w:hAnsi="맑은 고딕" w:eastAsia="맑은 고딕" w:cs="맑은 고딕"/>
          <w:b w:val="0"/>
          <w:sz w:val="21"/>
        </w:rPr>
        <w:t xml:space="preserve"> 환자당 COGS 기본 시나리오 128,600달러 중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원부자재(DNA 주형·IVT 시약·정제 소모품·지질) 합계는 8,300달러로 </w:t>
      </w:r>
      <w:r>
        <w:rPr>
          <w:rFonts w:ascii="맑은 고딕" w:hAnsi="맑은 고딕" w:eastAsia="맑은 고딕" w:cs="맑은 고딕"/>
          <w:b/>
          <w:sz w:val="21"/>
        </w:rPr>
        <w:t>7.4%</w:t>
      </w:r>
      <w:r>
        <w:rPr>
          <w:rFonts w:ascii="맑은 고딕" w:hAnsi="맑은 고딕" w:eastAsia="맑은 고딕" w:cs="맑은 고딕"/>
          <w:b w:val="0"/>
          <w:sz w:val="21"/>
        </w:rPr>
        <w:t>에 불과하고, QC·출하시험과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인건비·간접비가 </w:t>
      </w:r>
      <w:r>
        <w:rPr>
          <w:rFonts w:ascii="맑은 고딕" w:hAnsi="맑은 고딕" w:eastAsia="맑은 고딕" w:cs="맑은 고딕"/>
          <w:b/>
          <w:sz w:val="21"/>
        </w:rPr>
        <w:t>85.0%</w:t>
      </w:r>
      <w:r>
        <w:rPr>
          <w:rFonts w:ascii="맑은 고딕" w:hAnsi="맑은 고딕" w:eastAsia="맑은 고딕" w:cs="맑은 고딕"/>
          <w:b w:val="0"/>
          <w:sz w:val="21"/>
        </w:rPr>
        <w:t xml:space="preserve">를 차지한다 </w:t>
      </w:r>
      <w:r>
        <w:rPr>
          <w:sz w:val="19"/>
        </w:rPr>
        <w:t>[</w:t>
      </w:r>
      <w:hyperlink r:id="rId27">
        <w:r>
          <w:rPr>
            <w:rFonts w:ascii="D2Coding" w:hAnsi="D2Coding" w:eastAsia="D2Coding"/>
            <w:color w:val="1D4ED8"/>
            <w:sz w:val="19"/>
          </w:rPr>
          <w:t xml:space="preserve">R960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8">
        <w:r>
          <w:rPr>
            <w:rFonts w:ascii="D2Coding" w:hAnsi="D2Coding" w:eastAsia="D2Coding"/>
            <w:color w:val="1D4ED8"/>
            <w:sz w:val="19"/>
          </w:rPr>
          <w:t xml:space="preserve">R961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환자 20,000명/년 시나리오에서 필요한 IVT RNA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총량은 </w:t>
      </w:r>
      <w:r>
        <w:rPr>
          <w:rFonts w:ascii="맑은 고딕" w:hAnsi="맑은 고딕" w:eastAsia="맑은 고딕" w:cs="맑은 고딕"/>
          <w:b/>
          <w:sz w:val="21"/>
        </w:rPr>
        <w:t>연 922그램</w:t>
      </w:r>
      <w:r>
        <w:rPr>
          <w:rFonts w:ascii="맑은 고딕" w:hAnsi="맑은 고딕" w:eastAsia="맑은 고딕" w:cs="맑은 고딕"/>
          <w:b w:val="0"/>
          <w:sz w:val="21"/>
        </w:rPr>
        <w:t xml:space="preserve">으로, 팬데믹 1년치 수요 240kg의 </w:t>
      </w:r>
      <w:r>
        <w:rPr>
          <w:rFonts w:ascii="맑은 고딕" w:hAnsi="맑은 고딕" w:eastAsia="맑은 고딕" w:cs="맑은 고딕"/>
          <w:b/>
          <w:sz w:val="21"/>
        </w:rPr>
        <w:t>0.38%</w:t>
      </w:r>
      <w:r>
        <w:rPr>
          <w:rFonts w:ascii="맑은 고딕" w:hAnsi="맑은 고딕" w:eastAsia="맑은 고딕" w:cs="맑은 고딕"/>
          <w:b w:val="0"/>
          <w:sz w:val="21"/>
        </w:rPr>
        <w:t xml:space="preserve">다 </w:t>
      </w:r>
      <w:r>
        <w:rPr>
          <w:sz w:val="19"/>
        </w:rPr>
        <w:t>[</w:t>
      </w:r>
      <w:hyperlink r:id="rId29">
        <w:r>
          <w:rPr>
            <w:rFonts w:ascii="D2Coding" w:hAnsi="D2Coding" w:eastAsia="D2Coding"/>
            <w:color w:val="1D4ED8"/>
            <w:sz w:val="19"/>
          </w:rPr>
          <w:t xml:space="preserve">R964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0">
        <w:r>
          <w:rPr>
            <w:rFonts w:ascii="D2Coding" w:hAnsi="D2Coding" w:eastAsia="D2Coding"/>
            <w:color w:val="1D4ED8"/>
            <w:sz w:val="19"/>
          </w:rPr>
          <w:t xml:space="preserve">R966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최대 낙관인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50,000명/년에서도 전 원부자재 품목 SAM 합계가 </w:t>
      </w:r>
      <w:r>
        <w:rPr>
          <w:rFonts w:ascii="맑은 고딕" w:hAnsi="맑은 고딕" w:eastAsia="맑은 고딕" w:cs="맑은 고딕"/>
          <w:b/>
          <w:sz w:val="21"/>
        </w:rPr>
        <w:t>1억 달러에 미치지 못한다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31">
        <w:r>
          <w:rPr>
            <w:rFonts w:ascii="D2Coding" w:hAnsi="D2Coding" w:eastAsia="D2Coding"/>
            <w:color w:val="1D4ED8"/>
            <w:sz w:val="19"/>
          </w:rPr>
          <w:t xml:space="preserve">R967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2">
        <w:r>
          <w:rPr>
            <w:rFonts w:ascii="D2Coding" w:hAnsi="D2Coding" w:eastAsia="D2Coding"/>
            <w:color w:val="1D4ED8"/>
            <w:sz w:val="19"/>
          </w:rPr>
          <w:t xml:space="preserve">R990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이 시장의 실물 증거가 Maravai LifeSciences다 — 매출 2022년 8.83억 → 2025년 1.86억 달러(-79%),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매출총이익률 80.9% → 18.3%, 그리고 **상업단계 백신向 대량 CleanCap 매출 비중이 2024년 25.4%에서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2025년 0.0%로 완전 소멸**했다 </w:t>
      </w:r>
      <w:r>
        <w:rPr>
          <w:sz w:val="19"/>
        </w:rPr>
        <w:t>[</w:t>
      </w:r>
      <w:hyperlink r:id="rId33">
        <w:r>
          <w:rPr>
            <w:rFonts w:ascii="D2Coding" w:hAnsi="D2Coding" w:eastAsia="D2Coding"/>
            <w:color w:val="1D4ED8"/>
            <w:sz w:val="19"/>
          </w:rPr>
          <w:t xml:space="preserve">R900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4">
        <w:r>
          <w:rPr>
            <w:rFonts w:ascii="D2Coding" w:hAnsi="D2Coding" w:eastAsia="D2Coding"/>
            <w:color w:val="1D4ED8"/>
            <w:sz w:val="19"/>
          </w:rPr>
          <w:t xml:space="preserve">R902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5">
        <w:r>
          <w:rPr>
            <w:rFonts w:ascii="D2Coding" w:hAnsi="D2Coding" w:eastAsia="D2Coding"/>
            <w:color w:val="1D4ED8"/>
            <w:sz w:val="19"/>
          </w:rPr>
          <w:t xml:space="preserve">R903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LG화학에 대한 권고는 (c) 미진입 + 조건부 관전이다.</w:t>
      </w:r>
      <w:r>
        <w:rPr>
          <w:rFonts w:ascii="맑은 고딕" w:hAnsi="맑은 고딕" w:eastAsia="맑은 고딕" w:cs="맑은 고딕"/>
          <w:b w:val="0"/>
          <w:sz w:val="21"/>
        </w:rPr>
        <w:t xml:space="preserve"> (a) 원부자재·효소 공급은 시장 규모가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설비 투자 의사결정의 문턱을 넘지 못하고 </w:t>
      </w:r>
      <w:r>
        <w:rPr>
          <w:sz w:val="19"/>
        </w:rPr>
        <w:t>[</w:t>
      </w:r>
      <w:hyperlink r:id="rId31">
        <w:r>
          <w:rPr>
            <w:rFonts w:ascii="D2Coding" w:hAnsi="D2Coding" w:eastAsia="D2Coding"/>
            <w:color w:val="1D4ED8"/>
            <w:sz w:val="19"/>
          </w:rPr>
          <w:t xml:space="preserve">R967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역량 적합도와 경제성이 역상관하며(발효로 만들기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쉬운 표준 NTP는 환자당 19.5달러) </w:t>
      </w:r>
      <w:r>
        <w:rPr>
          <w:sz w:val="19"/>
        </w:rPr>
        <w:t>[</w:t>
      </w:r>
      <w:hyperlink r:id="rId36">
        <w:r>
          <w:rPr>
            <w:rFonts w:ascii="D2Coding" w:hAnsi="D2Coding" w:eastAsia="D2Coding"/>
            <w:color w:val="1D4ED8"/>
            <w:sz w:val="19"/>
          </w:rPr>
          <w:t xml:space="preserve">R971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고객 내재화가 이미 실증되었다 </w:t>
      </w:r>
      <w:r>
        <w:rPr>
          <w:sz w:val="19"/>
        </w:rPr>
        <w:t>[</w:t>
      </w:r>
      <w:hyperlink r:id="rId37">
        <w:r>
          <w:rPr>
            <w:rFonts w:ascii="D2Coding" w:hAnsi="D2Coding" w:eastAsia="D2Coding"/>
            <w:color w:val="1D4ED8"/>
            <w:sz w:val="19"/>
          </w:rPr>
          <w:t xml:space="preserve">R936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8">
        <w:r>
          <w:rPr>
            <w:rFonts w:ascii="D2Coding" w:hAnsi="D2Coding" w:eastAsia="D2Coding"/>
            <w:color w:val="1D4ED8"/>
            <w:sz w:val="19"/>
          </w:rPr>
          <w:t xml:space="preserve">R945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(b) CDMO는 시장 자체가 존재하지 않는다 — Moderna는 말버러 전용시설을, BioNTech은 East Wing을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자체 운영하며 </w:t>
      </w:r>
      <w:r>
        <w:rPr>
          <w:rFonts w:ascii="맑은 고딕" w:hAnsi="맑은 고딕" w:eastAsia="맑은 고딕" w:cs="맑은 고딕"/>
          <w:b/>
          <w:sz w:val="21"/>
        </w:rPr>
        <w:t>개인맞춤 제품에 외부 CMO를 전혀 쓰지 않는다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39">
        <w:r>
          <w:rPr>
            <w:rFonts w:ascii="D2Coding" w:hAnsi="D2Coding" w:eastAsia="D2Coding"/>
            <w:color w:val="1D4ED8"/>
            <w:sz w:val="19"/>
          </w:rPr>
          <w:t xml:space="preserve">R835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40">
        <w:r>
          <w:rPr>
            <w:rFonts w:ascii="D2Coding" w:hAnsi="D2Coding" w:eastAsia="D2Coding"/>
            <w:color w:val="1D4ED8"/>
            <w:sz w:val="19"/>
          </w:rPr>
          <w:t xml:space="preserve">R889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41">
        <w:r>
          <w:rPr>
            <w:rFonts w:ascii="D2Coding" w:hAnsi="D2Coding" w:eastAsia="D2Coding"/>
            <w:color w:val="1D4ED8"/>
            <w:sz w:val="19"/>
          </w:rPr>
          <w:t xml:space="preserve">R988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여기에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CureVac(현 BioNTech 소유)의 TFF 공정특허가 2036년까지 mRNA CDMO 표준공정 자체를 청구한다</w:t>
      </w:r>
    </w:p>
    <w:p>
      <w:pPr>
        <w:spacing w:after="120" w:line="324" w:lineRule="auto"/>
      </w:pPr>
      <w:r>
        <w:rPr>
          <w:sz w:val="19"/>
        </w:rPr>
        <w:t>[</w:t>
      </w:r>
      <w:hyperlink r:id="rId42">
        <w:r>
          <w:rPr>
            <w:rFonts w:ascii="D2Coding" w:hAnsi="D2Coding" w:eastAsia="D2Coding"/>
            <w:color w:val="1D4ED8"/>
            <w:sz w:val="19"/>
          </w:rPr>
          <w:t xml:space="preserve">R1243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43">
        <w:r>
          <w:rPr>
            <w:rFonts w:ascii="D2Coding" w:hAnsi="D2Coding" w:eastAsia="D2Coding"/>
            <w:color w:val="1D4ED8"/>
            <w:sz w:val="19"/>
          </w:rPr>
          <w:t xml:space="preserve">R1244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다만 </w:t>
      </w:r>
      <w:r>
        <w:rPr>
          <w:rFonts w:ascii="맑은 고딕" w:hAnsi="맑은 고딕" w:eastAsia="맑은 고딕" w:cs="맑은 고딕"/>
          <w:b/>
          <w:sz w:val="21"/>
        </w:rPr>
        <w:t>관전은 해야 한다</w:t>
      </w:r>
      <w:r>
        <w:rPr>
          <w:rFonts w:ascii="맑은 고딕" w:hAnsi="맑은 고딕" w:eastAsia="맑은 고딕" w:cs="맑은 고딕"/>
          <w:b w:val="0"/>
          <w:sz w:val="21"/>
        </w:rPr>
        <w:t>. 한국은 이미 이 모달리티의 임상 사이트 공급국으로 편입되어 있고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(intismeran·cevumeran 관련 12건에 국내 기관 참여, INTerpath 계열에만 32개 기관) </w:t>
      </w:r>
      <w:r>
        <w:rPr>
          <w:sz w:val="19"/>
        </w:rPr>
        <w:t>[</w:t>
      </w:r>
      <w:hyperlink r:id="rId44">
        <w:r>
          <w:rPr>
            <w:rFonts w:ascii="D2Coding" w:hAnsi="D2Coding" w:eastAsia="D2Coding"/>
            <w:color w:val="1D4ED8"/>
            <w:sz w:val="19"/>
          </w:rPr>
          <w:t xml:space="preserve">R012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45">
        <w:r>
          <w:rPr>
            <w:rFonts w:ascii="D2Coding" w:hAnsi="D2Coding" w:eastAsia="D2Coding"/>
            <w:color w:val="1D4ED8"/>
            <w:sz w:val="19"/>
          </w:rPr>
          <w:t xml:space="preserve">R151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2029–2030년 3상 판독은 진입 여부를 재검토할 명확한 분기점이다 </w:t>
      </w:r>
      <w:r>
        <w:rPr>
          <w:sz w:val="19"/>
        </w:rPr>
        <w:t>[</w:t>
      </w:r>
      <w:hyperlink r:id="rId10">
        <w:r>
          <w:rPr>
            <w:rFonts w:ascii="D2Coding" w:hAnsi="D2Coding" w:eastAsia="D2Coding"/>
            <w:color w:val="1D4ED8"/>
            <w:sz w:val="19"/>
          </w:rPr>
          <w:t xml:space="preserve">R545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46">
        <w:r>
          <w:rPr>
            <w:rFonts w:ascii="D2Coding" w:hAnsi="D2Coding" w:eastAsia="D2Coding"/>
            <w:color w:val="1D4ED8"/>
            <w:sz w:val="19"/>
          </w:rPr>
          <w:t xml:space="preserve">R1017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Bdr>
          <w:bottom w:val="single" w:sz="6" w:color="DFE3E8"/>
        </w:pBdr>
      </w:pP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Q1–Q4 직접 답변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질문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답변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확신도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핵심 근거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Q1.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어느 검증 단계인가? 3상이 2b를 재현하는가?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재현 여부를 판정할 데이터가 존재하지 않는다.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3상 효능 결과 0건, 최초 판독 2029-10-26. 2b 신호 자체가 p=0.053·개방표지·N=157로 취약하며, 5년 데이터는 저자가 "기술적·알파 미배정"이라 명시했다. OS는 5년에도 미입증(CI가 1 포함).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상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R545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R003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R126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R002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Q2.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진짜 병목은?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① 효능 전환 ② 급여 ③ COGS의 고정비 구조 ④ vein-to-vein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순. 안전성은 병목이 아니다(중단 23건 중 안전성 0건). 효능이 1순위인 이유는 면역원성 71% 대비 ORR 3.3%, IMCODE001 PFS 미달, BNT122-01 무용성 경계 교차. 급여가 2순위인 이유는 NNT 5.9에서 재발 1건 회피비용 118만 달러가 회피가능 치료비 37.6만 달러의 3–8배라는 산술.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중~상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R013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R235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R224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R217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4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R1035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4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R1037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Q3.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밸류체인 진입점과 시장 크기?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원부자재 진입은 경제성이 성립하지 않는다.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원부자재는 COGS의 7.4%, 20,000명/년 수요는 연 922g(팬데믹의 0.38%), 50,000명/년에서도 전품목 SAM 1억 달러 미만. CDMO는 양대 개발사 내재화로 시장 부재. 유일하게 큰 항목인 QC·인건비(85%)는 LG화학 역량과 무관한 디지털 품질시스템 영역.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상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R961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R964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R967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4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R889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4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R989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Q4.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실패가 말하는 구조적 한계?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과학이 아니라 실행·자본이 무너진다.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등록정보상 중단 23건에 안전성 0·무효 0, 모집실패 26%·자금 22%. 더 깊은 층위에서는 (i) 신항원 예측 PPV가 6%(독립코호트 1.3%), (ii) 면역반응 크기가 바이러스 백신 대비 2–3 로그 부족, (iii) 항원 소실 회피가 실제 관찰됨, (iv) 치료용 암백신 3상 역사적 성공률 0/7(누적 7,650명 이상).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상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R013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5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R540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5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R635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5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R542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5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R211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5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R562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pBdr>
          <w:bottom w:val="single" w:sz="6" w:color="DFE3E8"/>
        </w:pBdr>
      </w:pPr>
    </w:p>
    <w:p>
      <w:pPr>
        <w:keepNext/>
        <w:spacing w:before="280" w:after="80"/>
        <w:pBdr>
          <w:bottom w:val="single" w:sz="4" w:color="DFE3E8"/>
        </w:pBdr>
      </w:pPr>
      <w:r>
        <w:rPr>
          <w:rFonts w:ascii="맑은 고딕" w:hAnsi="맑은 고딕" w:eastAsia="맑은 고딕" w:cs="맑은 고딕"/>
          <w:b/>
          <w:color w:val="1D4ED8"/>
          <w:sz w:val="29"/>
        </w:rPr>
        <w:t>M1. 모달리티 정의와 기술 스택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1.1 범주를 흐리지 않는다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본 보고서의 주대상은 </w:t>
      </w:r>
      <w:r>
        <w:rPr>
          <w:rFonts w:ascii="맑은 고딕" w:hAnsi="맑은 고딕" w:eastAsia="맑은 고딕" w:cs="맑은 고딕"/>
          <w:b/>
          <w:sz w:val="21"/>
        </w:rPr>
        <w:t>① 개인맞춤 신항원(individualized neoantigen)</w:t>
      </w:r>
      <w:r>
        <w:rPr>
          <w:rFonts w:ascii="맑은 고딕" w:hAnsi="맑은 고딕" w:eastAsia="맑은 고딕" w:cs="맑은 고딕"/>
          <w:b w:val="0"/>
          <w:sz w:val="21"/>
        </w:rPr>
        <w:t xml:space="preserve"> 이며, 아래 ②③④는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비교군으로만 다룬다. 이 구분을 흐리면 근거가 오염된다.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범주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정의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대표 자산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본 보고서 취급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① 개인맞춤 신항원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환자별 종양 변이에서 신항원을 선정해 환자마다 다른 서열을 제조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intismeran autogene </w:t>
            </w:r>
            <w:r>
              <w:rPr>
                <w:sz w:val="15"/>
              </w:rPr>
              <w:t>[</w:t>
            </w:r>
            <w:hyperlink r:id="rId5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R109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autogene cevumeran </w:t>
            </w:r>
            <w:r>
              <w:rPr>
                <w:sz w:val="15"/>
              </w:rPr>
              <w:t>[</w:t>
            </w:r>
            <w:hyperlink r:id="rId5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R651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주대상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② off-the-shelf 공유 신항원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KRAS 등 공통 변이 표적, 기성품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ELI-002, mRNA-5671/V941 </w:t>
            </w:r>
            <w:r>
              <w:rPr>
                <w:sz w:val="15"/>
              </w:rPr>
              <w:t>[</w:t>
            </w:r>
            <w:hyperlink r:id="rId5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R501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비교군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③ TAA 백신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종양연관항원(비변이) 표적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BioNTech FixVac(BNT111/113/116), DXVX 서바이빈 </w:t>
            </w:r>
            <w:r>
              <w:rPr>
                <w:sz w:val="15"/>
              </w:rPr>
              <w:t>[</w:t>
            </w:r>
            <w:hyperlink r:id="rId5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R431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비교군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④ mRNA-encoded 단백질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항체·사이토카인·종양억제유전자를 mRNA로 전달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한미약품 STING mRNA·p53 mRNA </w:t>
            </w:r>
            <w:r>
              <w:rPr>
                <w:sz w:val="15"/>
              </w:rPr>
              <w:t>[</w:t>
            </w:r>
            <w:hyperlink r:id="rId5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R435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6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R436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비교군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국내 사례에서 이 혼동이 실제로 발생한다. DXVX는 자사 서바이빈 표적 프로그램을 "신항원"으로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표기하나 서바이빈은 다수 암종에 공통 발현되는 종양연관항원으로 individualized 범주가 아니다</w:t>
      </w:r>
    </w:p>
    <w:p>
      <w:pPr>
        <w:spacing w:after="120" w:line="324" w:lineRule="auto"/>
      </w:pPr>
      <w:r>
        <w:rPr>
          <w:sz w:val="19"/>
        </w:rPr>
        <w:t>[</w:t>
      </w:r>
      <w:hyperlink r:id="rId58">
        <w:r>
          <w:rPr>
            <w:rFonts w:ascii="D2Coding" w:hAnsi="D2Coding" w:eastAsia="D2Coding"/>
            <w:color w:val="1D4ED8"/>
            <w:sz w:val="19"/>
          </w:rPr>
          <w:t xml:space="preserve">R431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61">
        <w:r>
          <w:rPr>
            <w:rFonts w:ascii="D2Coding" w:hAnsi="D2Coding" w:eastAsia="D2Coding"/>
            <w:color w:val="1D4ED8"/>
            <w:sz w:val="19"/>
          </w:rPr>
          <w:t xml:space="preserve">R434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셀리드의 BVAC 계열도 공유항원 기반 세포·아데노바이러스 백신이다 </w:t>
      </w:r>
      <w:r>
        <w:rPr>
          <w:sz w:val="19"/>
        </w:rPr>
        <w:t>[</w:t>
      </w:r>
      <w:hyperlink r:id="rId62">
        <w:r>
          <w:rPr>
            <w:rFonts w:ascii="D2Coding" w:hAnsi="D2Coding" w:eastAsia="D2Coding"/>
            <w:color w:val="1D4ED8"/>
            <w:sz w:val="19"/>
          </w:rPr>
          <w:t xml:space="preserve">R450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1.2 워크플로우와 각 단계의 실측 소요시간 — 도식 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F7F9"/>
          </w:tcPr>
          <w:p>
            <w:pPr>
              <w:spacing w:before="0" w:after="0" w:line="240" w:lineRule="auto"/>
            </w:pPr>
            <w:r/>
            <w:r>
              <w:rPr>
                <w:rFonts w:ascii="D2Coding" w:hAnsi="D2Coding" w:eastAsia="D2Coding" w:cs="D2Coding"/>
                <w:sz w:val="15"/>
              </w:rPr>
              <w:t>■ 도식 ① 환자 검체 → 투여 워크플로우 타임라인 (실측 기준)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수술/생검   검체수송   WES+RNA-seq   신항원선정   DNA주형·IVT·정제·LNP   QC/출하   배송·투여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│          │           │            │              │                  │         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Day   0 ─────────┼───────────┼────────────┼──────────────┼──────────────────┼─────────┤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     │           │            │              │                  │        66일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     └───────────┴────────────┴──────────────┴──────────────────┘     (중앙값)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     ├──── 비제조 구간 57.4% ────┤├──── 제조 구간 28일 (최상) 43% ────┤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목표(업계)         28일 미만                                          [R882]      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"시연" (2021)      30일 미만  ← 일상적 달성이 아니라 1회 시연          [R882]      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상시 인프라        30~40일   (서열확정→출하, FY2025 공시에서 삭제됨)   [R883][R887]│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환자 전달 목표     6주 미만  (2017년 반자동 GMP 도입 후, 8년간 미개선)  [R881]     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★ 임상 실측        9.4주 = 66일 (수술→첫 투여 중앙값, 범위 7.4-11.0주)  [R800]     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목표와 현실의 격차 = 38일 = 2.36배                                  [R884]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참고: 투여 후 유효 면역반응 형성에 추가 6~8주 필요 → 실질 vein-to-vein 12~14주 [R668][R667]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핵심 함의는 </w:t>
      </w:r>
      <w:r>
        <w:rPr>
          <w:rFonts w:ascii="맑은 고딕" w:hAnsi="맑은 고딕" w:eastAsia="맑은 고딕" w:cs="맑은 고딕"/>
          <w:b/>
          <w:sz w:val="21"/>
        </w:rPr>
        <w:t>제조 속도 개선만으로는 문제가 풀리지 않는다</w:t>
      </w:r>
      <w:r>
        <w:rPr>
          <w:rFonts w:ascii="맑은 고딕" w:hAnsi="맑은 고딕" w:eastAsia="맑은 고딕" w:cs="맑은 고딕"/>
          <w:b w:val="0"/>
          <w:sz w:val="21"/>
        </w:rPr>
        <w:t>는 것이다. 최상 제조 구간 28일은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전체 66일의 43%에 불과하고, 나머지 57%는 수술·병리·검체수송·시퀀싱 승인·QC 출하·현장 배송이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차지한다 </w:t>
      </w:r>
      <w:r>
        <w:rPr>
          <w:sz w:val="19"/>
        </w:rPr>
        <w:t>[</w:t>
      </w:r>
      <w:hyperlink r:id="rId63">
        <w:r>
          <w:rPr>
            <w:rFonts w:ascii="D2Coding" w:hAnsi="D2Coding" w:eastAsia="D2Coding"/>
            <w:color w:val="1D4ED8"/>
            <w:sz w:val="19"/>
          </w:rPr>
          <w:t xml:space="preserve">R802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64">
        <w:r>
          <w:rPr>
            <w:rFonts w:ascii="D2Coding" w:hAnsi="D2Coding" w:eastAsia="D2Coding"/>
            <w:color w:val="1D4ED8"/>
            <w:sz w:val="19"/>
          </w:rPr>
          <w:t xml:space="preserve">R803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정보학 단계는 병목이 아니다 — PGV-001 전산 파이프라인은 단일 서버 최대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4일, 5대 병렬 시 1일이며 </w:t>
      </w:r>
      <w:r>
        <w:rPr>
          <w:sz w:val="19"/>
        </w:rPr>
        <w:t>[</w:t>
      </w:r>
      <w:hyperlink r:id="rId65">
        <w:r>
          <w:rPr>
            <w:rFonts w:ascii="D2Coding" w:hAnsi="D2Coding" w:eastAsia="D2Coding"/>
            <w:color w:val="1D4ED8"/>
            <w:sz w:val="19"/>
          </w:rPr>
          <w:t xml:space="preserve">R602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실제 지연은 계산이 아니라 **신항원 후보 심의(면역유전체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검토위원회 7–10일)** 와 물류다 </w:t>
      </w:r>
      <w:r>
        <w:rPr>
          <w:sz w:val="19"/>
        </w:rPr>
        <w:t>[</w:t>
      </w:r>
      <w:hyperlink r:id="rId66">
        <w:r>
          <w:rPr>
            <w:rFonts w:ascii="D2Coding" w:hAnsi="D2Coding" w:eastAsia="D2Coding"/>
            <w:color w:val="1D4ED8"/>
            <w:sz w:val="19"/>
          </w:rPr>
          <w:t xml:space="preserve">R620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67">
        <w:r>
          <w:rPr>
            <w:rFonts w:ascii="D2Coding" w:hAnsi="D2Coding" w:eastAsia="D2Coding"/>
            <w:color w:val="1D4ED8"/>
            <w:sz w:val="19"/>
          </w:rPr>
          <w:t xml:space="preserve">R869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1.3 신항원 예측 — 이 스택에서 가장 약한 고리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TESLA 컨소시엄(Cell 2020)은 이 분야의 표준 벤치마크다. 6개 검체·25개 팀이 예측한 후보 중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검증된 608개 에피토프에서 </w:t>
      </w:r>
      <w:r>
        <w:rPr>
          <w:rFonts w:ascii="맑은 고딕" w:hAnsi="맑은 고딕" w:eastAsia="맑은 고딕" w:cs="맑은 고딕"/>
          <w:b/>
          <w:sz w:val="21"/>
        </w:rPr>
        <w:t>면역원성이 확인된 것은 37개(6%)</w:t>
      </w:r>
      <w:r>
        <w:rPr>
          <w:rFonts w:ascii="맑은 고딕" w:hAnsi="맑은 고딕" w:eastAsia="맑은 고딕" w:cs="맑은 고딕"/>
          <w:b w:val="0"/>
          <w:sz w:val="21"/>
        </w:rPr>
        <w:t xml:space="preserve"> 였고, 어떤 팀도 그 37개 중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20개를 초과해 자기 top-100에 넣지 못했다 </w:t>
      </w:r>
      <w:r>
        <w:rPr>
          <w:sz w:val="19"/>
        </w:rPr>
        <w:t>[</w:t>
      </w:r>
      <w:hyperlink r:id="rId68">
        <w:r>
          <w:rPr>
            <w:rFonts w:ascii="D2Coding" w:hAnsi="D2Coding" w:eastAsia="D2Coding"/>
            <w:color w:val="1D4ED8"/>
            <w:sz w:val="19"/>
          </w:rPr>
          <w:t xml:space="preserve">R631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69">
        <w:r>
          <w:rPr>
            <w:rFonts w:ascii="D2Coding" w:hAnsi="D2Coding" w:eastAsia="D2Coding"/>
            <w:color w:val="1D4ED8"/>
            <w:sz w:val="19"/>
          </w:rPr>
          <w:t xml:space="preserve">R629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독립 검증 코호트(310개)의 기저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면역원성률은 </w:t>
      </w:r>
      <w:r>
        <w:rPr>
          <w:rFonts w:ascii="맑은 고딕" w:hAnsi="맑은 고딕" w:eastAsia="맑은 고딕" w:cs="맑은 고딕"/>
          <w:b/>
          <w:sz w:val="21"/>
        </w:rPr>
        <w:t>1.3%</w:t>
      </w:r>
      <w:r>
        <w:rPr>
          <w:rFonts w:ascii="맑은 고딕" w:hAnsi="맑은 고딕" w:eastAsia="맑은 고딕" w:cs="맑은 고딕"/>
          <w:b w:val="0"/>
          <w:sz w:val="21"/>
        </w:rPr>
        <w:t xml:space="preserve"> 로 더 낮았다 </w:t>
      </w:r>
      <w:r>
        <w:rPr>
          <w:sz w:val="19"/>
        </w:rPr>
        <w:t>[</w:t>
      </w:r>
      <w:hyperlink r:id="rId51">
        <w:r>
          <w:rPr>
            <w:rFonts w:ascii="D2Coding" w:hAnsi="D2Coding" w:eastAsia="D2Coding"/>
            <w:color w:val="1D4ED8"/>
            <w:sz w:val="19"/>
          </w:rPr>
          <w:t xml:space="preserve">R635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흔히 인용되는 "비면역원성의 98% 제거, precision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0.70"은 </w:t>
      </w:r>
      <w:r>
        <w:rPr>
          <w:rFonts w:ascii="맑은 고딕" w:hAnsi="맑은 고딕" w:eastAsia="맑은 고딕" w:cs="맑은 고딕"/>
          <w:b/>
          <w:sz w:val="21"/>
        </w:rPr>
        <w:t>이미 상위 랭크된 608개 내부의 값</w:t>
      </w:r>
      <w:r>
        <w:rPr>
          <w:rFonts w:ascii="맑은 고딕" w:hAnsi="맑은 고딕" w:eastAsia="맑은 고딕" w:cs="맑은 고딕"/>
          <w:b w:val="0"/>
          <w:sz w:val="21"/>
        </w:rPr>
        <w:t xml:space="preserve">이지 전체 변이 대비 양성예측도가 아니다 </w:t>
      </w:r>
      <w:r>
        <w:rPr>
          <w:sz w:val="19"/>
        </w:rPr>
        <w:t>[</w:t>
      </w:r>
      <w:hyperlink r:id="rId70">
        <w:r>
          <w:rPr>
            <w:rFonts w:ascii="D2Coding" w:hAnsi="D2Coding" w:eastAsia="D2Coding"/>
            <w:color w:val="1D4ED8"/>
            <w:sz w:val="19"/>
          </w:rPr>
          <w:t xml:space="preserve">R634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71">
        <w:r>
          <w:rPr>
            <w:rFonts w:ascii="D2Coding" w:hAnsi="D2Coding" w:eastAsia="D2Coding"/>
            <w:color w:val="1D4ED8"/>
            <w:sz w:val="19"/>
          </w:rPr>
          <w:t xml:space="preserve">R008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임상에서 실제 투여된 신항원의 면역원성률은 11–16%다 — Rojas 2023은 230개 중 25개(11%) </w:t>
      </w:r>
      <w:r>
        <w:rPr>
          <w:sz w:val="19"/>
        </w:rPr>
        <w:t>[</w:t>
      </w:r>
      <w:hyperlink r:id="rId72">
        <w:r>
          <w:rPr>
            <w:rFonts w:ascii="D2Coding" w:hAnsi="D2Coding" w:eastAsia="D2Coding"/>
            <w:color w:val="1D4ED8"/>
            <w:sz w:val="19"/>
          </w:rPr>
          <w:t xml:space="preserve">R608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Cafri 2020은 15.7% </w:t>
      </w:r>
      <w:r>
        <w:rPr>
          <w:sz w:val="19"/>
        </w:rPr>
        <w:t>[</w:t>
      </w:r>
      <w:hyperlink r:id="rId73">
        <w:r>
          <w:rPr>
            <w:rFonts w:ascii="D2Coding" w:hAnsi="D2Coding" w:eastAsia="D2Coding"/>
            <w:color w:val="1D4ED8"/>
            <w:sz w:val="19"/>
          </w:rPr>
          <w:t xml:space="preserve">R661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즉 </w:t>
      </w:r>
      <w:r>
        <w:rPr>
          <w:rFonts w:ascii="맑은 고딕" w:hAnsi="맑은 고딕" w:eastAsia="맑은 고딕" w:cs="맑은 고딕"/>
          <w:b/>
          <w:sz w:val="21"/>
        </w:rPr>
        <w:t>20개짜리 백신에서 실제 작동하는 항원은 평균 2–3개</w:t>
      </w:r>
      <w:r>
        <w:rPr>
          <w:rFonts w:ascii="맑은 고딕" w:hAnsi="맑은 고딕" w:eastAsia="맑은 고딕" w:cs="맑은 고딕"/>
          <w:b w:val="0"/>
          <w:sz w:val="21"/>
        </w:rPr>
        <w:t xml:space="preserve"> 수준이다</w:t>
      </w:r>
    </w:p>
    <w:p>
      <w:pPr>
        <w:spacing w:after="120" w:line="324" w:lineRule="auto"/>
      </w:pPr>
      <w:r>
        <w:rPr>
          <w:sz w:val="19"/>
        </w:rPr>
        <w:t>[</w:t>
      </w:r>
      <w:hyperlink r:id="rId72">
        <w:r>
          <w:rPr>
            <w:rFonts w:ascii="D2Coding" w:hAnsi="D2Coding" w:eastAsia="D2Coding"/>
            <w:color w:val="1D4ED8"/>
            <w:sz w:val="19"/>
          </w:rPr>
          <w:t xml:space="preserve">R608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73">
        <w:r>
          <w:rPr>
            <w:rFonts w:ascii="D2Coding" w:hAnsi="D2Coding" w:eastAsia="D2Coding"/>
            <w:color w:val="1D4ED8"/>
            <w:sz w:val="19"/>
          </w:rPr>
          <w:t xml:space="preserve">R661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면역원성 예측기의 판별력은 사실상 무작위에 가깝다. ITSNdb 벤치마크(신항원 199개)에서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NetMHCpan 4.1·MHCflurry 2.0·MixMHCpred 2.1·PRIME 2.0·DeepImmuno·DeepHLApan·CIImm **7종 전부가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AUC 0.52–0.60**에 그쳤다(AUC 0.5 = 무작위) </w:t>
      </w:r>
      <w:r>
        <w:rPr>
          <w:sz w:val="19"/>
        </w:rPr>
        <w:t>[</w:t>
      </w:r>
      <w:hyperlink r:id="rId74">
        <w:r>
          <w:rPr>
            <w:rFonts w:ascii="D2Coding" w:hAnsi="D2Coding" w:eastAsia="D2Coding"/>
            <w:color w:val="1D4ED8"/>
            <w:sz w:val="19"/>
          </w:rPr>
          <w:t xml:space="preserve">R637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모든 방법이 공통으로 면역원성이라 예측한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신항원은 129개 중 단 7개였다 </w:t>
      </w:r>
      <w:r>
        <w:rPr>
          <w:sz w:val="19"/>
        </w:rPr>
        <w:t>[</w:t>
      </w:r>
      <w:hyperlink r:id="rId75">
        <w:r>
          <w:rPr>
            <w:rFonts w:ascii="D2Coding" w:hAnsi="D2Coding" w:eastAsia="D2Coding"/>
            <w:color w:val="1D4ED8"/>
            <w:sz w:val="19"/>
          </w:rPr>
          <w:t xml:space="preserve">R638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반면 "제시(presentation)" 예측은 사실상 포화되었다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(BigMHC AUROC 0.9733) </w:t>
      </w:r>
      <w:r>
        <w:rPr>
          <w:sz w:val="19"/>
        </w:rPr>
        <w:t>[</w:t>
      </w:r>
      <w:hyperlink r:id="rId76">
        <w:r>
          <w:rPr>
            <w:rFonts w:ascii="D2Coding" w:hAnsi="D2Coding" w:eastAsia="D2Coding"/>
            <w:color w:val="1D4ED8"/>
            <w:sz w:val="19"/>
          </w:rPr>
          <w:t xml:space="preserve">R642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 — </w:t>
      </w:r>
      <w:r>
        <w:rPr>
          <w:rFonts w:ascii="맑은 고딕" w:hAnsi="맑은 고딕" w:eastAsia="맑은 고딕" w:cs="맑은 고딕"/>
          <w:b/>
          <w:sz w:val="21"/>
        </w:rPr>
        <w:t>제시는 풀렸고 면역원성은 안 풀렸다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77">
        <w:r>
          <w:rPr>
            <w:rFonts w:ascii="D2Coding" w:hAnsi="D2Coding" w:eastAsia="D2Coding"/>
            <w:color w:val="1D4ED8"/>
            <w:sz w:val="19"/>
          </w:rPr>
          <w:t xml:space="preserve">R644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2026년에는 기존 벤치마크 성능 자체를 의심하는 근거가 나왔다. Cell Genomics의 ImmUni 연구는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기존 딥러닝 면역원성 예측기들이 intra-HLA 라벨 불균형에서 비롯된 </w:t>
      </w:r>
      <w:r>
        <w:rPr>
          <w:rFonts w:ascii="맑은 고딕" w:hAnsi="맑은 고딕" w:eastAsia="맑은 고딕" w:cs="맑은 고딕"/>
          <w:b/>
          <w:sz w:val="21"/>
        </w:rPr>
        <w:t>shortcut 상관</w:t>
      </w:r>
      <w:r>
        <w:rPr>
          <w:rFonts w:ascii="맑은 고딕" w:hAnsi="맑은 고딕" w:eastAsia="맑은 고딕" w:cs="맑은 고딕"/>
          <w:b w:val="0"/>
          <w:sz w:val="21"/>
        </w:rPr>
        <w:t>을 학습해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왔음을 모델 비의존적으로 정량화했다 </w:t>
      </w:r>
      <w:r>
        <w:rPr>
          <w:sz w:val="19"/>
        </w:rPr>
        <w:t>[</w:t>
      </w:r>
      <w:hyperlink r:id="rId78">
        <w:r>
          <w:rPr>
            <w:rFonts w:ascii="D2Coding" w:hAnsi="D2Coding" w:eastAsia="D2Coding"/>
            <w:color w:val="1D4ED8"/>
            <w:sz w:val="19"/>
          </w:rPr>
          <w:t xml:space="preserve">R645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/>
          <w:color w:val="5C6570"/>
          <w:sz w:val="20"/>
        </w:rPr>
        <w:t>한국 BD 관점의 결정적 기술 사실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— HLA-DQB1 타이핑 오류율이 동아시아 집단에서 **11%를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초과**해 타 인종군의 3% 미만 대비 현저히 높다 </w:t>
      </w:r>
      <w:r>
        <w:rPr>
          <w:sz w:val="18"/>
        </w:rPr>
        <w:t>[</w:t>
      </w:r>
      <w:hyperlink r:id="rId79">
        <w:r>
          <w:rPr>
            <w:rFonts w:ascii="D2Coding" w:hAnsi="D2Coding" w:eastAsia="D2Coding"/>
            <w:color w:val="1D4ED8"/>
            <w:sz w:val="18"/>
          </w:rPr>
          <w:t xml:space="preserve">R627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. 서구 데이터로 학습된 HLA 툴과 예측기가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>한국인에서 체계적으로 열화된다. 그런데 반응의 60%를 차지하는 것은 class II(CD4) 축인데</w:t>
      </w:r>
    </w:p>
    <w:p>
      <w:pPr>
        <w:spacing w:after="80"/>
        <w:ind w:left="340"/>
      </w:pPr>
      <w:r>
        <w:rPr>
          <w:sz w:val="18"/>
        </w:rPr>
        <w:t>[</w:t>
      </w:r>
      <w:hyperlink r:id="rId80">
        <w:r>
          <w:rPr>
            <w:rFonts w:ascii="D2Coding" w:hAnsi="D2Coding" w:eastAsia="D2Coding"/>
            <w:color w:val="1D4ED8"/>
            <w:sz w:val="18"/>
          </w:rPr>
          <w:t xml:space="preserve">R660</w:t>
        </w:r>
      </w:hyperlink>
      <w:r>
        <w:rPr>
          <w:sz w:val="18"/>
        </w:rPr>
        <w:t>]</w:t>
      </w:r>
      <w:r>
        <w:rPr>
          <w:sz w:val="18"/>
        </w:rPr>
        <w:t>[</w:t>
      </w:r>
      <w:hyperlink r:id="rId73">
        <w:r>
          <w:rPr>
            <w:rFonts w:ascii="D2Coding" w:hAnsi="D2Coding" w:eastAsia="D2Coding"/>
            <w:color w:val="1D4ED8"/>
            <w:sz w:val="18"/>
          </w:rPr>
          <w:t xml:space="preserve">R661</w:t>
        </w:r>
      </w:hyperlink>
      <w:r>
        <w:rPr>
          <w:sz w:val="18"/>
        </w:rPr>
        <w:t>]</w:t>
      </w:r>
      <w:r>
        <w:rPr>
          <w:sz w:val="18"/>
        </w:rPr>
        <w:t>[</w:t>
      </w:r>
      <w:hyperlink r:id="rId81">
        <w:r>
          <w:rPr>
            <w:rFonts w:ascii="D2Coding" w:hAnsi="D2Coding" w:eastAsia="D2Coding"/>
            <w:color w:val="1D4ED8"/>
            <w:sz w:val="18"/>
          </w:rPr>
          <w:t xml:space="preserve">R662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, 업계 표준 벤치마크 TESLA는 </w:t>
      </w:r>
      <w:r>
        <w:rPr>
          <w:rFonts w:ascii="맑은 고딕" w:hAnsi="맑은 고딕" w:eastAsia="맑은 고딕" w:cs="맑은 고딕"/>
          <w:b/>
          <w:color w:val="5C6570"/>
          <w:sz w:val="20"/>
        </w:rPr>
        <w:t>class I만 평가했고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</w:t>
      </w:r>
      <w:r>
        <w:rPr>
          <w:sz w:val="18"/>
        </w:rPr>
        <w:t>[</w:t>
      </w:r>
      <w:hyperlink r:id="rId82">
        <w:r>
          <w:rPr>
            <w:rFonts w:ascii="D2Coding" w:hAnsi="D2Coding" w:eastAsia="D2Coding"/>
            <w:color w:val="1D4ED8"/>
            <w:sz w:val="18"/>
          </w:rPr>
          <w:t xml:space="preserve">R636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, class II 예측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민감도는 실측 50% 수준이다 </w:t>
      </w:r>
      <w:r>
        <w:rPr>
          <w:sz w:val="18"/>
        </w:rPr>
        <w:t>[</w:t>
      </w:r>
      <w:hyperlink r:id="rId83">
        <w:r>
          <w:rPr>
            <w:rFonts w:ascii="D2Coding" w:hAnsi="D2Coding" w:eastAsia="D2Coding"/>
            <w:color w:val="1D4ED8"/>
            <w:sz w:val="18"/>
          </w:rPr>
          <w:t xml:space="preserve">R665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. 즉 가장 중요한 축을 가장 부정확한 도구로 다루고 있으며,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>그 부정확성이 한국인에서 더 크다.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1.4 두 선두 자산의 화학이 정반대다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intismeran autogene (Moderna/Merck)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autogene cevumeran (BioNTech/Roche)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신항원 수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최대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34개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(단일 mRNA) </w:t>
            </w:r>
            <w:r>
              <w:rPr>
                <w:sz w:val="15"/>
              </w:rPr>
              <w:t>[</w:t>
            </w:r>
            <w:hyperlink r:id="rId8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R653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최대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20개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(2 strand × 10) </w:t>
            </w:r>
            <w:r>
              <w:rPr>
                <w:sz w:val="15"/>
              </w:rPr>
              <w:t>[</w:t>
            </w:r>
            <w:hyperlink r:id="rId5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R651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뉴클레오시드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m1Ψ 100% 치환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Cap 1 </w:t>
            </w:r>
            <w:r>
              <w:rPr>
                <w:sz w:val="15"/>
              </w:rPr>
              <w:t>[</w:t>
            </w:r>
            <w:hyperlink r:id="rId8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R722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비변형 우리딘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(의도적) </w:t>
            </w:r>
            <w:r>
              <w:rPr>
                <w:sz w:val="15"/>
              </w:rPr>
              <w:t>[</w:t>
            </w:r>
            <w:hyperlink r:id="rId8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R730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8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R746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전달체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LNP (SM-102/DMG-PEG2000/DSPC/콜레스테롤) </w:t>
            </w:r>
            <w:r>
              <w:rPr>
                <w:sz w:val="15"/>
              </w:rPr>
              <w:t>[</w:t>
            </w:r>
            <w:hyperlink r:id="rId8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R723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RNA-리포플렉스 DOTMA/DOPE, 약 400 nm </w:t>
            </w:r>
            <w:r>
              <w:rPr>
                <w:sz w:val="15"/>
              </w:rPr>
              <w:t>[</w:t>
            </w:r>
            <w:hyperlink r:id="rId8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R817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투여경로·용량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근육주사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1 mg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× 9회 q3w </w:t>
            </w:r>
            <w:r>
              <w:rPr>
                <w:sz w:val="15"/>
              </w:rPr>
              <w:t>[</w:t>
            </w:r>
            <w:hyperlink r:id="rId9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R006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9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R818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정맥주사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25 µg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× 9회 </w:t>
            </w:r>
            <w:r>
              <w:rPr>
                <w:sz w:val="15"/>
              </w:rPr>
              <w:t>[</w:t>
            </w:r>
            <w:hyperlink r:id="rId9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R731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9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R818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환자당 RNA 총량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9 mg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sz w:val="15"/>
              </w:rPr>
              <w:t>[</w:t>
            </w:r>
            <w:hyperlink r:id="rId9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R891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225 µg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40배 차이 </w:t>
            </w:r>
            <w:r>
              <w:rPr>
                <w:sz w:val="15"/>
              </w:rPr>
              <w:t>[</w:t>
            </w:r>
            <w:hyperlink r:id="rId9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R891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아쥬반트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별도 없음. LNP 자체가 TLR4 경유 활성화 </w:t>
            </w:r>
            <w:r>
              <w:rPr>
                <w:sz w:val="15"/>
              </w:rPr>
              <w:t>[</w:t>
            </w:r>
            <w:hyperlink r:id="rId9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R756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9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R755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별도 없음. 비변형 RNA의 TLR7/8 자극 </w:t>
            </w:r>
            <w:r>
              <w:rPr>
                <w:sz w:val="15"/>
              </w:rPr>
              <w:t>[</w:t>
            </w:r>
            <w:hyperlink r:id="rId9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R741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9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R742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이 표의 마지막 두 행이 Q3에 직결한다. **같은 "개인맞춤 mRNA 암백신"이라도 원료 RNA 소요량이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40배 차이 나며** </w:t>
      </w:r>
      <w:r>
        <w:rPr>
          <w:sz w:val="19"/>
        </w:rPr>
        <w:t>[</w:t>
      </w:r>
      <w:hyperlink r:id="rId93">
        <w:r>
          <w:rPr>
            <w:rFonts w:ascii="D2Coding" w:hAnsi="D2Coding" w:eastAsia="D2Coding"/>
            <w:color w:val="1D4ED8"/>
            <w:sz w:val="19"/>
          </w:rPr>
          <w:t xml:space="preserve">R891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제형 범주가 달라(리포플렉스는 0.22 µm 무균여과 불가) 원부자재·설비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공급망이 서로 다르다 </w:t>
      </w:r>
      <w:r>
        <w:rPr>
          <w:sz w:val="19"/>
        </w:rPr>
        <w:t>[</w:t>
      </w:r>
      <w:hyperlink r:id="rId89">
        <w:r>
          <w:rPr>
            <w:rFonts w:ascii="D2Coding" w:hAnsi="D2Coding" w:eastAsia="D2Coding"/>
            <w:color w:val="1D4ED8"/>
            <w:sz w:val="19"/>
          </w:rPr>
          <w:t xml:space="preserve">R817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원료 공급자 관점에서 이 둘은 사실상 다른 시장이다.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m1Ψ에는 알려진 결함이 있다. 리보솜 </w:t>
      </w:r>
      <w:r>
        <w:rPr>
          <w:rFonts w:ascii="맑은 고딕" w:hAnsi="맑은 고딕" w:eastAsia="맑은 고딕" w:cs="맑은 고딕"/>
          <w:b/>
          <w:sz w:val="21"/>
        </w:rPr>
        <w:t>+1 프레임시프트</w:t>
      </w:r>
      <w:r>
        <w:rPr>
          <w:rFonts w:ascii="맑은 고딕" w:hAnsi="맑은 고딕" w:eastAsia="맑은 고딕" w:cs="맑은 고딕"/>
          <w:b w:val="0"/>
          <w:sz w:val="21"/>
        </w:rPr>
        <w:t>를 in-frame 대비 약 8% 수준으로 유발하며,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BNT162b2 접종자 21명은 ChAdOx1 접종자 20명 대비 프레임시프트 산물에 대한 세포면역이 유의하게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높았다(p=0.0233) </w:t>
      </w:r>
      <w:r>
        <w:rPr>
          <w:sz w:val="19"/>
        </w:rPr>
        <w:t>[</w:t>
      </w:r>
      <w:hyperlink r:id="rId98">
        <w:r>
          <w:rPr>
            <w:rFonts w:ascii="D2Coding" w:hAnsi="D2Coding" w:eastAsia="D2Coding"/>
            <w:color w:val="1D4ED8"/>
            <w:sz w:val="19"/>
          </w:rPr>
          <w:t xml:space="preserve">R748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신항원을 인코딩하는 암 백신에서는 의도한 표적 대신 이형 산물이 면역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우세가 될 위험이 있다. 다만 슬리퍼리 서열의 동의코돈 치환으로 제거 가능하므로 </w:t>
      </w:r>
      <w:r>
        <w:rPr>
          <w:sz w:val="19"/>
        </w:rPr>
        <w:t>[</w:t>
      </w:r>
      <w:hyperlink r:id="rId99">
        <w:r>
          <w:rPr>
            <w:rFonts w:ascii="D2Coding" w:hAnsi="D2Coding" w:eastAsia="D2Coding"/>
            <w:color w:val="1D4ED8"/>
            <w:sz w:val="19"/>
          </w:rPr>
          <w:t xml:space="preserve">R749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이는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서열설계 소프트웨어의 필수 기능 요건</w:t>
      </w:r>
      <w:r>
        <w:rPr>
          <w:rFonts w:ascii="맑은 고딕" w:hAnsi="맑은 고딕" w:eastAsia="맑은 고딕" w:cs="맑은 고딕"/>
          <w:b w:val="0"/>
          <w:sz w:val="21"/>
        </w:rPr>
        <w:t>이 된다.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1.5 면역원성 측정법은 회사 간 교차비교가 불가능하다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이 판정은 명시적으로 내린다. </w:t>
      </w:r>
      <w:r>
        <w:rPr>
          <w:rFonts w:ascii="맑은 고딕" w:hAnsi="맑은 고딕" w:eastAsia="맑은 고딕" w:cs="맑은 고딕"/>
          <w:b/>
          <w:sz w:val="21"/>
        </w:rPr>
        <w:t>불가능하다.</w:t>
      </w:r>
      <w:r>
        <w:rPr>
          <w:rFonts w:ascii="맑은 고딕" w:hAnsi="맑은 고딕" w:eastAsia="맑은 고딕" w:cs="맑은 고딕"/>
          <w:b w:val="0"/>
          <w:sz w:val="21"/>
        </w:rPr>
        <w:t xml:space="preserve"> 근거는 세 층위다. 첫째, 측정 대상이 다르다 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autogene cevumeran 1상의 "71% 면역반응"은 </w:t>
      </w:r>
      <w:r>
        <w:rPr>
          <w:rFonts w:ascii="맑은 고딕" w:hAnsi="맑은 고딕" w:eastAsia="맑은 고딕" w:cs="맑은 고딕"/>
          <w:b/>
          <w:sz w:val="21"/>
        </w:rPr>
        <w:t>환자 단위 반응률</w:t>
      </w:r>
      <w:r>
        <w:rPr>
          <w:rFonts w:ascii="맑은 고딕" w:hAnsi="맑은 고딕" w:eastAsia="맑은 고딕" w:cs="맑은 고딕"/>
          <w:b w:val="0"/>
          <w:sz w:val="21"/>
        </w:rPr>
        <w:t xml:space="preserve">이고 </w:t>
      </w:r>
      <w:r>
        <w:rPr>
          <w:sz w:val="19"/>
        </w:rPr>
        <w:t>[</w:t>
      </w:r>
      <w:hyperlink r:id="rId81">
        <w:r>
          <w:rPr>
            <w:rFonts w:ascii="D2Coding" w:hAnsi="D2Coding" w:eastAsia="D2Coding"/>
            <w:color w:val="1D4ED8"/>
            <w:sz w:val="19"/>
          </w:rPr>
          <w:t xml:space="preserve">R662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Rojas 2023의 "11%"는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투여 항원 단위 반응률</w:t>
      </w:r>
      <w:r>
        <w:rPr>
          <w:rFonts w:ascii="맑은 고딕" w:hAnsi="맑은 고딕" w:eastAsia="맑은 고딕" w:cs="맑은 고딕"/>
          <w:b w:val="0"/>
          <w:sz w:val="21"/>
        </w:rPr>
        <w:t xml:space="preserve">이다 </w:t>
      </w:r>
      <w:r>
        <w:rPr>
          <w:sz w:val="19"/>
        </w:rPr>
        <w:t>[</w:t>
      </w:r>
      <w:hyperlink r:id="rId72">
        <w:r>
          <w:rPr>
            <w:rFonts w:ascii="D2Coding" w:hAnsi="D2Coding" w:eastAsia="D2Coding"/>
            <w:color w:val="1D4ED8"/>
            <w:sz w:val="19"/>
          </w:rPr>
          <w:t xml:space="preserve">R608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분모가 다른 수치를 나란히 놓을 수 없다. 둘째, 반응의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축이 다르다 — 세 독립 프로그램 모두 CD4 우위를 보고하나 비율이 다르다(NeoVax CD4 60%/CD8 16%</w:t>
      </w:r>
    </w:p>
    <w:p>
      <w:pPr>
        <w:spacing w:after="120" w:line="324" w:lineRule="auto"/>
      </w:pPr>
      <w:r>
        <w:rPr>
          <w:sz w:val="19"/>
        </w:rPr>
        <w:t>[</w:t>
      </w:r>
      <w:hyperlink r:id="rId80">
        <w:r>
          <w:rPr>
            <w:rFonts w:ascii="D2Coding" w:hAnsi="D2Coding" w:eastAsia="D2Coding"/>
            <w:color w:val="1D4ED8"/>
            <w:sz w:val="19"/>
          </w:rPr>
          <w:t xml:space="preserve">R660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Cafri CD4 59%/CD8 41% </w:t>
      </w:r>
      <w:r>
        <w:rPr>
          <w:sz w:val="19"/>
        </w:rPr>
        <w:t>[</w:t>
      </w:r>
      <w:hyperlink r:id="rId73">
        <w:r>
          <w:rPr>
            <w:rFonts w:ascii="D2Coding" w:hAnsi="D2Coding" w:eastAsia="D2Coding"/>
            <w:color w:val="1D4ED8"/>
            <w:sz w:val="19"/>
          </w:rPr>
          <w:t xml:space="preserve">R661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cevumeran CD4단독 59%/CD8단독 26%/양쪽 15% </w:t>
      </w:r>
      <w:r>
        <w:rPr>
          <w:sz w:val="19"/>
        </w:rPr>
        <w:t>[</w:t>
      </w:r>
      <w:hyperlink r:id="rId81">
        <w:r>
          <w:rPr>
            <w:rFonts w:ascii="D2Coding" w:hAnsi="D2Coding" w:eastAsia="D2Coding"/>
            <w:color w:val="1D4ED8"/>
            <w:sz w:val="19"/>
          </w:rPr>
          <w:t xml:space="preserve">R662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셋째, 검출 방법과 역치가 다르다 — ex vivo IFN-γ ELISpot </w:t>
      </w:r>
      <w:r>
        <w:rPr>
          <w:sz w:val="19"/>
        </w:rPr>
        <w:t>[</w:t>
      </w:r>
      <w:hyperlink r:id="rId72">
        <w:r>
          <w:rPr>
            <w:rFonts w:ascii="D2Coding" w:hAnsi="D2Coding" w:eastAsia="D2Coding"/>
            <w:color w:val="1D4ED8"/>
            <w:sz w:val="19"/>
          </w:rPr>
          <w:t xml:space="preserve">R608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MANAFEST </w:t>
      </w:r>
      <w:r>
        <w:rPr>
          <w:sz w:val="19"/>
        </w:rPr>
        <w:t>[</w:t>
      </w:r>
      <w:hyperlink r:id="rId100">
        <w:r>
          <w:rPr>
            <w:rFonts w:ascii="D2Coding" w:hAnsi="D2Coding" w:eastAsia="D2Coding"/>
            <w:color w:val="1D4ED8"/>
            <w:sz w:val="19"/>
          </w:rPr>
          <w:t xml:space="preserve">R763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TCR-seq 클론성</w:t>
      </w:r>
    </w:p>
    <w:p>
      <w:pPr>
        <w:spacing w:after="120" w:line="324" w:lineRule="auto"/>
      </w:pPr>
      <w:r>
        <w:rPr>
          <w:sz w:val="19"/>
        </w:rPr>
        <w:t>[</w:t>
      </w:r>
      <w:hyperlink r:id="rId101">
        <w:r>
          <w:rPr>
            <w:rFonts w:ascii="D2Coding" w:hAnsi="D2Coding" w:eastAsia="D2Coding"/>
            <w:color w:val="1D4ED8"/>
            <w:sz w:val="19"/>
          </w:rPr>
          <w:t xml:space="preserve">R128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이 혼재한다. </w:t>
      </w:r>
      <w:r>
        <w:rPr>
          <w:rFonts w:ascii="맑은 고딕" w:hAnsi="맑은 고딕" w:eastAsia="맑은 고딕" w:cs="맑은 고딕"/>
          <w:b/>
          <w:sz w:val="21"/>
        </w:rPr>
        <w:t>따라서 본 보고서는 회사 간 "면역반응률" 비교표를 제시하지 않는다.</w:t>
      </w:r>
    </w:p>
    <w:p>
      <w:pPr>
        <w:pBdr>
          <w:bottom w:val="single" w:sz="6" w:color="DFE3E8"/>
        </w:pBdr>
      </w:pPr>
    </w:p>
    <w:p>
      <w:pPr>
        <w:keepNext/>
        <w:spacing w:before="280" w:after="80"/>
        <w:pBdr>
          <w:bottom w:val="single" w:sz="4" w:color="DFE3E8"/>
        </w:pBdr>
      </w:pPr>
      <w:r>
        <w:rPr>
          <w:rFonts w:ascii="맑은 고딕" w:hAnsi="맑은 고딕" w:eastAsia="맑은 고딕" w:cs="맑은 고딕"/>
          <w:b/>
          <w:color w:val="1D4ED8"/>
          <w:sz w:val="29"/>
        </w:rPr>
        <w:t>M2. 임상 근거 — 최우선 모듈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2.1 개발단계 맵 — 도식 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F7F9"/>
          </w:tcPr>
          <w:p>
            <w:pPr>
              <w:spacing w:before="0" w:after="0" w:line="240" w:lineRule="auto"/>
            </w:pPr>
            <w:r/>
            <w:r>
              <w:rPr>
                <w:rFonts w:ascii="D2Coding" w:hAnsi="D2Coding" w:eastAsia="D2Coding" w:cs="D2Coding"/>
                <w:sz w:val="15"/>
              </w:rPr>
              <w:t>■ 도식 ② 프로그램별 개발단계 맵 (2026-08 기준, 개인맞춤 신항원 ①범주만)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전임상 ──── 1상 ──── 2상 ──── 3상 ──── 승인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                            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┌──────────────────────────────────────┴─────────────────────────────────┐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│  전 세계 승인 제품: 0건.  3상 효능 데이터: 0건.  최초 판독 2029-10-26   │[R545]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└────────────────────────────────────────────────────────────────────────┘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● intismeran autogene (Moderna+Merck) — 등록시험 12건, 진행 2/3상 9건        [R134][R167]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2b  KEYNOTE-942 흑색종 N=157 ── RFS HR 0.561 (p=0.053) → 5년 HR 0.510   [R003][R001]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3상 INTerpath-001 흑색종  N=1,089  이중맹검·위약대조  1차완료 2029-10-26 [R142]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3상 INTerpath-002 NSCLC   N=868    개시 2년 8개월째 모집중              [R143]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3상 INTerpath-009 NSCLC   N=680    1차완료 2033-05, 최종 2038-01        [R144]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3상 INTerpath-014 NSCLC   N=876    ★최초 단독요법 3상 (2026-05 개시)     [R150]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2상 -004 RCC / -005 MIBC(1차완료 6.5개월 지연) / -011 방광암+BCG         [R146][R147]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2상 -013 전이성 NSCLC ★유일하게 OS 공동 1차평가변수                      [R149]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✖ -007 피부편평세포암  목표 1,012명 → 실제 46명(4.5%)에서 TERMINATED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               사유 "Business reasons"                          [R009][R135]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● autogene cevumeran (BioNTech+Genentech/Roche) — 진행 임상 2건으로 축소     [R262]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2상 BNT122-01 ctDNA+ 대장암 N=327 ── ✖ 1차 중간분석 무용성 경계 교차     [R217]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                               최종분석 2026→2027 연기          [R220]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2상 IMCODE003 PDAC N=260 ── 1차완료 2029-05 → 2031-01 (3년7개월 연기)    [R214]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✖ IMCODE001 1L 흑색종 N=125 ── 1차평가변수 PFS 미충족                    [R224]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                         HR 0.79 (0.49-1.27) p=0.3284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✖ IMcode004 요로상피암 ── 안전성 사건으로 8주 임상보류 후 해제,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                  2026-03 "치료환경 변화"로 중단.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                  단 등록정보상 TERMINATED 아님 → 집계 함정      [R241][R243][R245]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● 실패·소멸 (①범주 전문기업)                                                [R517][R521][R520][R523]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Gritstone bio (saRNA, EDGE AI) ── Chapter 11, 전자산 $21.25M 매각        [R517][R518]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Achilles Therapeutics ── 현금 $95.1M 보유 상태에서 자발적 중단·청산      [R521][R522]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Genocea (ATLAS 실증 스크리닝) ── 청산·상장폐지                           [R520]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Nykode VB10.NEO ── Genentech 라이선스 해지(2025-01), 최대 60% 감원       [R523]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Stemirna (중국) ── 임금체불·소송·임상 보류                               [R557]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2.2 KEYNOTE-942 — 무엇이 입증되었고 무엇이 아닌가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이 시험이 이 분야 전체의 기대를 만들었으므로 정확히 읽어야 한다.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시점</w:t>
            </w:r>
          </w:p>
        </w:tc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데이터컷</w:t>
            </w:r>
          </w:p>
        </w:tc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추적 중앙값</w:t>
            </w:r>
          </w:p>
        </w:tc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RFS HR (95% CI)</w:t>
            </w:r>
          </w:p>
        </w:tc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p</w:t>
            </w:r>
          </w:p>
        </w:tc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비고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1차 분석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2022-11-14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23 / 24개월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0.561 (0.309–1.017)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양측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0.053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/ 단측 0.0266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통상 유의수준 미달 </w:t>
            </w:r>
            <w:r>
              <w:rPr>
                <w:sz w:val="15"/>
              </w:rPr>
              <w:t>[</w:t>
            </w:r>
            <w:hyperlink r:id="rId1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R003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R100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3년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2023-11-03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34.9개월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0.510 (0.288–0.906)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명목 0.019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논문이 80% CI를 전면 배치 </w:t>
            </w:r>
            <w:r>
              <w:rPr>
                <w:sz w:val="15"/>
              </w:rPr>
              <w:t>[</w:t>
            </w:r>
            <w:hyperlink r:id="rId10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R116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5년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2025-12-15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60.3개월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0.510 (0.294–0.887)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단측 명목 0.0075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알파 미배정, 기술적 분석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sz w:val="15"/>
              </w:rPr>
              <w:t>[</w:t>
            </w:r>
            <w:hyperlink r:id="rId1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R001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R126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설계상의 한계를 정확히 적시한다.</w:t>
      </w:r>
      <w:r>
        <w:rPr>
          <w:rFonts w:ascii="맑은 고딕" w:hAnsi="맑은 고딕" w:eastAsia="맑은 고딕" w:cs="맑은 고딕"/>
          <w:b w:val="0"/>
          <w:sz w:val="21"/>
        </w:rPr>
        <w:t xml:space="preserve"> 이 시험은 검정력 80%, HR 0.5 가정, RFS 40건,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단측 alpha 0.1</w:t>
      </w:r>
      <w:r>
        <w:rPr>
          <w:rFonts w:ascii="맑은 고딕" w:hAnsi="맑은 고딕" w:eastAsia="맑은 고딕" w:cs="맑은 고딕"/>
          <w:b w:val="0"/>
          <w:sz w:val="21"/>
        </w:rPr>
        <w:t xml:space="preserve"> 로 설계되었다 </w:t>
      </w:r>
      <w:r>
        <w:rPr>
          <w:sz w:val="19"/>
        </w:rPr>
        <w:t>[</w:t>
      </w:r>
      <w:hyperlink r:id="rId103">
        <w:r>
          <w:rPr>
            <w:rFonts w:ascii="D2Coding" w:hAnsi="D2Coding" w:eastAsia="D2Coding"/>
            <w:color w:val="1D4ED8"/>
            <w:sz w:val="19"/>
          </w:rPr>
          <w:t xml:space="preserve">R103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 — 확증 3상의 표준(양측 0.05)보다 현저히 느슨하다.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개방표지이며 2:1 배정으로 대조군을 50명까지 줄여 비교 정밀도를 희생했다 </w:t>
      </w:r>
      <w:r>
        <w:rPr>
          <w:sz w:val="19"/>
        </w:rPr>
        <w:t>[</w:t>
      </w:r>
      <w:hyperlink r:id="rId104">
        <w:r>
          <w:rPr>
            <w:rFonts w:ascii="D2Coding" w:hAnsi="D2Coding" w:eastAsia="D2Coding"/>
            <w:color w:val="1D4ED8"/>
            <w:sz w:val="19"/>
          </w:rPr>
          <w:t xml:space="preserve">R005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05">
        <w:r>
          <w:rPr>
            <w:rFonts w:ascii="D2Coding" w:hAnsi="D2Coding" w:eastAsia="D2Coding"/>
            <w:color w:val="1D4ED8"/>
            <w:sz w:val="19"/>
          </w:rPr>
          <w:t xml:space="preserve">R175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미국·호주 23개 기관에서만 등록해 </w:t>
      </w:r>
      <w:r>
        <w:rPr>
          <w:rFonts w:ascii="맑은 고딕" w:hAnsi="맑은 고딕" w:eastAsia="맑은 고딕" w:cs="맑은 고딕"/>
          <w:b/>
          <w:sz w:val="21"/>
        </w:rPr>
        <w:t>한국인 데이터는 0명</w:t>
      </w:r>
      <w:r>
        <w:rPr>
          <w:rFonts w:ascii="맑은 고딕" w:hAnsi="맑은 고딕" w:eastAsia="맑은 고딕" w:cs="맑은 고딕"/>
          <w:b w:val="0"/>
          <w:sz w:val="21"/>
        </w:rPr>
        <w:t xml:space="preserve">이다 </w:t>
      </w:r>
      <w:r>
        <w:rPr>
          <w:sz w:val="19"/>
        </w:rPr>
        <w:t>[</w:t>
      </w:r>
      <w:hyperlink r:id="rId104">
        <w:r>
          <w:rPr>
            <w:rFonts w:ascii="D2Coding" w:hAnsi="D2Coding" w:eastAsia="D2Coding"/>
            <w:color w:val="1D4ED8"/>
            <w:sz w:val="19"/>
          </w:rPr>
          <w:t xml:space="preserve">R005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06">
        <w:r>
          <w:rPr>
            <w:rFonts w:ascii="D2Coding" w:hAnsi="D2Coding" w:eastAsia="D2Coding"/>
            <w:color w:val="1D4ED8"/>
            <w:sz w:val="19"/>
          </w:rPr>
          <w:t xml:space="preserve">R156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동반 수치는 다음과 같다. 18개월 RFS 79%(69.0–85.6) vs 62%(46.9–74.3) </w:t>
      </w:r>
      <w:r>
        <w:rPr>
          <w:sz w:val="19"/>
        </w:rPr>
        <w:t>[</w:t>
      </w:r>
      <w:hyperlink r:id="rId107">
        <w:r>
          <w:rPr>
            <w:rFonts w:ascii="D2Coding" w:hAnsi="D2Coding" w:eastAsia="D2Coding"/>
            <w:color w:val="1D4ED8"/>
            <w:sz w:val="19"/>
          </w:rPr>
          <w:t xml:space="preserve">R004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4년 RFS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72.4% vs 49.1% </w:t>
      </w:r>
      <w:r>
        <w:rPr>
          <w:sz w:val="19"/>
        </w:rPr>
        <w:t>[</w:t>
      </w:r>
      <w:hyperlink r:id="rId108">
        <w:r>
          <w:rPr>
            <w:rFonts w:ascii="D2Coding" w:hAnsi="D2Coding" w:eastAsia="D2Coding"/>
            <w:color w:val="1D4ED8"/>
            <w:sz w:val="19"/>
          </w:rPr>
          <w:t xml:space="preserve">R123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논문이 제시한 최장 시점은 4년이며, 언론에 등장하는 "5년 RFS 68.8%"는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논문 본문에 존재하지 않는다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108">
        <w:r>
          <w:rPr>
            <w:rFonts w:ascii="D2Coding" w:hAnsi="D2Coding" w:eastAsia="D2Coding"/>
            <w:color w:val="1D4ED8"/>
            <w:sz w:val="19"/>
          </w:rPr>
          <w:t xml:space="preserve">R123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Grade≥3 치료관련 이상반응은 25% vs 18%이고 intismeran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관련 4–5등급은 없었으나 </w:t>
      </w:r>
      <w:r>
        <w:rPr>
          <w:sz w:val="19"/>
        </w:rPr>
        <w:t>[</w:t>
      </w:r>
      <w:hyperlink r:id="rId109">
        <w:r>
          <w:rPr>
            <w:rFonts w:ascii="D2Coding" w:hAnsi="D2Coding" w:eastAsia="D2Coding"/>
            <w:color w:val="1D4ED8"/>
            <w:sz w:val="19"/>
          </w:rPr>
          <w:t xml:space="preserve">R007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5년 시점 병용군의 치료관련 이상반응 발생률은 </w:t>
      </w:r>
      <w:r>
        <w:rPr>
          <w:rFonts w:ascii="맑은 고딕" w:hAnsi="맑은 고딕" w:eastAsia="맑은 고딕" w:cs="맑은 고딕"/>
          <w:b/>
          <w:sz w:val="21"/>
        </w:rPr>
        <w:t>100%(104/104)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이며 중대 이상반응은 오히려 병용군이 높았다(14.4% vs 10.0%) </w:t>
      </w:r>
      <w:r>
        <w:rPr>
          <w:sz w:val="19"/>
        </w:rPr>
        <w:t>[</w:t>
      </w:r>
      <w:hyperlink r:id="rId110">
        <w:r>
          <w:rPr>
            <w:rFonts w:ascii="D2Coding" w:hAnsi="D2Coding" w:eastAsia="D2Coding"/>
            <w:color w:val="1D4ED8"/>
            <w:sz w:val="19"/>
          </w:rPr>
          <w:t xml:space="preserve">R131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11">
        <w:r>
          <w:rPr>
            <w:rFonts w:ascii="D2Coding" w:hAnsi="D2Coding" w:eastAsia="D2Coding"/>
            <w:color w:val="1D4ED8"/>
            <w:sz w:val="19"/>
          </w:rPr>
          <w:t xml:space="preserve">R108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무병 상태 환자를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9회 투여하는 보조요법 세팅에서 이는 순응도 이슈다.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명명된 비판자가 존재한다. Science 'In the Pipeline'의 Derek Lowe는 단측 p값 사용을 "실수가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아니라 결과를 더 좋아 보이게 하려는 의도적 선택"이라 비판하며 양측 p가 유의성 기준을 넘었을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것으로 추정했는데, Lancet 게재로 양측 p=0.053임이 확인되어 </w:t>
      </w:r>
      <w:r>
        <w:rPr>
          <w:rFonts w:ascii="맑은 고딕" w:hAnsi="맑은 고딕" w:eastAsia="맑은 고딕" w:cs="맑은 고딕"/>
          <w:b/>
          <w:sz w:val="21"/>
        </w:rPr>
        <w:t>그의 추정이 옳았다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112">
        <w:r>
          <w:rPr>
            <w:rFonts w:ascii="D2Coding" w:hAnsi="D2Coding" w:eastAsia="D2Coding"/>
            <w:color w:val="1D4ED8"/>
            <w:sz w:val="19"/>
          </w:rPr>
          <w:t xml:space="preserve">R172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4">
        <w:r>
          <w:rPr>
            <w:rFonts w:ascii="D2Coding" w:hAnsi="D2Coding" w:eastAsia="D2Coding"/>
            <w:color w:val="1D4ED8"/>
            <w:sz w:val="19"/>
          </w:rPr>
          <w:t xml:space="preserve">R100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하위군 결과는 생물학적으로 설명되지 않는다. PD-L1 </w:t>
      </w:r>
      <w:r>
        <w:rPr>
          <w:rFonts w:ascii="맑은 고딕" w:hAnsi="맑은 고딕" w:eastAsia="맑은 고딕" w:cs="맑은 고딕"/>
          <w:b/>
          <w:sz w:val="21"/>
        </w:rPr>
        <w:t>음성</w:t>
      </w:r>
      <w:r>
        <w:rPr>
          <w:rFonts w:ascii="맑은 고딕" w:hAnsi="맑은 고딕" w:eastAsia="맑은 고딕" w:cs="맑은 고딕"/>
          <w:b w:val="0"/>
          <w:sz w:val="21"/>
        </w:rPr>
        <w:t>군 HR 0.147이 양성군 0.471보다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극단적으로 좋은데 다중비교 보정이 없고 저자 스스로 하위군 검정력이 없다고 인정한다 </w:t>
      </w:r>
      <w:r>
        <w:rPr>
          <w:sz w:val="19"/>
        </w:rPr>
        <w:t>[</w:t>
      </w:r>
      <w:hyperlink r:id="rId113">
        <w:r>
          <w:rPr>
            <w:rFonts w:ascii="D2Coding" w:hAnsi="D2Coding" w:eastAsia="D2Coding"/>
            <w:color w:val="1D4ED8"/>
            <w:sz w:val="19"/>
          </w:rPr>
          <w:t xml:space="preserve">R121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더 중요하게, </w:t>
      </w:r>
      <w:r>
        <w:rPr>
          <w:rFonts w:ascii="맑은 고딕" w:hAnsi="맑은 고딕" w:eastAsia="맑은 고딕" w:cs="맑은 고딕"/>
          <w:b/>
          <w:sz w:val="21"/>
        </w:rPr>
        <w:t>ctDNA 양성(미세잔존질환이 실제 존재하는) 환자에서는 효과를 전혀 입증하지 못했다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— ctDNA 음성군 DMFS HR은 0.048이었으나 양성군 HR은 추정 불가였고, 157명 중 20.4%는 기저 ctDNA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평가 자체가 불가능했다 </w:t>
      </w:r>
      <w:r>
        <w:rPr>
          <w:sz w:val="19"/>
        </w:rPr>
        <w:t>[</w:t>
      </w:r>
      <w:hyperlink r:id="rId114">
        <w:r>
          <w:rPr>
            <w:rFonts w:ascii="D2Coding" w:hAnsi="D2Coding" w:eastAsia="D2Coding"/>
            <w:color w:val="1D4ED8"/>
            <w:sz w:val="19"/>
          </w:rPr>
          <w:t xml:space="preserve">R107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2.3 무작위 판독은 지금까지 두 번 나왔고 두 번 다 좋지 않았다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이것이 본 보고서에서 가장 중요한 단락이다. 개인맞춤 신항원 치료제의 </w:t>
      </w:r>
      <w:r>
        <w:rPr>
          <w:rFonts w:ascii="맑은 고딕" w:hAnsi="맑은 고딕" w:eastAsia="맑은 고딕" w:cs="맑은 고딕"/>
          <w:b/>
          <w:sz w:val="21"/>
        </w:rPr>
        <w:t>무작위 대조 효능 판독</w:t>
      </w:r>
      <w:r>
        <w:rPr>
          <w:rFonts w:ascii="맑은 고딕" w:hAnsi="맑은 고딕" w:eastAsia="맑은 고딕" w:cs="맑은 고딕"/>
          <w:b w:val="0"/>
          <w:sz w:val="21"/>
        </w:rPr>
        <w:t>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지금까지 두 건이며, 둘 다 성공하지 못했다.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① IMCODE001 (1차 진행성 흑색종, N=125)</w:t>
      </w:r>
      <w:r>
        <w:rPr>
          <w:rFonts w:ascii="맑은 고딕" w:hAnsi="맑은 고딕" w:eastAsia="맑은 고딕" w:cs="맑은 고딕"/>
          <w:b w:val="0"/>
          <w:sz w:val="21"/>
        </w:rPr>
        <w:t xml:space="preserve"> — 1차 평가변수 PFS 미충족. 중앙 PFS 8.3개월(병용)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vs 7.9개월(pembrolizumab 단독), HR 0.79 (95% CI 0.49–1.27), log-rank </w:t>
      </w:r>
      <w:r>
        <w:rPr>
          <w:rFonts w:ascii="맑은 고딕" w:hAnsi="맑은 고딕" w:eastAsia="맑은 고딕" w:cs="맑은 고딕"/>
          <w:b/>
          <w:sz w:val="21"/>
        </w:rPr>
        <w:t>p=0.3284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22">
        <w:r>
          <w:rPr>
            <w:rFonts w:ascii="D2Coding" w:hAnsi="D2Coding" w:eastAsia="D2Coding"/>
            <w:color w:val="1D4ED8"/>
            <w:sz w:val="19"/>
          </w:rPr>
          <w:t xml:space="preserve">R224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ORR은 병용군 41.7%가 단독군 48.8%보다 </w:t>
      </w:r>
      <w:r>
        <w:rPr>
          <w:rFonts w:ascii="맑은 고딕" w:hAnsi="맑은 고딕" w:eastAsia="맑은 고딕" w:cs="맑은 고딕"/>
          <w:b/>
          <w:sz w:val="21"/>
        </w:rPr>
        <w:t>수치상 낮았다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23">
        <w:r>
          <w:rPr>
            <w:rFonts w:ascii="D2Coding" w:hAnsi="D2Coding" w:eastAsia="D2Coding"/>
            <w:color w:val="1D4ED8"/>
            <w:sz w:val="19"/>
          </w:rPr>
          <w:t xml:space="preserve">R225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 — 기업 커뮤니케이션에서 거의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언급되지 않는 수치다. 2:1 배정으로 병용군에 표본을 몰았음에도 실패해 단순 검정력 부족으로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설명하기 어렵다 </w:t>
      </w:r>
      <w:r>
        <w:rPr>
          <w:sz w:val="19"/>
        </w:rPr>
        <w:t>[</w:t>
      </w:r>
      <w:hyperlink r:id="rId115">
        <w:r>
          <w:rPr>
            <w:rFonts w:ascii="D2Coding" w:hAnsi="D2Coding" w:eastAsia="D2Coding"/>
            <w:color w:val="1D4ED8"/>
            <w:sz w:val="19"/>
          </w:rPr>
          <w:t xml:space="preserve">R226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회사는 실패 후 "면역반응의 폭이 PFS 연장과 상관"이라는 사후 탐색적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하위분석을 제시했으나 인과 해석이 불가하다 </w:t>
      </w:r>
      <w:r>
        <w:rPr>
          <w:sz w:val="19"/>
        </w:rPr>
        <w:t>[</w:t>
      </w:r>
      <w:hyperlink r:id="rId116">
        <w:r>
          <w:rPr>
            <w:rFonts w:ascii="D2Coding" w:hAnsi="D2Coding" w:eastAsia="D2Coding"/>
            <w:color w:val="1D4ED8"/>
            <w:sz w:val="19"/>
          </w:rPr>
          <w:t xml:space="preserve">R264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② BNT122-01 (ctDNA+ 절제 대장암, N=327)</w:t>
      </w:r>
      <w:r>
        <w:rPr>
          <w:rFonts w:ascii="맑은 고딕" w:hAnsi="맑은 고딕" w:eastAsia="맑은 고딕" w:cs="맑은 고딕"/>
          <w:b w:val="0"/>
          <w:sz w:val="21"/>
        </w:rPr>
        <w:t xml:space="preserve"> — 첫 사전계획 중간분석에서 </w:t>
      </w:r>
      <w:r>
        <w:rPr>
          <w:rFonts w:ascii="맑은 고딕" w:hAnsi="맑은 고딕" w:eastAsia="맑은 고딕" w:cs="맑은 고딕"/>
          <w:b/>
          <w:sz w:val="21"/>
        </w:rPr>
        <w:t>무용성 경계를 교차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했고 독립 DSMB는 헌장상 시험 종료를 권고할 구속을 받았다 </w:t>
      </w:r>
      <w:r>
        <w:rPr>
          <w:sz w:val="19"/>
        </w:rPr>
        <w:t>[</w:t>
      </w:r>
      <w:hyperlink r:id="rId24">
        <w:r>
          <w:rPr>
            <w:rFonts w:ascii="D2Coding" w:hAnsi="D2Coding" w:eastAsia="D2Coding"/>
            <w:color w:val="1D4ED8"/>
            <w:sz w:val="19"/>
          </w:rPr>
          <w:t xml:space="preserve">R217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5">
        <w:r>
          <w:rPr>
            <w:rFonts w:ascii="D2Coding" w:hAnsi="D2Coding" w:eastAsia="D2Coding"/>
            <w:color w:val="1D4ED8"/>
            <w:sz w:val="19"/>
          </w:rPr>
          <w:t xml:space="preserve">R218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회사는 데이터 미성숙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(중앙 추적 약 9개월)을 이유로 맹검을 유지한 채 계속했다 </w:t>
      </w:r>
      <w:r>
        <w:rPr>
          <w:sz w:val="19"/>
        </w:rPr>
        <w:t>[</w:t>
      </w:r>
      <w:hyperlink r:id="rId117">
        <w:r>
          <w:rPr>
            <w:rFonts w:ascii="D2Coding" w:hAnsi="D2Coding" w:eastAsia="D2Coding"/>
            <w:color w:val="1D4ED8"/>
            <w:sz w:val="19"/>
          </w:rPr>
          <w:t xml:space="preserve">R219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대조군이 </w:t>
      </w:r>
      <w:r>
        <w:rPr>
          <w:rFonts w:ascii="맑은 고딕" w:hAnsi="맑은 고딕" w:eastAsia="맑은 고딕" w:cs="맑은 고딕"/>
          <w:b/>
          <w:sz w:val="21"/>
        </w:rPr>
        <w:t>무치료 관찰</w:t>
      </w:r>
      <w:r>
        <w:rPr>
          <w:rFonts w:ascii="맑은 고딕" w:hAnsi="맑은 고딕" w:eastAsia="맑은 고딕" w:cs="맑은 고딕"/>
          <w:b w:val="0"/>
          <w:sz w:val="21"/>
        </w:rPr>
        <w:t>이라는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효능 입증에 가장 유리한 설계였다는 점이 특히 무겁다 </w:t>
      </w:r>
      <w:r>
        <w:rPr>
          <w:sz w:val="19"/>
        </w:rPr>
        <w:t>[</w:t>
      </w:r>
      <w:hyperlink r:id="rId26">
        <w:r>
          <w:rPr>
            <w:rFonts w:ascii="D2Coding" w:hAnsi="D2Coding" w:eastAsia="D2Coding"/>
            <w:color w:val="1D4ED8"/>
            <w:sz w:val="19"/>
          </w:rPr>
          <w:t xml:space="preserve">R216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2026년 6월 2차 중간분석에서 DSMB는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"수정 없는 계속"을 권고했으나 이는 효능 입증이 아니라 </w:t>
      </w:r>
      <w:r>
        <w:rPr>
          <w:rFonts w:ascii="맑은 고딕" w:hAnsi="맑은 고딕" w:eastAsia="맑은 고딕" w:cs="맑은 고딕"/>
          <w:b/>
          <w:sz w:val="21"/>
        </w:rPr>
        <w:t>중단 사유 부재</w:t>
      </w:r>
      <w:r>
        <w:rPr>
          <w:rFonts w:ascii="맑은 고딕" w:hAnsi="맑은 고딕" w:eastAsia="맑은 고딕" w:cs="맑은 고딕"/>
          <w:b w:val="0"/>
          <w:sz w:val="21"/>
        </w:rPr>
        <w:t xml:space="preserve">를 뜻한다 </w:t>
      </w:r>
      <w:r>
        <w:rPr>
          <w:sz w:val="19"/>
        </w:rPr>
        <w:t>[</w:t>
      </w:r>
      <w:hyperlink r:id="rId118">
        <w:r>
          <w:rPr>
            <w:rFonts w:ascii="D2Coding" w:hAnsi="D2Coding" w:eastAsia="D2Coding"/>
            <w:color w:val="1D4ED8"/>
            <w:sz w:val="19"/>
          </w:rPr>
          <w:t xml:space="preserve">R222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19">
        <w:r>
          <w:rPr>
            <w:rFonts w:ascii="D2Coding" w:hAnsi="D2Coding" w:eastAsia="D2Coding"/>
            <w:color w:val="1D4ED8"/>
            <w:sz w:val="19"/>
          </w:rPr>
          <w:t xml:space="preserve">R223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최종분석 연기 사유는 원문 그대로 "사건이 예상보다 느리게 축적되었기 때문"이다 </w:t>
      </w:r>
      <w:r>
        <w:rPr>
          <w:sz w:val="19"/>
        </w:rPr>
        <w:t>[</w:t>
      </w:r>
      <w:hyperlink r:id="rId120">
        <w:r>
          <w:rPr>
            <w:rFonts w:ascii="D2Coding" w:hAnsi="D2Coding" w:eastAsia="D2Coding"/>
            <w:color w:val="1D4ED8"/>
            <w:sz w:val="19"/>
          </w:rPr>
          <w:t xml:space="preserve">R220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2.4 면역원성은 되는데 효능이 안 된다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지표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값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근거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autogene cevumeran 1상 환자 단위 면역반응률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71%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R235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동 시험 단독요법 객관적 반응률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3.3%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(1 CR / 30명)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R232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동 시험 전체 객관적 반응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3 / 213 ≈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1.4%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2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R538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CPI 기치료 NSCLC 코호트 ORR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3.6%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관문억제제 내성 미역전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2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R233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7주차 이전 질병 진행에 의한 조기 중단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단독 30.0% / 병용 25.7%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2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R239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마지막 행이 기전적으로 중요하다. </w:t>
      </w:r>
      <w:r>
        <w:rPr>
          <w:rFonts w:ascii="맑은 고딕" w:hAnsi="맑은 고딕" w:eastAsia="맑은 고딕" w:cs="맑은 고딕"/>
          <w:b/>
          <w:sz w:val="21"/>
        </w:rPr>
        <w:t>백신이 작동하기 전에 환자의 1/4~1/3이 진행한다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123">
        <w:r>
          <w:rPr>
            <w:rFonts w:ascii="D2Coding" w:hAnsi="D2Coding" w:eastAsia="D2Coding"/>
            <w:color w:val="1D4ED8"/>
            <w:sz w:val="19"/>
          </w:rPr>
          <w:t xml:space="preserve">R239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이는 진행성 세팅 부적합성의 직접 근거이며, 보조요법 신호가 종양 부하 의존적일 가능성을 시사한다.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기전 층위의 부정 근거도 확인되었다. Nature 2025 3년 추적에서 재발한 반응자 2명의 재발 종양은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백신이 표적한 암 클론이 제거(pruned)된 상태</w:t>
      </w:r>
      <w:r>
        <w:rPr>
          <w:rFonts w:ascii="맑은 고딕" w:hAnsi="맑은 고딕" w:eastAsia="맑은 고딕" w:cs="맑은 고딕"/>
          <w:b w:val="0"/>
          <w:sz w:val="21"/>
        </w:rPr>
        <w:t xml:space="preserve">였다 </w:t>
      </w:r>
      <w:r>
        <w:rPr>
          <w:sz w:val="19"/>
        </w:rPr>
        <w:t>[</w:t>
      </w:r>
      <w:hyperlink r:id="rId53">
        <w:r>
          <w:rPr>
            <w:rFonts w:ascii="D2Coding" w:hAnsi="D2Coding" w:eastAsia="D2Coding"/>
            <w:color w:val="1D4ED8"/>
            <w:sz w:val="19"/>
          </w:rPr>
          <w:t xml:space="preserve">R211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 — 항원 소실을 통한 면역 회피가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실제로 발생하며, 고정된 20개 신항원 세트로는 종양 진화를 따라잡지 못한다. 여기에 HLA 이형접합성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소실이 NSCLC의 40%, 범암종 18–23%에서 발생하는데 </w:t>
      </w:r>
      <w:r>
        <w:rPr>
          <w:sz w:val="19"/>
        </w:rPr>
        <w:t>[</w:t>
      </w:r>
      <w:hyperlink r:id="rId124">
        <w:r>
          <w:rPr>
            <w:rFonts w:ascii="D2Coding" w:hAnsi="D2Coding" w:eastAsia="D2Coding"/>
            <w:color w:val="1D4ED8"/>
            <w:sz w:val="19"/>
          </w:rPr>
          <w:t xml:space="preserve">R672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LOH된 대립유전자에 결합하도록 설계된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신항원은 </w:t>
      </w:r>
      <w:r>
        <w:rPr>
          <w:rFonts w:ascii="맑은 고딕" w:hAnsi="맑은 고딕" w:eastAsia="맑은 고딕" w:cs="맑은 고딕"/>
          <w:b/>
          <w:sz w:val="21"/>
        </w:rPr>
        <w:t>원천적으로 제시되지 않는다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또한 면역반응의 </w:t>
      </w:r>
      <w:r>
        <w:rPr>
          <w:rFonts w:ascii="맑은 고딕" w:hAnsi="맑은 고딕" w:eastAsia="맑은 고딕" w:cs="맑은 고딕"/>
          <w:b/>
          <w:sz w:val="21"/>
        </w:rPr>
        <w:t>크기</w:t>
      </w:r>
      <w:r>
        <w:rPr>
          <w:rFonts w:ascii="맑은 고딕" w:hAnsi="맑은 고딕" w:eastAsia="맑은 고딕" w:cs="맑은 고딕"/>
          <w:b w:val="0"/>
          <w:sz w:val="21"/>
        </w:rPr>
        <w:t xml:space="preserve"> 자체가 부족하다. 현행 신항원 백신이 유도하는 CTL은 혈중 총 CTL의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검출한계 이하~0.1% 미만인 반면 황열·천연두 백신은 10–20%를 유도한다 — </w:t>
      </w:r>
      <w:r>
        <w:rPr>
          <w:rFonts w:ascii="맑은 고딕" w:hAnsi="맑은 고딕" w:eastAsia="맑은 고딕" w:cs="맑은 고딕"/>
          <w:b/>
          <w:sz w:val="21"/>
        </w:rPr>
        <w:t>2~3 로그 격차</w:t>
      </w:r>
      <w:r>
        <w:rPr>
          <w:rFonts w:ascii="맑은 고딕" w:hAnsi="맑은 고딕" w:eastAsia="맑은 고딕" w:cs="맑은 고딕"/>
          <w:b w:val="0"/>
          <w:sz w:val="21"/>
        </w:rPr>
        <w:t xml:space="preserve">다 </w:t>
      </w:r>
      <w:r>
        <w:rPr>
          <w:sz w:val="19"/>
        </w:rPr>
        <w:t>[</w:t>
      </w:r>
      <w:hyperlink r:id="rId52">
        <w:r>
          <w:rPr>
            <w:rFonts w:ascii="D2Coding" w:hAnsi="D2Coding" w:eastAsia="D2Coding"/>
            <w:color w:val="1D4ED8"/>
            <w:sz w:val="19"/>
          </w:rPr>
          <w:t xml:space="preserve">R542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2.5 널리 인용되는 PDAC 결과의 통계적 실체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BioNTech의 췌장암 1상은 이 분야에서 가장 자주 인용되는 긍정 근거다. 정확히 읽으면 이렇다.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34명 등록 중 </w:t>
      </w:r>
      <w:r>
        <w:rPr>
          <w:rFonts w:ascii="맑은 고딕" w:hAnsi="맑은 고딕" w:eastAsia="맑은 고딕" w:cs="맑은 고딕"/>
          <w:b/>
          <w:sz w:val="21"/>
        </w:rPr>
        <w:t>실제 백신 투여는 16명(47%)</w:t>
      </w:r>
      <w:r>
        <w:rPr>
          <w:rFonts w:ascii="맑은 고딕" w:hAnsi="맑은 고딕" w:eastAsia="맑은 고딕" w:cs="맑은 고딕"/>
          <w:b w:val="0"/>
          <w:sz w:val="21"/>
        </w:rPr>
        <w:t xml:space="preserve"> 이고, 그중 </w:t>
      </w:r>
      <w:r>
        <w:rPr>
          <w:rFonts w:ascii="맑은 고딕" w:hAnsi="맑은 고딕" w:eastAsia="맑은 고딕" w:cs="맑은 고딕"/>
          <w:b/>
          <w:sz w:val="21"/>
        </w:rPr>
        <w:t>8명(50%)</w:t>
      </w:r>
      <w:r>
        <w:rPr>
          <w:rFonts w:ascii="맑은 고딕" w:hAnsi="맑은 고딕" w:eastAsia="맑은 고딕" w:cs="맑은 고딕"/>
          <w:b w:val="0"/>
          <w:sz w:val="21"/>
        </w:rPr>
        <w:t xml:space="preserve"> 만 고역가 신항원 특이 T세포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반응을 보였다 </w:t>
      </w:r>
      <w:r>
        <w:rPr>
          <w:sz w:val="19"/>
        </w:rPr>
        <w:t>[</w:t>
      </w:r>
      <w:hyperlink r:id="rId125">
        <w:r>
          <w:rPr>
            <w:rFonts w:ascii="D2Coding" w:hAnsi="D2Coding" w:eastAsia="D2Coding"/>
            <w:color w:val="1D4ED8"/>
            <w:sz w:val="19"/>
          </w:rPr>
          <w:t xml:space="preserve">R200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26">
        <w:r>
          <w:rPr>
            <w:rFonts w:ascii="D2Coding" w:hAnsi="D2Coding" w:eastAsia="D2Coding"/>
            <w:color w:val="1D4ED8"/>
            <w:sz w:val="19"/>
          </w:rPr>
          <w:t xml:space="preserve">R201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반응자(n=8) vs 비반응자(n=8) RFS는 미도달 vs 13.4개월,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HR 0.08 (95% CI 0.01–0.4, P=0.003) </w:t>
      </w:r>
      <w:r>
        <w:rPr>
          <w:sz w:val="19"/>
        </w:rPr>
        <w:t>[</w:t>
      </w:r>
      <w:hyperlink r:id="rId127">
        <w:r>
          <w:rPr>
            <w:rFonts w:ascii="D2Coding" w:hAnsi="D2Coding" w:eastAsia="D2Coding"/>
            <w:color w:val="1D4ED8"/>
            <w:sz w:val="19"/>
          </w:rPr>
          <w:t xml:space="preserve">R203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이 HR 0.08은 </w:t>
      </w:r>
      <w:r>
        <w:rPr>
          <w:rFonts w:ascii="맑은 고딕" w:hAnsi="맑은 고딕" w:eastAsia="맑은 고딕" w:cs="맑은 고딕"/>
          <w:b/>
          <w:sz w:val="21"/>
        </w:rPr>
        <w:t>n=8 vs 8의 사후 반응자 분석 산물</w:t>
      </w:r>
      <w:r>
        <w:rPr>
          <w:rFonts w:ascii="맑은 고딕" w:hAnsi="맑은 고딕" w:eastAsia="맑은 고딕" w:cs="맑은 고딕"/>
          <w:b w:val="0"/>
          <w:sz w:val="21"/>
        </w:rPr>
        <w:t>이며, 면역반응을 일으킬 만큼 오래 생존한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환자가 선택되는 </w:t>
      </w:r>
      <w:r>
        <w:rPr>
          <w:rFonts w:ascii="맑은 고딕" w:hAnsi="맑은 고딕" w:eastAsia="맑은 고딕" w:cs="맑은 고딕"/>
          <w:b/>
          <w:sz w:val="21"/>
        </w:rPr>
        <w:t>guarantee-time/immortal-time 편향</w:t>
      </w:r>
      <w:r>
        <w:rPr>
          <w:rFonts w:ascii="맑은 고딕" w:hAnsi="맑은 고딕" w:eastAsia="맑은 고딕" w:cs="맑은 고딕"/>
          <w:b w:val="0"/>
          <w:sz w:val="21"/>
        </w:rPr>
        <w:t xml:space="preserve">에 노출되어 있다 </w:t>
      </w:r>
      <w:r>
        <w:rPr>
          <w:sz w:val="19"/>
        </w:rPr>
        <w:t>[</w:t>
      </w:r>
      <w:hyperlink r:id="rId127">
        <w:r>
          <w:rPr>
            <w:rFonts w:ascii="D2Coding" w:hAnsi="D2Coding" w:eastAsia="D2Coding"/>
            <w:color w:val="1D4ED8"/>
            <w:sz w:val="19"/>
          </w:rPr>
          <w:t xml:space="preserve">R203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28">
        <w:r>
          <w:rPr>
            <w:rFonts w:ascii="D2Coding" w:hAnsi="D2Coding" w:eastAsia="D2Coding"/>
            <w:color w:val="1D4ED8"/>
            <w:sz w:val="19"/>
          </w:rPr>
          <w:t xml:space="preserve">R202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29">
        <w:r>
          <w:rPr>
            <w:rFonts w:ascii="D2Coding" w:hAnsi="D2Coding" w:eastAsia="D2Coding"/>
            <w:color w:val="1D4ED8"/>
            <w:sz w:val="19"/>
          </w:rPr>
          <w:t xml:space="preserve">R539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무작위 3상 기대치로 외삽해서는 안 된다. 3년 추적에서 P값은 0.003 → 0.007로 약화되었다 </w:t>
      </w:r>
      <w:r>
        <w:rPr>
          <w:sz w:val="19"/>
        </w:rPr>
        <w:t>[</w:t>
      </w:r>
      <w:hyperlink r:id="rId130">
        <w:r>
          <w:rPr>
            <w:rFonts w:ascii="D2Coding" w:hAnsi="D2Coding" w:eastAsia="D2Coding"/>
            <w:color w:val="1D4ED8"/>
            <w:sz w:val="19"/>
          </w:rPr>
          <w:t xml:space="preserve">R208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2.6 치료용 암백신 3상의 역사적 기저율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개인맞춤 신항원은 새롭지만, "치료용 암백신"이라는 상위 범주에는 긴 실패 기록이 있다.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시험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N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1차 결과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근거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MAGRIT (MAGE-A3, NSCLC)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2,312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DFS HR 1.02 (0.89–1.18), p=0.74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3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R528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START (tecemotide, NSCLC)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1,513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OS 25.6 vs 22.3개월, HR 0.88, p=0.123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3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R531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PROSPECT (PROSTVAC)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1,297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OS HR 1.02 (0.86–1.22), p=0.59, 무익성 중단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3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R530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ACT IV (rindopepimut, GBM)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745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OS 20.1 vs 20.0, HR 1.01, p=0.93, 무익성 중단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3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R529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Vitespen (RCC)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728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재발 37.7% vs 39.8%, p=0.506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3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R533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VITAL-1 (GVAX)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626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무익성 중단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5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R562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IMPRINT (IMA901, RCC)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339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OS HR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1.34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(0.96–1.86) — 수치상 악화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3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R532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합계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7,650+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1차 평가변수 달성 0건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5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R562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GVAX VITAL-2에서는 사망 불균형(67 vs 47)으로 IDMC가 시험을 중단시켰다 </w:t>
      </w:r>
      <w:r>
        <w:rPr>
          <w:sz w:val="19"/>
        </w:rPr>
        <w:t>[</w:t>
      </w:r>
      <w:hyperlink r:id="rId137">
        <w:r>
          <w:rPr>
            <w:rFonts w:ascii="D2Coding" w:hAnsi="D2Coding" w:eastAsia="D2Coding"/>
            <w:color w:val="1D4ED8"/>
            <w:sz w:val="19"/>
          </w:rPr>
          <w:t xml:space="preserve">R534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즉 암백신은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3상에서 </w:t>
      </w:r>
      <w:r>
        <w:rPr>
          <w:rFonts w:ascii="맑은 고딕" w:hAnsi="맑은 고딕" w:eastAsia="맑은 고딕" w:cs="맑은 고딕"/>
          <w:b/>
          <w:sz w:val="21"/>
        </w:rPr>
        <w:t>환자를 해칠 수도 있다</w:t>
      </w:r>
      <w:r>
        <w:rPr>
          <w:rFonts w:ascii="맑은 고딕" w:hAnsi="맑은 고딕" w:eastAsia="맑은 고딕" w:cs="맑은 고딕"/>
          <w:b w:val="0"/>
          <w:sz w:val="21"/>
        </w:rPr>
        <w:t>. 유일한 승인 사례 Provenge조차 상업적으로 실패해 회사가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파산했다 </w:t>
      </w:r>
      <w:r>
        <w:rPr>
          <w:sz w:val="19"/>
        </w:rPr>
        <w:t>[</w:t>
      </w:r>
      <w:hyperlink r:id="rId138">
        <w:r>
          <w:rPr>
            <w:rFonts w:ascii="D2Coding" w:hAnsi="D2Coding" w:eastAsia="D2Coding"/>
            <w:color w:val="1D4ED8"/>
            <w:sz w:val="19"/>
          </w:rPr>
          <w:t xml:space="preserve">R526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이 기저율이 개인맞춤 신항원에 그대로 적용된다고 단정할 수는 없다 — 표적 항원의 성격이 다르기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때문이다. 그러나 </w:t>
      </w:r>
      <w:r>
        <w:rPr>
          <w:rFonts w:ascii="맑은 고딕" w:hAnsi="맑은 고딕" w:eastAsia="맑은 고딕" w:cs="맑은 고딕"/>
          <w:b/>
          <w:sz w:val="21"/>
        </w:rPr>
        <w:t>0/7이라는 관측 기저율은 사전확률로서 무겁게 취급되어야 한다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54">
        <w:r>
          <w:rPr>
            <w:rFonts w:ascii="D2Coding" w:hAnsi="D2Coding" w:eastAsia="D2Coding"/>
            <w:color w:val="1D4ED8"/>
            <w:sz w:val="19"/>
          </w:rPr>
          <w:t xml:space="preserve">R562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2.7 중단·실패의 구조 — Q4 직결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ClinicalTrials.gov 등록정보의 </w:t>
      </w:r>
      <w:r>
        <w:rPr>
          <w:rFonts w:ascii="D2Coding" w:hAnsi="D2Coding" w:eastAsia="D2Coding" w:cs="D2Coding"/>
          <w:color w:val="A32020"/>
          <w:sz w:val="20"/>
        </w:rPr>
        <w:t>whyStopped</w:t>
      </w:r>
      <w:r>
        <w:rPr>
          <w:rFonts w:ascii="맑은 고딕" w:hAnsi="맑은 고딕" w:eastAsia="맑은 고딕" w:cs="맑은 고딕"/>
          <w:b w:val="0"/>
          <w:sz w:val="21"/>
        </w:rPr>
        <w:t xml:space="preserve"> 필드를 기계적으로 분류한 재현 가능한 결과다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(</w:t>
      </w:r>
      <w:r>
        <w:rPr>
          <w:rFonts w:ascii="D2Coding" w:hAnsi="D2Coding" w:eastAsia="D2Coding" w:cs="D2Coding"/>
          <w:color w:val="A32020"/>
          <w:sz w:val="20"/>
        </w:rPr>
        <w:t>scripts/fetch_registry_snapshot.py</w:t>
      </w:r>
      <w:r>
        <w:rPr>
          <w:rFonts w:ascii="맑은 고딕" w:hAnsi="맑은 고딕" w:eastAsia="맑은 고딕" w:cs="맑은 고딕"/>
          <w:b w:val="0"/>
          <w:sz w:val="21"/>
        </w:rPr>
        <w:t xml:space="preserve"> → </w:t>
      </w:r>
      <w:r>
        <w:rPr>
          <w:rFonts w:ascii="D2Coding" w:hAnsi="D2Coding" w:eastAsia="D2Coding" w:cs="D2Coding"/>
          <w:color w:val="A32020"/>
          <w:sz w:val="20"/>
        </w:rPr>
        <w:t>scripts/analyze_failures.py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중단 사유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건수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비중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모집 실패·저조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6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26%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자금 중단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22%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제조 실패·중단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13%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사업적 판단·우선순위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13%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운영·인력·규제절차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9%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기타·불명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17%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안전성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0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0%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효능부족·무효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0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0%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합계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23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100%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전거: </w:t>
      </w:r>
      <w:r>
        <w:rPr>
          <w:sz w:val="19"/>
        </w:rPr>
        <w:t>[</w:t>
      </w:r>
      <w:hyperlink r:id="rId19">
        <w:r>
          <w:rPr>
            <w:rFonts w:ascii="D2Coding" w:hAnsi="D2Coding" w:eastAsia="D2Coding"/>
            <w:color w:val="1D4ED8"/>
            <w:sz w:val="19"/>
          </w:rPr>
          <w:t xml:space="preserve">R013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개별 사례로는 WashU NCT03121677이 </w:t>
      </w:r>
      <w:r>
        <w:rPr>
          <w:rFonts w:ascii="맑은 고딕" w:hAnsi="맑은 고딕" w:eastAsia="맑은 고딕" w:cs="맑은 고딕"/>
          <w:b/>
          <w:sz w:val="21"/>
        </w:rPr>
        <w:t>"백신 제조가 중단되었다"</w:t>
      </w:r>
      <w:r>
        <w:rPr>
          <w:rFonts w:ascii="맑은 고딕" w:hAnsi="맑은 고딕" w:eastAsia="맑은 고딕" w:cs="맑은 고딕"/>
          <w:b w:val="0"/>
          <w:sz w:val="21"/>
        </w:rPr>
        <w:t>를 사유로 등록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4명 시점에 종료되었고 </w:t>
      </w:r>
      <w:r>
        <w:rPr>
          <w:sz w:val="19"/>
        </w:rPr>
        <w:t>[</w:t>
      </w:r>
      <w:hyperlink r:id="rId139">
        <w:r>
          <w:rPr>
            <w:rFonts w:ascii="D2Coding" w:hAnsi="D2Coding" w:eastAsia="D2Coding"/>
            <w:color w:val="1D4ED8"/>
            <w:sz w:val="19"/>
          </w:rPr>
          <w:t xml:space="preserve">R014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40">
        <w:r>
          <w:rPr>
            <w:rFonts w:ascii="D2Coding" w:hAnsi="D2Coding" w:eastAsia="D2Coding"/>
            <w:color w:val="1D4ED8"/>
            <w:sz w:val="19"/>
          </w:rPr>
          <w:t xml:space="preserve">R512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BioNTech 플랫폼의 IVAC-RCC-001은 </w:t>
      </w:r>
      <w:r>
        <w:rPr>
          <w:rFonts w:ascii="맑은 고딕" w:hAnsi="맑은 고딕" w:eastAsia="맑은 고딕" w:cs="맑은 고딕"/>
          <w:b/>
          <w:sz w:val="21"/>
        </w:rPr>
        <w:t>등록 1명</w:t>
      </w:r>
      <w:r>
        <w:rPr>
          <w:rFonts w:ascii="맑은 고딕" w:hAnsi="맑은 고딕" w:eastAsia="맑은 고딕" w:cs="맑은 고딕"/>
          <w:b w:val="0"/>
          <w:sz w:val="21"/>
        </w:rPr>
        <w:t>에서 모집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저조로 조기 중단되었으며 </w:t>
      </w:r>
      <w:r>
        <w:rPr>
          <w:sz w:val="19"/>
        </w:rPr>
        <w:t>[</w:t>
      </w:r>
      <w:hyperlink r:id="rId141">
        <w:r>
          <w:rPr>
            <w:rFonts w:ascii="D2Coding" w:hAnsi="D2Coding" w:eastAsia="D2Coding"/>
            <w:color w:val="1D4ED8"/>
            <w:sz w:val="19"/>
          </w:rPr>
          <w:t xml:space="preserve">R015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NCT03422094는 "제조사가 세포치료로 방향 전환"을 사유로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종료되었다 </w:t>
      </w:r>
      <w:r>
        <w:rPr>
          <w:sz w:val="19"/>
        </w:rPr>
        <w:t>[</w:t>
      </w:r>
      <w:hyperlink r:id="rId140">
        <w:r>
          <w:rPr>
            <w:rFonts w:ascii="D2Coding" w:hAnsi="D2Coding" w:eastAsia="D2Coding"/>
            <w:color w:val="1D4ED8"/>
            <w:sz w:val="19"/>
          </w:rPr>
          <w:t xml:space="preserve">R512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/>
          <w:color w:val="5C6570"/>
          <w:sz w:val="20"/>
        </w:rPr>
        <w:t>해석 시 반드시 병기할 한계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— 중단 사유는 스폰서가 자발적으로 기재하며, **효능 부족을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>"사업적 판단"으로 기재할 유인이 존재한다**. 따라서 "안전성·무효 0건"을 "안전하고 효과 있다"로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읽어서는 안 된다. 실제로 IMcode004는 안전성 사건으로 8주간 임상보류되었으나 </w:t>
      </w:r>
      <w:r>
        <w:rPr>
          <w:sz w:val="18"/>
        </w:rPr>
        <w:t>[</w:t>
      </w:r>
      <w:hyperlink r:id="rId142">
        <w:r>
          <w:rPr>
            <w:rFonts w:ascii="D2Coding" w:hAnsi="D2Coding" w:eastAsia="D2Coding"/>
            <w:color w:val="1D4ED8"/>
            <w:sz w:val="18"/>
          </w:rPr>
          <w:t xml:space="preserve">R241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등록정보상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TERMINATED가 아니어서 이 집계에 잡히지 않는다 </w:t>
      </w:r>
      <w:r>
        <w:rPr>
          <w:sz w:val="18"/>
        </w:rPr>
        <w:t>[</w:t>
      </w:r>
      <w:hyperlink r:id="rId143">
        <w:r>
          <w:rPr>
            <w:rFonts w:ascii="D2Coding" w:hAnsi="D2Coding" w:eastAsia="D2Coding"/>
            <w:color w:val="1D4ED8"/>
            <w:sz w:val="18"/>
          </w:rPr>
          <w:t xml:space="preserve">R245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. **상태 필드만으로 실패를 집계하면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누락이 발생한다**는 것이 방법론상 중요한 함정이다 </w:t>
      </w:r>
      <w:r>
        <w:rPr>
          <w:sz w:val="18"/>
        </w:rPr>
        <w:t>[</w:t>
      </w:r>
      <w:hyperlink r:id="rId143">
        <w:r>
          <w:rPr>
            <w:rFonts w:ascii="D2Coding" w:hAnsi="D2Coding" w:eastAsia="D2Coding"/>
            <w:color w:val="1D4ED8"/>
            <w:sz w:val="18"/>
          </w:rPr>
          <w:t xml:space="preserve">R245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기업 층위의 소멸은 더 웅변적이다. </w:t>
      </w:r>
      <w:r>
        <w:rPr>
          <w:rFonts w:ascii="맑은 고딕" w:hAnsi="맑은 고딕" w:eastAsia="맑은 고딕" w:cs="맑은 고딕"/>
          <w:b/>
          <w:sz w:val="21"/>
        </w:rPr>
        <w:t>Gritstone bio</w:t>
      </w:r>
      <w:r>
        <w:rPr>
          <w:rFonts w:ascii="맑은 고딕" w:hAnsi="맑은 고딕" w:eastAsia="맑은 고딕" w:cs="맑은 고딕"/>
          <w:b w:val="0"/>
          <w:sz w:val="21"/>
        </w:rPr>
        <w:t>는 GRANITE 2상이 1차 평가변수(ctDNA 분자반응)를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달성하지 못하고 PFS 90% CI가 1을 포함한 뒤 2024-10-10 Chapter 11을 신청했고, EDGE AI 플랫폼을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포함한 </w:t>
      </w:r>
      <w:r>
        <w:rPr>
          <w:rFonts w:ascii="맑은 고딕" w:hAnsi="맑은 고딕" w:eastAsia="맑은 고딕" w:cs="맑은 고딕"/>
          <w:b/>
          <w:sz w:val="21"/>
        </w:rPr>
        <w:t>전체 자산이 2,125만 달러</w:t>
      </w:r>
      <w:r>
        <w:rPr>
          <w:rFonts w:ascii="맑은 고딕" w:hAnsi="맑은 고딕" w:eastAsia="맑은 고딕" w:cs="맑은 고딕"/>
          <w:b w:val="0"/>
          <w:sz w:val="21"/>
        </w:rPr>
        <w:t xml:space="preserve">에 매각되었다 </w:t>
      </w:r>
      <w:r>
        <w:rPr>
          <w:sz w:val="19"/>
        </w:rPr>
        <w:t>[</w:t>
      </w:r>
      <w:hyperlink r:id="rId144">
        <w:r>
          <w:rPr>
            <w:rFonts w:ascii="D2Coding" w:hAnsi="D2Coding" w:eastAsia="D2Coding"/>
            <w:color w:val="1D4ED8"/>
            <w:sz w:val="19"/>
          </w:rPr>
          <w:t xml:space="preserve">R519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45">
        <w:r>
          <w:rPr>
            <w:rFonts w:ascii="D2Coding" w:hAnsi="D2Coding" w:eastAsia="D2Coding"/>
            <w:color w:val="1D4ED8"/>
            <w:sz w:val="19"/>
          </w:rPr>
          <w:t xml:space="preserve">R517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46">
        <w:r>
          <w:rPr>
            <w:rFonts w:ascii="D2Coding" w:hAnsi="D2Coding" w:eastAsia="D2Coding"/>
            <w:color w:val="1D4ED8"/>
            <w:sz w:val="19"/>
          </w:rPr>
          <w:t xml:space="preserve">R518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인력은 119명 → 6명으로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축소되었다 </w:t>
      </w:r>
      <w:r>
        <w:rPr>
          <w:sz w:val="19"/>
        </w:rPr>
        <w:t>[</w:t>
      </w:r>
      <w:hyperlink r:id="rId147">
        <w:r>
          <w:rPr>
            <w:rFonts w:ascii="D2Coding" w:hAnsi="D2Coding" w:eastAsia="D2Coding"/>
            <w:color w:val="1D4ED8"/>
            <w:sz w:val="19"/>
          </w:rPr>
          <w:t xml:space="preserve">R1133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</w:t>
      </w:r>
      <w:r>
        <w:rPr>
          <w:rFonts w:ascii="맑은 고딕" w:hAnsi="맑은 고딕" w:eastAsia="맑은 고딕" w:cs="맑은 고딕"/>
          <w:b/>
          <w:sz w:val="21"/>
        </w:rPr>
        <w:t>Achilles Therapeutics</w:t>
      </w:r>
      <w:r>
        <w:rPr>
          <w:rFonts w:ascii="맑은 고딕" w:hAnsi="맑은 고딕" w:eastAsia="맑은 고딕" w:cs="맑은 고딕"/>
          <w:b w:val="0"/>
          <w:sz w:val="21"/>
        </w:rPr>
        <w:t xml:space="preserve">는 현금 </w:t>
      </w:r>
      <w:r>
        <w:rPr>
          <w:rFonts w:ascii="맑은 고딕" w:hAnsi="맑은 고딕" w:eastAsia="맑은 고딕" w:cs="맑은 고딕"/>
          <w:b/>
          <w:sz w:val="21"/>
        </w:rPr>
        <w:t>9,510만 달러를 보유한 상태에서 자발적으로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프로그램을 중단하며 "폐암·흑색종 연구가 상업적 성립 목표를 충족하지 못했다"고 명시했다 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자금이 아니라 </w:t>
      </w:r>
      <w:r>
        <w:rPr>
          <w:rFonts w:ascii="맑은 고딕" w:hAnsi="맑은 고딕" w:eastAsia="맑은 고딕" w:cs="맑은 고딕"/>
          <w:b/>
          <w:sz w:val="21"/>
        </w:rPr>
        <w:t>효능</w:t>
      </w:r>
      <w:r>
        <w:rPr>
          <w:rFonts w:ascii="맑은 고딕" w:hAnsi="맑은 고딕" w:eastAsia="맑은 고딕" w:cs="맑은 고딕"/>
          <w:b w:val="0"/>
          <w:sz w:val="21"/>
        </w:rPr>
        <w:t xml:space="preserve">이 원인이다 </w:t>
      </w:r>
      <w:r>
        <w:rPr>
          <w:sz w:val="19"/>
        </w:rPr>
        <w:t>[</w:t>
      </w:r>
      <w:hyperlink r:id="rId148">
        <w:r>
          <w:rPr>
            <w:rFonts w:ascii="D2Coding" w:hAnsi="D2Coding" w:eastAsia="D2Coding"/>
            <w:color w:val="1D4ED8"/>
            <w:sz w:val="19"/>
          </w:rPr>
          <w:t xml:space="preserve">R521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49">
        <w:r>
          <w:rPr>
            <w:rFonts w:ascii="D2Coding" w:hAnsi="D2Coding" w:eastAsia="D2Coding"/>
            <w:color w:val="1D4ED8"/>
            <w:sz w:val="19"/>
          </w:rPr>
          <w:t xml:space="preserve">R522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</w:t>
      </w:r>
      <w:r>
        <w:rPr>
          <w:rFonts w:ascii="맑은 고딕" w:hAnsi="맑은 고딕" w:eastAsia="맑은 고딕" w:cs="맑은 고딕"/>
          <w:b/>
          <w:sz w:val="21"/>
        </w:rPr>
        <w:t>Genocea</w:t>
      </w:r>
      <w:r>
        <w:rPr>
          <w:rFonts w:ascii="맑은 고딕" w:hAnsi="맑은 고딕" w:eastAsia="맑은 고딕" w:cs="맑은 고딕"/>
          <w:b w:val="0"/>
          <w:sz w:val="21"/>
        </w:rPr>
        <w:t>는 예측 알고리즘 대신 환자 T세포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실증 스크리닝(ATLAS)을 썼음에도 49명에서 종료되고 청산되었다 </w:t>
      </w:r>
      <w:r>
        <w:rPr>
          <w:sz w:val="19"/>
        </w:rPr>
        <w:t>[</w:t>
      </w:r>
      <w:hyperlink r:id="rId150">
        <w:r>
          <w:rPr>
            <w:rFonts w:ascii="D2Coding" w:hAnsi="D2Coding" w:eastAsia="D2Coding"/>
            <w:color w:val="1D4ED8"/>
            <w:sz w:val="19"/>
          </w:rPr>
          <w:t xml:space="preserve">R565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 — "더 나은 예측"이 해답이라는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가설의 반례다.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대형 제약사의 베팅도 축소되고 있다. Genentech는 Nykode VB10.NEO 라이선스를 해지했고 </w:t>
      </w:r>
      <w:r>
        <w:rPr>
          <w:sz w:val="19"/>
        </w:rPr>
        <w:t>[</w:t>
      </w:r>
      <w:hyperlink r:id="rId151">
        <w:r>
          <w:rPr>
            <w:rFonts w:ascii="D2Coding" w:hAnsi="D2Coding" w:eastAsia="D2Coding"/>
            <w:color w:val="1D4ED8"/>
            <w:sz w:val="19"/>
          </w:rPr>
          <w:t xml:space="preserve">R523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Roche는 ctDNA 양성 NSCLC 2상을 </w:t>
      </w:r>
      <w:r>
        <w:rPr>
          <w:rFonts w:ascii="맑은 고딕" w:hAnsi="맑은 고딕" w:eastAsia="맑은 고딕" w:cs="맑은 고딕"/>
          <w:b/>
          <w:sz w:val="21"/>
        </w:rPr>
        <w:t>등록 0명 상태에서</w:t>
      </w:r>
      <w:r>
        <w:rPr>
          <w:rFonts w:ascii="맑은 고딕" w:hAnsi="맑은 고딕" w:eastAsia="맑은 고딕" w:cs="맑은 고딕"/>
          <w:b w:val="0"/>
          <w:sz w:val="21"/>
        </w:rPr>
        <w:t xml:space="preserve"> 철회했으며 </w:t>
      </w:r>
      <w:r>
        <w:rPr>
          <w:sz w:val="19"/>
        </w:rPr>
        <w:t>[</w:t>
      </w:r>
      <w:hyperlink r:id="rId152">
        <w:r>
          <w:rPr>
            <w:rFonts w:ascii="D2Coding" w:hAnsi="D2Coding" w:eastAsia="D2Coding"/>
            <w:color w:val="1D4ED8"/>
            <w:sz w:val="19"/>
          </w:rPr>
          <w:t xml:space="preserve">R504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BioNTech은 2026년 JPM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최우선 프로그램에서 창업 정체성이던 BNT122를 제외했다 </w:t>
      </w:r>
      <w:r>
        <w:rPr>
          <w:sz w:val="19"/>
        </w:rPr>
        <w:t>[</w:t>
      </w:r>
      <w:hyperlink r:id="rId153">
        <w:r>
          <w:rPr>
            <w:rFonts w:ascii="D2Coding" w:hAnsi="D2Coding" w:eastAsia="D2Coding"/>
            <w:color w:val="1D4ED8"/>
            <w:sz w:val="19"/>
          </w:rPr>
          <w:t xml:space="preserve">R553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2.8 국내 현황 — 개발국이 아니라 임상 사이트 공급국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확인된 사실은 명확하다.</w:t>
      </w:r>
      <w:r>
        <w:rPr>
          <w:rFonts w:ascii="맑은 고딕" w:hAnsi="맑은 고딕" w:eastAsia="맑은 고딕" w:cs="맑은 고딕"/>
          <w:b w:val="0"/>
          <w:sz w:val="21"/>
        </w:rPr>
        <w:t xml:space="preserve"> ClinicalTrials.gov 전수 조회 결과 **한국 기업·기관이 스폰서인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개인맞춤형 신항원 mRNA 항암백신 임상시험은 0건**이다 </w:t>
      </w:r>
      <w:r>
        <w:rPr>
          <w:sz w:val="19"/>
        </w:rPr>
        <w:t>[</w:t>
      </w:r>
      <w:hyperlink r:id="rId154">
        <w:r>
          <w:rPr>
            <w:rFonts w:ascii="D2Coding" w:hAnsi="D2Coding" w:eastAsia="D2Coding"/>
            <w:color w:val="1D4ED8"/>
            <w:sz w:val="19"/>
          </w:rPr>
          <w:t xml:space="preserve">R419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반면 한국은 글로벌 시험의 사이트로는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깊이 편입되어 있어, intismeran·cevumeran 관련 12건에 국내 기관이 참여하고 </w:t>
      </w:r>
      <w:r>
        <w:rPr>
          <w:sz w:val="19"/>
        </w:rPr>
        <w:t>[</w:t>
      </w:r>
      <w:hyperlink r:id="rId44">
        <w:r>
          <w:rPr>
            <w:rFonts w:ascii="D2Coding" w:hAnsi="D2Coding" w:eastAsia="D2Coding"/>
            <w:color w:val="1D4ED8"/>
            <w:sz w:val="19"/>
          </w:rPr>
          <w:t xml:space="preserve">R012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 INTerpath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계열에만 </w:t>
      </w:r>
      <w:r>
        <w:rPr>
          <w:rFonts w:ascii="맑은 고딕" w:hAnsi="맑은 고딕" w:eastAsia="맑은 고딕" w:cs="맑은 고딕"/>
          <w:b/>
          <w:sz w:val="21"/>
        </w:rPr>
        <w:t>32개 기관</w:t>
      </w:r>
      <w:r>
        <w:rPr>
          <w:rFonts w:ascii="맑은 고딕" w:hAnsi="맑은 고딕" w:eastAsia="맑은 고딕" w:cs="맑은 고딕"/>
          <w:b w:val="0"/>
          <w:sz w:val="21"/>
        </w:rPr>
        <w:t xml:space="preserve">이 들어가 있다(일본 33, 대만 35와 유사 규모) </w:t>
      </w:r>
      <w:r>
        <w:rPr>
          <w:sz w:val="19"/>
        </w:rPr>
        <w:t>[</w:t>
      </w:r>
      <w:hyperlink r:id="rId45">
        <w:r>
          <w:rPr>
            <w:rFonts w:ascii="D2Coding" w:hAnsi="D2Coding" w:eastAsia="D2Coding"/>
            <w:color w:val="1D4ED8"/>
            <w:sz w:val="19"/>
          </w:rPr>
          <w:t xml:space="preserve">R151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서울대병원(6개 중 5개)과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삼성서울병원(5개)에 집중된다 </w:t>
      </w:r>
      <w:r>
        <w:rPr>
          <w:sz w:val="19"/>
        </w:rPr>
        <w:t>[</w:t>
      </w:r>
      <w:hyperlink r:id="rId155">
        <w:r>
          <w:rPr>
            <w:rFonts w:ascii="D2Coding" w:hAnsi="D2Coding" w:eastAsia="D2Coding"/>
            <w:color w:val="1D4ED8"/>
            <w:sz w:val="19"/>
          </w:rPr>
          <w:t xml:space="preserve">R152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56">
        <w:r>
          <w:rPr>
            <w:rFonts w:ascii="D2Coding" w:hAnsi="D2Coding" w:eastAsia="D2Coding"/>
            <w:color w:val="1D4ED8"/>
            <w:sz w:val="19"/>
          </w:rPr>
          <w:t xml:space="preserve">R153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국내 주체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실체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평가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ARPA-H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PAVE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과제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개인맞춤 항암백신 전용 국가예산 사실상 유일. 5년 175억원(공고) / 4.5년 최대 191억원 </w:t>
            </w:r>
            <w:r>
              <w:rPr>
                <w:sz w:val="15"/>
              </w:rPr>
              <w:t>[</w:t>
            </w:r>
            <w:hyperlink r:id="rId15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R400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5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R403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KPI가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"검체 채취 후 6~8주 이내"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로 글로벌 실측과 동일 목표 </w:t>
            </w:r>
            <w:r>
              <w:rPr>
                <w:sz w:val="15"/>
              </w:rPr>
              <w:t>[</w:t>
            </w:r>
            <w:hyperlink r:id="rId15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R401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컨소시엄 NeoVax-K = 애스톤사이언스(주관)·테라젠바이오·아이엠비디엑스·진에딧·고려대안암 </w:t>
            </w:r>
            <w:r>
              <w:rPr>
                <w:sz w:val="15"/>
              </w:rPr>
              <w:t>[</w:t>
            </w:r>
            <w:hyperlink r:id="rId16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R402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애스톤사이언스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PAVE 주관기관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주력 AST-301 유방암 2상이 "환자 모집 곤란"으로 등록 10명에서 TERMINATED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sz w:val="15"/>
              </w:rPr>
              <w:t>[</w:t>
            </w:r>
            <w:hyperlink r:id="rId16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R405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기업가치 1,500억(2021) → 600억(2026), 완전자본잠식 </w:t>
            </w:r>
            <w:r>
              <w:rPr>
                <w:sz w:val="15"/>
              </w:rPr>
              <w:t>[</w:t>
            </w:r>
            <w:hyperlink r:id="rId16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R408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에스티팜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국내 최강 mRNA CDMO. SmartCap·STLNP 보유, 올리고 CDMO 세계 3위 </w:t>
            </w:r>
            <w:r>
              <w:rPr>
                <w:sz w:val="15"/>
              </w:rPr>
              <w:t>[</w:t>
            </w:r>
            <w:hyperlink r:id="rId16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R414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개인맞춤 48~60일 제조를 공식 제시한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국내 유일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CDMO </w:t>
            </w:r>
            <w:r>
              <w:rPr>
                <w:sz w:val="15"/>
              </w:rPr>
              <w:t>[</w:t>
            </w:r>
            <w:hyperlink r:id="rId16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R411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그러나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2025년 매출 중 mRNA 비중 0.9%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sz w:val="15"/>
              </w:rPr>
              <w:t>[</w:t>
            </w:r>
            <w:hyperlink r:id="rId16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R413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, 개인맞춤 수주 실적 미제시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목암생명과학연구소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AI 기반 맞춤형 mRNA 구조체 설계, 2026–2030 정부출연금 45억원 </w:t>
            </w:r>
            <w:r>
              <w:rPr>
                <w:sz w:val="15"/>
              </w:rPr>
              <w:t>[</w:t>
            </w:r>
            <w:hyperlink r:id="rId16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R409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구조 통합설계 + 에이전틱 AI </w:t>
            </w:r>
            <w:r>
              <w:rPr>
                <w:sz w:val="15"/>
              </w:rPr>
              <w:t>[</w:t>
            </w:r>
            <w:hyperlink r:id="rId16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R410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. 초기 단계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진원생명과학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2026년 1월 "개인맞춤형 항암 핵산 백신" 전략 선언 </w:t>
            </w:r>
            <w:r>
              <w:rPr>
                <w:sz w:val="15"/>
              </w:rPr>
              <w:t>[</w:t>
            </w:r>
            <w:hyperlink r:id="rId16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R423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자회사 VGXI가 2026년 상반기 CDMO 생산 중단, 매출 0원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sz w:val="15"/>
              </w:rPr>
              <w:t>[</w:t>
            </w:r>
            <w:hyperlink r:id="rId16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R425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항암 임상 0건 </w:t>
            </w:r>
            <w:r>
              <w:rPr>
                <w:sz w:val="15"/>
              </w:rPr>
              <w:t>[</w:t>
            </w:r>
            <w:hyperlink r:id="rId17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R424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2025년 순손실 519억, 5:1 무상감자 </w:t>
            </w:r>
            <w:r>
              <w:rPr>
                <w:sz w:val="15"/>
              </w:rPr>
              <w:t>[</w:t>
            </w:r>
            <w:hyperlink r:id="rId17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R426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7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R427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DXVX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총액 2.2억 달러 기술이전 발표 </w:t>
            </w:r>
            <w:r>
              <w:rPr>
                <w:sz w:val="15"/>
              </w:rPr>
              <w:t>[</w:t>
            </w:r>
            <w:hyperlink r:id="rId17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R429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표적이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서바이빈 = TAA이지 개인맞춤 신항원 아님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sz w:val="15"/>
              </w:rPr>
              <w:t>[</w:t>
            </w:r>
            <w:hyperlink r:id="rId5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R431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계약금·파트너 비공개, 전액 마일스톤 기반 </w:t>
            </w:r>
            <w:r>
              <w:rPr>
                <w:sz w:val="15"/>
              </w:rPr>
              <w:t>[</w:t>
            </w:r>
            <w:hyperlink r:id="rId17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R430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한미약품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STING mRNA·p53 mRNA 전임상 </w:t>
            </w:r>
            <w:r>
              <w:rPr>
                <w:sz w:val="15"/>
              </w:rPr>
              <w:t>[</w:t>
            </w:r>
            <w:hyperlink r:id="rId5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R435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④범주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(mRNA-encoded 단백질), 개인맞춤 아님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국내 정책 자금의 배분도 확인된다. 정부 mRNA 투자는 2022–2023년 5개 부처 893억원으로 **감염병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목적이 압도적</w:t>
      </w:r>
      <w:r>
        <w:rPr>
          <w:rFonts w:ascii="맑은 고딕" w:hAnsi="맑은 고딕" w:eastAsia="맑은 고딕" w:cs="맑은 고딕"/>
          <w:b/>
          <w:sz w:val="21"/>
        </w:rPr>
        <w:t>이며, 개인맞춤 항암백신은 ARPA-H 총사업비 1조1,628억원 중 175억원(</w:t>
      </w:r>
      <w:r>
        <w:rPr>
          <w:rFonts w:ascii="맑은 고딕" w:hAnsi="맑은 고딕" w:eastAsia="맑은 고딕" w:cs="맑은 고딕"/>
          <w:b w:val="0"/>
          <w:sz w:val="21"/>
        </w:rPr>
        <w:t>약 1.5%**)에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불과하다 </w:t>
      </w:r>
      <w:r>
        <w:rPr>
          <w:sz w:val="19"/>
        </w:rPr>
        <w:t>[</w:t>
      </w:r>
      <w:hyperlink r:id="rId175">
        <w:r>
          <w:rPr>
            <w:rFonts w:ascii="D2Coding" w:hAnsi="D2Coding" w:eastAsia="D2Coding"/>
            <w:color w:val="1D4ED8"/>
            <w:sz w:val="19"/>
          </w:rPr>
          <w:t xml:space="preserve">R444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76">
        <w:r>
          <w:rPr>
            <w:rFonts w:ascii="D2Coding" w:hAnsi="D2Coding" w:eastAsia="D2Coding"/>
            <w:color w:val="1D4ED8"/>
            <w:sz w:val="19"/>
          </w:rPr>
          <w:t xml:space="preserve">R463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K-mRNA 컨소시엄(한미·에스티팜·GC녹십자, 7,000억원 계획)은 세 목표를 모두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미달성했고 컨소시엄발 항암백신 임상 진입 사례가 없다 </w:t>
      </w:r>
      <w:r>
        <w:rPr>
          <w:sz w:val="19"/>
        </w:rPr>
        <w:t>[</w:t>
      </w:r>
      <w:hyperlink r:id="rId177">
        <w:r>
          <w:rPr>
            <w:rFonts w:ascii="D2Coding" w:hAnsi="D2Coding" w:eastAsia="D2Coding"/>
            <w:color w:val="1D4ED8"/>
            <w:sz w:val="19"/>
          </w:rPr>
          <w:t xml:space="preserve">R443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식약처는 mRNA 유전자치료제·예방용 백신 가이드라인은 발간했으나 **개인맞춤형 신항원 항암백신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전용 가이드라인은 확인되지 않으며**, 국내 등록 임상이 0건이라 규제기관의 실무 심사 경험 축적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경로 자체가 부재하다 </w:t>
      </w:r>
      <w:r>
        <w:rPr>
          <w:sz w:val="19"/>
        </w:rPr>
        <w:t>[</w:t>
      </w:r>
      <w:hyperlink r:id="rId178">
        <w:r>
          <w:rPr>
            <w:rFonts w:ascii="D2Coding" w:hAnsi="D2Coding" w:eastAsia="D2Coding"/>
            <w:color w:val="1D4ED8"/>
            <w:sz w:val="19"/>
          </w:rPr>
          <w:t xml:space="preserve">R447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54">
        <w:r>
          <w:rPr>
            <w:rFonts w:ascii="D2Coding" w:hAnsi="D2Coding" w:eastAsia="D2Coding"/>
            <w:color w:val="1D4ED8"/>
            <w:sz w:val="19"/>
          </w:rPr>
          <w:t xml:space="preserve">R419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Bdr>
          <w:bottom w:val="single" w:sz="6" w:color="DFE3E8"/>
        </w:pBdr>
      </w:pPr>
    </w:p>
    <w:p>
      <w:pPr>
        <w:keepNext/>
        <w:spacing w:before="280" w:after="80"/>
        <w:pBdr>
          <w:bottom w:val="single" w:sz="4" w:color="DFE3E8"/>
        </w:pBdr>
      </w:pPr>
      <w:r>
        <w:rPr>
          <w:rFonts w:ascii="맑은 고딕" w:hAnsi="맑은 고딕" w:eastAsia="맑은 고딕" w:cs="맑은 고딕"/>
          <w:b/>
          <w:color w:val="1D4ED8"/>
          <w:sz w:val="29"/>
        </w:rPr>
        <w:t>M3. 제조 · CMC — 상업화 병목 진단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3.1 1환자 = 1배치가 만드는 원가 구조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이 모달리티의 제조는 mRNA 산업의 표준 원가곡선에서 </w:t>
      </w:r>
      <w:r>
        <w:rPr>
          <w:rFonts w:ascii="맑은 고딕" w:hAnsi="맑은 고딕" w:eastAsia="맑은 고딕" w:cs="맑은 고딕"/>
          <w:b/>
          <w:sz w:val="21"/>
        </w:rPr>
        <w:t>이탈한 유일한 범주</w:t>
      </w:r>
      <w:r>
        <w:rPr>
          <w:rFonts w:ascii="맑은 고딕" w:hAnsi="맑은 고딕" w:eastAsia="맑은 고딕" w:cs="맑은 고딕"/>
          <w:b w:val="0"/>
          <w:sz w:val="21"/>
        </w:rPr>
        <w:t>다. Moderna는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intismeran이 파이프라인에서 유일하게 스케일업이 아닌 </w:t>
      </w:r>
      <w:r>
        <w:rPr>
          <w:rFonts w:ascii="맑은 고딕" w:hAnsi="맑은 고딕" w:eastAsia="맑은 고딕" w:cs="맑은 고딕"/>
          <w:b/>
          <w:sz w:val="21"/>
        </w:rPr>
        <w:t>병렬 스케일아웃</w:t>
      </w:r>
      <w:r>
        <w:rPr>
          <w:rFonts w:ascii="맑은 고딕" w:hAnsi="맑은 고딕" w:eastAsia="맑은 고딕" w:cs="맑은 고딕"/>
          <w:b w:val="0"/>
          <w:sz w:val="21"/>
        </w:rPr>
        <w:t xml:space="preserve"> 대상임을 명시했다</w:t>
      </w:r>
    </w:p>
    <w:p>
      <w:pPr>
        <w:spacing w:after="120" w:line="324" w:lineRule="auto"/>
      </w:pPr>
      <w:r>
        <w:rPr>
          <w:sz w:val="19"/>
        </w:rPr>
        <w:t>[</w:t>
      </w:r>
      <w:hyperlink r:id="rId179">
        <w:r>
          <w:rPr>
            <w:rFonts w:ascii="D2Coding" w:hAnsi="D2Coding" w:eastAsia="D2Coding"/>
            <w:color w:val="1D4ED8"/>
            <w:sz w:val="19"/>
          </w:rPr>
          <w:t xml:space="preserve">R845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80">
        <w:r>
          <w:rPr>
            <w:rFonts w:ascii="D2Coding" w:hAnsi="D2Coding" w:eastAsia="D2Coding"/>
            <w:color w:val="1D4ED8"/>
            <w:sz w:val="19"/>
          </w:rPr>
          <w:t xml:space="preserve">R934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배치 규모의 비대칭이 이를 압축해 보여준다 — iNeST 원료의약품 배치는 </w:t>
      </w:r>
      <w:r>
        <w:rPr>
          <w:rFonts w:ascii="맑은 고딕" w:hAnsi="맑은 고딕" w:eastAsia="맑은 고딕" w:cs="맑은 고딕"/>
          <w:b/>
          <w:sz w:val="21"/>
        </w:rPr>
        <w:t>수 밀리그램</w:t>
      </w:r>
      <w:r>
        <w:rPr>
          <w:rFonts w:ascii="맑은 고딕" w:hAnsi="맑은 고딕" w:eastAsia="맑은 고딕" w:cs="맑은 고딕"/>
          <w:b w:val="0"/>
          <w:sz w:val="21"/>
        </w:rPr>
        <w:t>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표준 mRNA 10 g, COVID-19 약 720 g으로, 개인맞춤 배치는 COVID 대비 약 </w:t>
      </w:r>
      <w:r>
        <w:rPr>
          <w:rFonts w:ascii="맑은 고딕" w:hAnsi="맑은 고딕" w:eastAsia="맑은 고딕" w:cs="맑은 고딕"/>
          <w:b/>
          <w:sz w:val="21"/>
        </w:rPr>
        <w:t>1/144,000</w:t>
      </w:r>
      <w:r>
        <w:rPr>
          <w:rFonts w:ascii="맑은 고딕" w:hAnsi="맑은 고딕" w:eastAsia="맑은 고딕" w:cs="맑은 고딕"/>
          <w:b w:val="0"/>
          <w:sz w:val="21"/>
        </w:rPr>
        <w:t xml:space="preserve"> 규모다</w:t>
      </w:r>
    </w:p>
    <w:p>
      <w:pPr>
        <w:spacing w:after="120" w:line="324" w:lineRule="auto"/>
      </w:pPr>
      <w:r>
        <w:rPr>
          <w:sz w:val="19"/>
        </w:rPr>
        <w:t>[</w:t>
      </w:r>
      <w:hyperlink r:id="rId181">
        <w:r>
          <w:rPr>
            <w:rFonts w:ascii="D2Coding" w:hAnsi="D2Coding" w:eastAsia="D2Coding"/>
            <w:color w:val="1D4ED8"/>
            <w:sz w:val="19"/>
          </w:rPr>
          <w:t xml:space="preserve">R885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82">
        <w:r>
          <w:rPr>
            <w:rFonts w:ascii="D2Coding" w:hAnsi="D2Coding" w:eastAsia="D2Coding"/>
            <w:color w:val="1D4ED8"/>
            <w:sz w:val="19"/>
          </w:rPr>
          <w:t xml:space="preserve">R890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결과적으로 동일한 QC 패널이 대량 백신에서는 도즈당 0.001달러 미만이지만 개인맞춤에서는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도즈당 약 3,889달러</w:t>
      </w:r>
      <w:r>
        <w:rPr>
          <w:rFonts w:ascii="맑은 고딕" w:hAnsi="맑은 고딕" w:eastAsia="맑은 고딕" w:cs="맑은 고딕"/>
          <w:b w:val="0"/>
          <w:sz w:val="21"/>
        </w:rPr>
        <w:t xml:space="preserve">가 된다 </w:t>
      </w:r>
      <w:r>
        <w:rPr>
          <w:sz w:val="19"/>
        </w:rPr>
        <w:t>[</w:t>
      </w:r>
      <w:hyperlink r:id="rId183">
        <w:r>
          <w:rPr>
            <w:rFonts w:ascii="D2Coding" w:hAnsi="D2Coding" w:eastAsia="D2Coding"/>
            <w:color w:val="1D4ED8"/>
            <w:sz w:val="19"/>
          </w:rPr>
          <w:t xml:space="preserve">R984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Moderna의 대량생산 벤치마크는 fill-to-finish 포함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도즈당 </w:t>
      </w:r>
      <w:r>
        <w:rPr>
          <w:rFonts w:ascii="맑은 고딕" w:hAnsi="맑은 고딕" w:eastAsia="맑은 고딕" w:cs="맑은 고딕"/>
          <w:b/>
          <w:sz w:val="21"/>
        </w:rPr>
        <w:t>2.39달러</w:t>
      </w:r>
      <w:r>
        <w:rPr>
          <w:rFonts w:ascii="맑은 고딕" w:hAnsi="맑은 고딕" w:eastAsia="맑은 고딕" w:cs="맑은 고딕"/>
          <w:b w:val="0"/>
          <w:sz w:val="21"/>
        </w:rPr>
        <w:t xml:space="preserve">인 반면 </w:t>
      </w:r>
      <w:r>
        <w:rPr>
          <w:sz w:val="19"/>
        </w:rPr>
        <w:t>[</w:t>
      </w:r>
      <w:hyperlink r:id="rId184">
        <w:r>
          <w:rPr>
            <w:rFonts w:ascii="D2Coding" w:hAnsi="D2Coding" w:eastAsia="D2Coding"/>
            <w:color w:val="1D4ED8"/>
            <w:sz w:val="19"/>
          </w:rPr>
          <w:t xml:space="preserve">R914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개인맞춤 기본 시나리오는 도즈당 약 </w:t>
      </w:r>
      <w:r>
        <w:rPr>
          <w:rFonts w:ascii="맑은 고딕" w:hAnsi="맑은 고딕" w:eastAsia="맑은 고딕" w:cs="맑은 고딕"/>
          <w:b/>
          <w:sz w:val="21"/>
        </w:rPr>
        <w:t>14,300달러</w:t>
      </w:r>
      <w:r>
        <w:rPr>
          <w:rFonts w:ascii="맑은 고딕" w:hAnsi="맑은 고딕" w:eastAsia="맑은 고딕" w:cs="맑은 고딕"/>
          <w:b w:val="0"/>
          <w:sz w:val="21"/>
        </w:rPr>
        <w:t>로 약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6,000배</w:t>
      </w:r>
      <w:r>
        <w:rPr>
          <w:rFonts w:ascii="맑은 고딕" w:hAnsi="맑은 고딕" w:eastAsia="맑은 고딕" w:cs="맑은 고딕"/>
          <w:b w:val="0"/>
          <w:sz w:val="21"/>
        </w:rPr>
        <w:t xml:space="preserve"> 차이이며, 이 격차 전부가 규모의 경제 상실에서 나온다 </w:t>
      </w:r>
      <w:r>
        <w:rPr>
          <w:sz w:val="19"/>
        </w:rPr>
        <w:t>[</w:t>
      </w:r>
      <w:hyperlink r:id="rId27">
        <w:r>
          <w:rPr>
            <w:rFonts w:ascii="D2Coding" w:hAnsi="D2Coding" w:eastAsia="D2Coding"/>
            <w:color w:val="1D4ED8"/>
            <w:sz w:val="19"/>
          </w:rPr>
          <w:t xml:space="preserve">R960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인건비도 정량화된다. BioNTech 마인츠 East Wing은 300명 이상이 주 7일 가동하며 2018년 6월 이후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1,700배치 이상을 출하했는데, 역산하면 </w:t>
      </w:r>
      <w:r>
        <w:rPr>
          <w:rFonts w:ascii="맑은 고딕" w:hAnsi="맑은 고딕" w:eastAsia="맑은 고딕" w:cs="맑은 고딕"/>
          <w:b/>
          <w:sz w:val="21"/>
        </w:rPr>
        <w:t>배치당 약 1.32 FTE-년</w:t>
      </w:r>
      <w:r>
        <w:rPr>
          <w:rFonts w:ascii="맑은 고딕" w:hAnsi="맑은 고딕" w:eastAsia="맑은 고딕" w:cs="맑은 고딕"/>
          <w:b w:val="0"/>
          <w:sz w:val="21"/>
        </w:rPr>
        <w:t>, 완전부담 인건비 기준 배치당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EUR 132,000–198,000</w:t>
      </w:r>
      <w:r>
        <w:rPr>
          <w:rFonts w:ascii="맑은 고딕" w:hAnsi="맑은 고딕" w:eastAsia="맑은 고딕" w:cs="맑은 고딕"/>
          <w:b w:val="0"/>
          <w:sz w:val="21"/>
        </w:rPr>
        <w:t xml:space="preserve">이다 </w:t>
      </w:r>
      <w:r>
        <w:rPr>
          <w:sz w:val="19"/>
        </w:rPr>
        <w:t>[</w:t>
      </w:r>
      <w:hyperlink r:id="rId185">
        <w:r>
          <w:rPr>
            <w:rFonts w:ascii="D2Coding" w:hAnsi="D2Coding" w:eastAsia="D2Coding"/>
            <w:color w:val="1D4ED8"/>
            <w:sz w:val="19"/>
          </w:rPr>
          <w:t xml:space="preserve">R938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86">
        <w:r>
          <w:rPr>
            <w:rFonts w:ascii="D2Coding" w:hAnsi="D2Coding" w:eastAsia="D2Coding"/>
            <w:color w:val="1D4ED8"/>
            <w:sz w:val="19"/>
          </w:rPr>
          <w:t xml:space="preserve">R959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3.2 COGS 스택 — 도식 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F7F9"/>
          </w:tcPr>
          <w:p>
            <w:pPr>
              <w:spacing w:before="0" w:after="0" w:line="240" w:lineRule="auto"/>
            </w:pPr>
            <w:r/>
            <w:r>
              <w:rPr>
                <w:rFonts w:ascii="D2Coding" w:hAnsi="D2Coding" w:eastAsia="D2Coding" w:cs="D2Coding"/>
                <w:sz w:val="15"/>
              </w:rPr>
              <w:t>■ 도식 ③ 환자 1인당 COGS 스택 (기본 시나리오 $128,600)                    [R960][R961]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QC · 출하시험 + 인건비 · 간접비                            $95,000  85.0% │ ███████████████████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시퀀싱 · 바이오인포매틱스                                    (라인아이템)   │ ██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▼ 원부자재 합계                                             $8,300   7.4% │ █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    ├ 이온화성 지질 · LNP 4성분      (질량기준 최대 항목)                  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    ├ DNA 주형 (플라스미드/PCR)      환자당 0.9-2.3 mg                     │ [R963]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    ├ 캡 유사체                       $127                                 │ [R956]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    ├ m1Ψ-UTP                         $108                                 │ [R956]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    ├ T7 RNA 중합효소                 $38 - $303                           │ [R957]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    └ 기타 NTP 3종                    $19                                  │ [R956]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│ 배치 실패 충당 (1.05 / 1.15 / 1.25배)                                      │ [R960]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저 시나리오 $30,900   │   기본 $128,600   │   고 $382,500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★ 물질수지: 투여 9 mg (1 mg x 9회)  →  오버필 20% + QC/보관/안정성 15 mg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+ 다운스트림 수율 56%  ⇒  실제 합성 필요 IVT RNA 약 46 mg      [R954]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         QC용 물량이 투여량보다 크다.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★ 결정적 함의: 원부자재 단가를 50% 인하해도 환자당 COGS 절감은 $4,150,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총 COGS의 3.2%에 불과하다.  가격 경쟁으로는 진입 논거를 만들 수 없다.   [R987]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CAR-T와의 비교에서 "mRNA는 훨씬 싸다"는 통념이 무너진다. 인도 현장제조 CAR-T의 실측 총원가는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47,831달러</w:t>
      </w:r>
      <w:r>
        <w:rPr>
          <w:rFonts w:ascii="맑은 고딕" w:hAnsi="맑은 고딕" w:eastAsia="맑은 고딕" w:cs="맑은 고딕"/>
          <w:b w:val="0"/>
          <w:sz w:val="21"/>
        </w:rPr>
        <w:t>(제조 35,107 + 의료자원 12,724)로 개인맞춤 mRNA 기본 시나리오 128,600달러보다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낮다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187">
        <w:r>
          <w:rPr>
            <w:rFonts w:ascii="D2Coding" w:hAnsi="D2Coding" w:eastAsia="D2Coding"/>
            <w:color w:val="1D4ED8"/>
            <w:sz w:val="19"/>
          </w:rPr>
          <w:t xml:space="preserve">R948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88">
        <w:r>
          <w:rPr>
            <w:rFonts w:ascii="D2Coding" w:hAnsi="D2Coding" w:eastAsia="D2Coding"/>
            <w:color w:val="1D4ED8"/>
            <w:sz w:val="19"/>
          </w:rPr>
          <w:t xml:space="preserve">R968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비교 조건이 비대칭임은 명시해야 하나, 적어도 "mRNA이므로 저렴하다"는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논거는 성립하지 않는다.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3.3 규제 — 압축 경로의 실체와 한계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배치마다 서열이 다른 제품의 identity는 완제품 서열분석이 아니라 **상류 DNA 주형의 Sanger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시퀀싱**으로 확립된다 </w:t>
      </w:r>
      <w:r>
        <w:rPr>
          <w:sz w:val="19"/>
        </w:rPr>
        <w:t>[</w:t>
      </w:r>
      <w:hyperlink r:id="rId189">
        <w:r>
          <w:rPr>
            <w:rFonts w:ascii="D2Coding" w:hAnsi="D2Coding" w:eastAsia="D2Coding"/>
            <w:color w:val="1D4ED8"/>
            <w:sz w:val="19"/>
          </w:rPr>
          <w:t xml:space="preserve">R814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90">
        <w:r>
          <w:rPr>
            <w:rFonts w:ascii="D2Coding" w:hAnsi="D2Coding" w:eastAsia="D2Coding"/>
            <w:color w:val="1D4ED8"/>
            <w:sz w:val="19"/>
          </w:rPr>
          <w:t xml:space="preserve">R878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출하시험 패널에는 dsRNA·잔류 DNA 주형·잔류 T7·캡슐화 효율·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서열확인·역가가 완제품 항목으로 </w:t>
      </w:r>
      <w:r>
        <w:rPr>
          <w:rFonts w:ascii="맑은 고딕" w:hAnsi="맑은 고딕" w:eastAsia="맑은 고딕" w:cs="맑은 고딕"/>
          <w:b/>
          <w:sz w:val="21"/>
        </w:rPr>
        <w:t>없으며</w:t>
      </w:r>
      <w:r>
        <w:rPr>
          <w:rFonts w:ascii="맑은 고딕" w:hAnsi="맑은 고딕" w:eastAsia="맑은 고딕" w:cs="맑은 고딕"/>
          <w:b w:val="0"/>
          <w:sz w:val="21"/>
        </w:rPr>
        <w:t>, 산업계 해법은 "출하 패널을 얇게, 공정중 관리를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두껍게"다 </w:t>
      </w:r>
      <w:r>
        <w:rPr>
          <w:sz w:val="19"/>
        </w:rPr>
        <w:t>[</w:t>
      </w:r>
      <w:hyperlink r:id="rId191">
        <w:r>
          <w:rPr>
            <w:rFonts w:ascii="D2Coding" w:hAnsi="D2Coding" w:eastAsia="D2Coding"/>
            <w:color w:val="1D4ED8"/>
            <w:sz w:val="19"/>
          </w:rPr>
          <w:t xml:space="preserve">R816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92">
        <w:r>
          <w:rPr>
            <w:rFonts w:ascii="D2Coding" w:hAnsi="D2Coding" w:eastAsia="D2Coding"/>
            <w:color w:val="1D4ED8"/>
            <w:sz w:val="19"/>
          </w:rPr>
          <w:t xml:space="preserve">R877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흔히 언급되는 "파라메트릭 출하로 무균 14일을 제거한다"는 논리는 </w:t>
      </w:r>
      <w:r>
        <w:rPr>
          <w:rFonts w:ascii="맑은 고딕" w:hAnsi="맑은 고딕" w:eastAsia="맑은 고딕" w:cs="맑은 고딕"/>
          <w:b/>
          <w:sz w:val="21"/>
        </w:rPr>
        <w:t>규정상 성립하지 않는다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EU GMP Annex 17상 파라메트릭 출하는 </w:t>
      </w:r>
      <w:r>
        <w:rPr>
          <w:rFonts w:ascii="맑은 고딕" w:hAnsi="맑은 고딕" w:eastAsia="맑은 고딕" w:cs="맑은 고딕"/>
          <w:b/>
          <w:sz w:val="21"/>
        </w:rPr>
        <w:t>최종멸균 제품 한정</w:t>
      </w:r>
      <w:r>
        <w:rPr>
          <w:rFonts w:ascii="맑은 고딕" w:hAnsi="맑은 고딕" w:eastAsia="맑은 고딕" w:cs="맑은 고딕"/>
          <w:b w:val="0"/>
          <w:sz w:val="21"/>
        </w:rPr>
        <w:t>이므로 무균공정 mRNA에는 적용 불가다</w:t>
      </w:r>
    </w:p>
    <w:p>
      <w:pPr>
        <w:spacing w:after="120" w:line="324" w:lineRule="auto"/>
      </w:pPr>
      <w:r>
        <w:rPr>
          <w:sz w:val="19"/>
        </w:rPr>
        <w:t>[</w:t>
      </w:r>
      <w:hyperlink r:id="rId193">
        <w:r>
          <w:rPr>
            <w:rFonts w:ascii="D2Coding" w:hAnsi="D2Coding" w:eastAsia="D2Coding"/>
            <w:color w:val="1D4ED8"/>
            <w:sz w:val="19"/>
          </w:rPr>
          <w:t xml:space="preserve">R823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실제 경로는 Annex 17 RTRT + Ph.Eur. 2.6.27 신속미생물학적 방법 + ATMP GMP식 2단계 QP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인증의 조합이다 </w:t>
      </w:r>
      <w:r>
        <w:rPr>
          <w:sz w:val="19"/>
        </w:rPr>
        <w:t>[</w:t>
      </w:r>
      <w:hyperlink r:id="rId194">
        <w:r>
          <w:rPr>
            <w:rFonts w:ascii="D2Coding" w:hAnsi="D2Coding" w:eastAsia="D2Coding"/>
            <w:color w:val="1D4ED8"/>
            <w:sz w:val="19"/>
          </w:rPr>
          <w:t xml:space="preserve">R824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95">
        <w:r>
          <w:rPr>
            <w:rFonts w:ascii="D2Coding" w:hAnsi="D2Coding" w:eastAsia="D2Coding"/>
            <w:color w:val="1D4ED8"/>
            <w:sz w:val="19"/>
          </w:rPr>
          <w:t xml:space="preserve">R819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96">
        <w:r>
          <w:rPr>
            <w:rFonts w:ascii="D2Coding" w:hAnsi="D2Coding" w:eastAsia="D2Coding"/>
            <w:color w:val="1D4ED8"/>
            <w:sz w:val="19"/>
          </w:rPr>
          <w:t xml:space="preserve">R821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FDA 플랫폼 기술 지정(FD&amp;C 506K)은 mRNA-LNP 예시에서 "주형 서열에 민감하지 않고 서열 차이가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품질에 영향 없는 단위공정"을 명시해 개인맞춤 mRNA의 가장 직접적인 규제 후크다 </w:t>
      </w:r>
      <w:r>
        <w:rPr>
          <w:sz w:val="19"/>
        </w:rPr>
        <w:t>[</w:t>
      </w:r>
      <w:hyperlink r:id="rId197">
        <w:r>
          <w:rPr>
            <w:rFonts w:ascii="D2Coding" w:hAnsi="D2Coding" w:eastAsia="D2Coding"/>
            <w:color w:val="1D4ED8"/>
            <w:sz w:val="19"/>
          </w:rPr>
          <w:t xml:space="preserve">R836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98">
        <w:r>
          <w:rPr>
            <w:rFonts w:ascii="D2Coding" w:hAnsi="D2Coding" w:eastAsia="D2Coding"/>
            <w:color w:val="1D4ED8"/>
            <w:sz w:val="19"/>
          </w:rPr>
          <w:t xml:space="preserve">R838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그러나 두 가지 한계가 있다. 첫째, 가이던스 각주 18은 데이터 레버리지를 위해 **"완제품 제조가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일반적으로 동일 제조소에서 이루어져야 한다"**고 규정해 TAT 단축 수단인 분산 제조와 정면 충돌한다</w:t>
      </w:r>
    </w:p>
    <w:p>
      <w:pPr>
        <w:spacing w:after="120" w:line="324" w:lineRule="auto"/>
      </w:pPr>
      <w:r>
        <w:rPr>
          <w:sz w:val="19"/>
        </w:rPr>
        <w:t>[</w:t>
      </w:r>
      <w:hyperlink r:id="rId199">
        <w:r>
          <w:rPr>
            <w:rFonts w:ascii="D2Coding" w:hAnsi="D2Coding" w:eastAsia="D2Coding"/>
            <w:color w:val="1D4ED8"/>
            <w:sz w:val="19"/>
          </w:rPr>
          <w:t xml:space="preserve">R841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둘째, 이 지정은 심사기간 단축 장치가 아니라 </w:t>
      </w:r>
      <w:r>
        <w:rPr>
          <w:rFonts w:ascii="맑은 고딕" w:hAnsi="맑은 고딕" w:eastAsia="맑은 고딕" w:cs="맑은 고딕"/>
          <w:b/>
          <w:sz w:val="21"/>
        </w:rPr>
        <w:t>CMC 데이터 재사용 장치</w:t>
      </w:r>
      <w:r>
        <w:rPr>
          <w:rFonts w:ascii="맑은 고딕" w:hAnsi="맑은 고딕" w:eastAsia="맑은 고딕" w:cs="맑은 고딕"/>
          <w:b w:val="0"/>
          <w:sz w:val="21"/>
        </w:rPr>
        <w:t>에 불과하며 후속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신청에 우선심사를 자동 부여하지 않는다 </w:t>
      </w:r>
      <w:r>
        <w:rPr>
          <w:sz w:val="19"/>
        </w:rPr>
        <w:t>[</w:t>
      </w:r>
      <w:hyperlink r:id="rId200">
        <w:r>
          <w:rPr>
            <w:rFonts w:ascii="D2Coding" w:hAnsi="D2Coding" w:eastAsia="D2Coding"/>
            <w:color w:val="1D4ED8"/>
            <w:sz w:val="19"/>
          </w:rPr>
          <w:t xml:space="preserve">R840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그리고 Moderna FY2025 10-K와 BioNTech FY2025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20-F 전문에서 "platform technology designation"·"506K" 문언은 각각 </w:t>
      </w:r>
      <w:r>
        <w:rPr>
          <w:rFonts w:ascii="맑은 고딕" w:hAnsi="맑은 고딕" w:eastAsia="맑은 고딕" w:cs="맑은 고딕"/>
          <w:b/>
          <w:sz w:val="21"/>
        </w:rPr>
        <w:t>0회</w:t>
      </w:r>
      <w:r>
        <w:rPr>
          <w:rFonts w:ascii="맑은 고딕" w:hAnsi="맑은 고딕" w:eastAsia="맑은 고딕" w:cs="맑은 고딕"/>
          <w:b w:val="0"/>
          <w:sz w:val="21"/>
        </w:rPr>
        <w:t xml:space="preserve"> 등장한다 </w:t>
      </w:r>
      <w:r>
        <w:rPr>
          <w:sz w:val="19"/>
        </w:rPr>
        <w:t>[</w:t>
      </w:r>
      <w:hyperlink r:id="rId201">
        <w:r>
          <w:rPr>
            <w:rFonts w:ascii="D2Coding" w:hAnsi="D2Coding" w:eastAsia="D2Coding"/>
            <w:color w:val="1D4ED8"/>
            <w:sz w:val="19"/>
          </w:rPr>
          <w:t xml:space="preserve">R839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ATMP GMP는 규격 외(OOS) 제품이 출하 후 확인될 수 있음을 인정하고 "OOS 제품 투여"를 별도 항목으로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규정한다 — 1환자 1배치는 재제조 대안이 없어 </w:t>
      </w:r>
      <w:r>
        <w:rPr>
          <w:rFonts w:ascii="맑은 고딕" w:hAnsi="맑은 고딕" w:eastAsia="맑은 고딕" w:cs="맑은 고딕"/>
          <w:b/>
          <w:sz w:val="21"/>
        </w:rPr>
        <w:t>부적합품 투여가 제도적 관리 대상</w:t>
      </w:r>
      <w:r>
        <w:rPr>
          <w:rFonts w:ascii="맑은 고딕" w:hAnsi="맑은 고딕" w:eastAsia="맑은 고딕" w:cs="맑은 고딕"/>
          <w:b w:val="0"/>
          <w:sz w:val="21"/>
        </w:rPr>
        <w:t xml:space="preserve">이 된다 </w:t>
      </w:r>
      <w:r>
        <w:rPr>
          <w:sz w:val="19"/>
        </w:rPr>
        <w:t>[</w:t>
      </w:r>
      <w:hyperlink r:id="rId202">
        <w:r>
          <w:rPr>
            <w:rFonts w:ascii="D2Coding" w:hAnsi="D2Coding" w:eastAsia="D2Coding"/>
            <w:color w:val="1D4ED8"/>
            <w:sz w:val="19"/>
          </w:rPr>
          <w:t xml:space="preserve">R822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03">
        <w:r>
          <w:rPr>
            <w:rFonts w:ascii="D2Coding" w:hAnsi="D2Coding" w:eastAsia="D2Coding"/>
            <w:color w:val="1D4ED8"/>
            <w:sz w:val="19"/>
          </w:rPr>
          <w:t xml:space="preserve">R820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3.4 기업이 스스로 인정한 것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>Moderna는 개인맞춤 배치의 **신원 연쇄(chain of identity) 유지 실패가 "이미 발생했다(has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resulted)"** 고 과거형으로 10-K에 기재하며 제품 혼동·환자 유해결과·시장 철수 가능성을 열거했다.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건수·중대성·시점은 비공개다 </w:t>
      </w:r>
      <w:r>
        <w:rPr>
          <w:sz w:val="19"/>
        </w:rPr>
        <w:t>[</w:t>
      </w:r>
      <w:hyperlink r:id="rId204">
        <w:r>
          <w:rPr>
            <w:rFonts w:ascii="D2Coding" w:hAnsi="D2Coding" w:eastAsia="D2Coding"/>
            <w:color w:val="1D4ED8"/>
            <w:sz w:val="19"/>
          </w:rPr>
          <w:t xml:space="preserve">R831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05">
        <w:r>
          <w:rPr>
            <w:rFonts w:ascii="D2Coding" w:hAnsi="D2Coding" w:eastAsia="D2Coding"/>
            <w:color w:val="1D4ED8"/>
            <w:sz w:val="19"/>
          </w:rPr>
          <w:t xml:space="preserve">R932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06">
        <w:r>
          <w:rPr>
            <w:rFonts w:ascii="D2Coding" w:hAnsi="D2Coding" w:eastAsia="D2Coding"/>
            <w:color w:val="1D4ED8"/>
            <w:sz w:val="19"/>
          </w:rPr>
          <w:t xml:space="preserve">R164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>BioNTech은 "제조 규모 확대 과정에서 배치 실패가 발생했으며 향후에도 발생할 수 있다"고 기재했으나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실패율은 비공개다 </w:t>
      </w:r>
      <w:r>
        <w:rPr>
          <w:sz w:val="19"/>
        </w:rPr>
        <w:t>[</w:t>
      </w:r>
      <w:hyperlink r:id="rId207">
        <w:r>
          <w:rPr>
            <w:rFonts w:ascii="D2Coding" w:hAnsi="D2Coding" w:eastAsia="D2Coding"/>
            <w:color w:val="1D4ED8"/>
            <w:sz w:val="19"/>
          </w:rPr>
          <w:t xml:space="preserve">R834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 xml:space="preserve">BioNTech은 개인맞춤 제품에 </w:t>
      </w:r>
      <w:r>
        <w:rPr>
          <w:rFonts w:ascii="맑은 고딕" w:hAnsi="맑은 고딕" w:eastAsia="맑은 고딕" w:cs="맑은 고딕"/>
          <w:b/>
          <w:sz w:val="21"/>
        </w:rPr>
        <w:t>외부 CMO를 전혀 쓰지 않고</w:t>
      </w:r>
      <w:r>
        <w:rPr>
          <w:rFonts w:ascii="맑은 고딕" w:hAnsi="맑은 고딕" w:eastAsia="맑은 고딕" w:cs="맑은 고딕"/>
          <w:b w:val="0"/>
          <w:sz w:val="21"/>
        </w:rPr>
        <w:t>, 시설 이중화가 제한적이며,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"제품 예비재고를 보유하지 않는다"</w:t>
      </w:r>
      <w:r>
        <w:rPr>
          <w:rFonts w:ascii="맑은 고딕" w:hAnsi="맑은 고딕" w:eastAsia="맑은 고딕" w:cs="맑은 고딕"/>
          <w:b w:val="0"/>
          <w:sz w:val="21"/>
        </w:rPr>
        <w:t>고 명시했다 — 재고 완충이 원리적으로 불가능해 단일 시설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사고가 곧 환자 미공급이다 </w:t>
      </w:r>
      <w:r>
        <w:rPr>
          <w:sz w:val="19"/>
        </w:rPr>
        <w:t>[</w:t>
      </w:r>
      <w:hyperlink r:id="rId39">
        <w:r>
          <w:rPr>
            <w:rFonts w:ascii="D2Coding" w:hAnsi="D2Coding" w:eastAsia="D2Coding"/>
            <w:color w:val="1D4ED8"/>
            <w:sz w:val="19"/>
          </w:rPr>
          <w:t xml:space="preserve">R835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40">
        <w:r>
          <w:rPr>
            <w:rFonts w:ascii="D2Coding" w:hAnsi="D2Coding" w:eastAsia="D2Coding"/>
            <w:color w:val="1D4ED8"/>
            <w:sz w:val="19"/>
          </w:rPr>
          <w:t xml:space="preserve">R889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>Moderna는 "개인맞춤 제조에 수반되는 상당한 비용이 개발 지속 능력에 악영향을 줄 수 있다"고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COGS를 임상 지속 가능성 리스크로</w:t>
      </w:r>
      <w:r>
        <w:rPr>
          <w:rFonts w:ascii="맑은 고딕" w:hAnsi="맑은 고딕" w:eastAsia="맑은 고딕" w:cs="맑은 고딕"/>
          <w:b w:val="0"/>
          <w:sz w:val="21"/>
        </w:rPr>
        <w:t xml:space="preserve"> 공시했다 </w:t>
      </w:r>
      <w:r>
        <w:rPr>
          <w:sz w:val="19"/>
        </w:rPr>
        <w:t>[</w:t>
      </w:r>
      <w:hyperlink r:id="rId208">
        <w:r>
          <w:rPr>
            <w:rFonts w:ascii="D2Coding" w:hAnsi="D2Coding" w:eastAsia="D2Coding"/>
            <w:color w:val="1D4ED8"/>
            <w:sz w:val="19"/>
          </w:rPr>
          <w:t xml:space="preserve">R866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09">
        <w:r>
          <w:rPr>
            <w:rFonts w:ascii="D2Coding" w:hAnsi="D2Coding" w:eastAsia="D2Coding"/>
            <w:color w:val="1D4ED8"/>
            <w:sz w:val="19"/>
          </w:rPr>
          <w:t xml:space="preserve">R930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 xml:space="preserve">Moderna는 TAT를 운영 효율이 아니라 </w:t>
      </w:r>
      <w:r>
        <w:rPr>
          <w:rFonts w:ascii="맑은 고딕" w:hAnsi="맑은 고딕" w:eastAsia="맑은 고딕" w:cs="맑은 고딕"/>
          <w:b/>
          <w:sz w:val="21"/>
        </w:rPr>
        <w:t>유효성 리스크</w:t>
      </w:r>
      <w:r>
        <w:rPr>
          <w:rFonts w:ascii="맑은 고딕" w:hAnsi="맑은 고딕" w:eastAsia="맑은 고딕" w:cs="맑은 고딕"/>
          <w:b w:val="0"/>
          <w:sz w:val="21"/>
        </w:rPr>
        <w:t>로 공시했다 — "종양의 추가 진행·변이 이전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공급을 위한 주 단위 TAT" </w:t>
      </w:r>
      <w:r>
        <w:rPr>
          <w:sz w:val="19"/>
        </w:rPr>
        <w:t>[</w:t>
      </w:r>
      <w:hyperlink r:id="rId210">
        <w:r>
          <w:rPr>
            <w:rFonts w:ascii="D2Coding" w:hAnsi="D2Coding" w:eastAsia="D2Coding"/>
            <w:color w:val="1D4ED8"/>
            <w:sz w:val="19"/>
          </w:rPr>
          <w:t xml:space="preserve">R805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 xml:space="preserve">BioNTech-Genentech 계약상 </w:t>
      </w:r>
      <w:r>
        <w:rPr>
          <w:rFonts w:ascii="맑은 고딕" w:hAnsi="맑은 고딕" w:eastAsia="맑은 고딕" w:cs="맑은 고딕"/>
          <w:b/>
          <w:sz w:val="21"/>
        </w:rPr>
        <w:t>상업 제조는 임상보다 "더 엄격한 소요시간"을 요구</w:t>
      </w:r>
      <w:r>
        <w:rPr>
          <w:rFonts w:ascii="맑은 고딕" w:hAnsi="맑은 고딕" w:eastAsia="맑은 고딕" w:cs="맑은 고딕"/>
          <w:b w:val="0"/>
          <w:sz w:val="21"/>
        </w:rPr>
        <w:t>한다. 계약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당사자가 현재 임상 TAT가 상업적으로 불충분함을 확인한 셈이다 </w:t>
      </w:r>
      <w:r>
        <w:rPr>
          <w:sz w:val="19"/>
        </w:rPr>
        <w:t>[</w:t>
      </w:r>
      <w:hyperlink r:id="rId211">
        <w:r>
          <w:rPr>
            <w:rFonts w:ascii="D2Coding" w:hAnsi="D2Coding" w:eastAsia="D2Coding"/>
            <w:color w:val="1D4ED8"/>
            <w:sz w:val="19"/>
          </w:rPr>
          <w:t xml:space="preserve">R806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12">
        <w:r>
          <w:rPr>
            <w:rFonts w:ascii="D2Coding" w:hAnsi="D2Coding" w:eastAsia="D2Coding"/>
            <w:color w:val="1D4ED8"/>
            <w:sz w:val="19"/>
          </w:rPr>
          <w:t xml:space="preserve">R248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/>
          <w:color w:val="5C6570"/>
          <w:sz w:val="20"/>
        </w:rPr>
        <w:t>투명성이 후퇴하고 있다.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BioNTech은 FY2025 20-F에서 FY2024에 있던 정량적 제조 공시를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/>
          <w:color w:val="5C6570"/>
          <w:sz w:val="20"/>
        </w:rPr>
        <w:t>전부 삭제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했다 — 30~40일 TAT, 월 100배치 생산능력, 배치 규모 범위, 누적 2,000배치, GMP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면적(4,300 sqft), 충전 병수(77,000)가 모두 사라졌다 </w:t>
      </w:r>
      <w:r>
        <w:rPr>
          <w:sz w:val="18"/>
        </w:rPr>
        <w:t>[</w:t>
      </w:r>
      <w:hyperlink r:id="rId213">
        <w:r>
          <w:rPr>
            <w:rFonts w:ascii="D2Coding" w:hAnsi="D2Coding" w:eastAsia="D2Coding"/>
            <w:color w:val="1D4ED8"/>
            <w:sz w:val="18"/>
          </w:rPr>
          <w:t xml:space="preserve">R887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. Moderna FY2025 10-K는 3상 다수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>진행 중에도 TAT를 "통상 수 주(a few weeks)"로만 기술하고 확정 수치를 공시하지 않았으며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/>
          <w:color w:val="5C6570"/>
          <w:sz w:val="20"/>
        </w:rPr>
        <w:t>"vein-to-vein"이라는 용어는 10-K 전문에 등장하지 않는다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</w:t>
      </w:r>
      <w:r>
        <w:rPr>
          <w:sz w:val="18"/>
        </w:rPr>
        <w:t>[</w:t>
      </w:r>
      <w:hyperlink r:id="rId214">
        <w:r>
          <w:rPr>
            <w:rFonts w:ascii="D2Coding" w:hAnsi="D2Coding" w:eastAsia="D2Coding"/>
            <w:color w:val="1D4ED8"/>
            <w:sz w:val="18"/>
          </w:rPr>
          <w:t xml:space="preserve">R804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. 상업화가 임박한 시점에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>제조 투명성이 오히려 낮아지는 것은 그 자체로 신호로 읽어야 한다.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3.5 다만 TAT는 설계로 우회되고 있다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부정 근거만 나열하면 균형을 잃는다. 3상은 TAT 문제를 설계로 흡수한다 — INTerpath-001은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절제술–첫 펨브롤리주맙 최대 </w:t>
      </w:r>
      <w:r>
        <w:rPr>
          <w:rFonts w:ascii="맑은 고딕" w:hAnsi="맑은 고딕" w:eastAsia="맑은 고딕" w:cs="맑은 고딕"/>
          <w:b/>
          <w:sz w:val="21"/>
        </w:rPr>
        <w:t>13주</w:t>
      </w:r>
      <w:r>
        <w:rPr>
          <w:rFonts w:ascii="맑은 고딕" w:hAnsi="맑은 고딕" w:eastAsia="맑은 고딕" w:cs="맑은 고딕"/>
          <w:b w:val="0"/>
          <w:sz w:val="21"/>
        </w:rPr>
        <w:t xml:space="preserve">를 허용하고 체크포인트 억제제를 </w:t>
      </w:r>
      <w:r>
        <w:rPr>
          <w:rFonts w:ascii="맑은 고딕" w:hAnsi="맑은 고딕" w:eastAsia="맑은 고딕" w:cs="맑은 고딕"/>
          <w:b/>
          <w:sz w:val="21"/>
        </w:rPr>
        <w:t>브리지 요법</w:t>
      </w:r>
      <w:r>
        <w:rPr>
          <w:rFonts w:ascii="맑은 고딕" w:hAnsi="맑은 고딕" w:eastAsia="맑은 고딕" w:cs="맑은 고딕"/>
          <w:b w:val="0"/>
          <w:sz w:val="21"/>
        </w:rPr>
        <w:t>으로 먼저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투여해 제조 시간을 흡수한다 </w:t>
      </w:r>
      <w:r>
        <w:rPr>
          <w:sz w:val="19"/>
        </w:rPr>
        <w:t>[</w:t>
      </w:r>
      <w:hyperlink r:id="rId215">
        <w:r>
          <w:rPr>
            <w:rFonts w:ascii="D2Coding" w:hAnsi="D2Coding" w:eastAsia="D2Coding"/>
            <w:color w:val="1D4ED8"/>
            <w:sz w:val="19"/>
          </w:rPr>
          <w:t xml:space="preserve">R807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임상적 수용성 근거도 있다: ESPAC-3(n=985)는 췌장암 보조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항암요법을 12주까지 지연해도 OS에 차이가 없음을 보였다(시점 HR 0.985, 95% CI 0.956–1.015)</w:t>
      </w:r>
    </w:p>
    <w:p>
      <w:pPr>
        <w:spacing w:after="120" w:line="324" w:lineRule="auto"/>
      </w:pPr>
      <w:r>
        <w:rPr>
          <w:sz w:val="19"/>
        </w:rPr>
        <w:t>[</w:t>
      </w:r>
      <w:hyperlink r:id="rId216">
        <w:r>
          <w:rPr>
            <w:rFonts w:ascii="D2Coding" w:hAnsi="D2Coding" w:eastAsia="D2Coding"/>
            <w:color w:val="1D4ED8"/>
            <w:sz w:val="19"/>
          </w:rPr>
          <w:t xml:space="preserve">R812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다만 이는 </w:t>
      </w:r>
      <w:r>
        <w:rPr>
          <w:rFonts w:ascii="맑은 고딕" w:hAnsi="맑은 고딕" w:eastAsia="맑은 고딕" w:cs="맑은 고딕"/>
          <w:b/>
          <w:sz w:val="21"/>
        </w:rPr>
        <w:t>항암제 지연</w:t>
      </w:r>
      <w:r>
        <w:rPr>
          <w:rFonts w:ascii="맑은 고딕" w:hAnsi="맑은 고딕" w:eastAsia="맑은 고딕" w:cs="맑은 고딕"/>
          <w:b w:val="0"/>
          <w:sz w:val="21"/>
        </w:rPr>
        <w:t>에 관한 것이지 백신 선행 순서에 관한 것이 아니며, 같은 연구에서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6주기 완주 여부는 강한 예후인자였다(HR 0.516, p&lt;0.001) </w:t>
      </w:r>
      <w:r>
        <w:rPr>
          <w:sz w:val="19"/>
        </w:rPr>
        <w:t>[</w:t>
      </w:r>
      <w:hyperlink r:id="rId216">
        <w:r>
          <w:rPr>
            <w:rFonts w:ascii="D2Coding" w:hAnsi="D2Coding" w:eastAsia="D2Coding"/>
            <w:color w:val="1D4ED8"/>
            <w:sz w:val="19"/>
          </w:rPr>
          <w:t xml:space="preserve">R812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또한 제조 자체의 성공률은 높다. intismeran의 </w:t>
      </w:r>
      <w:r>
        <w:rPr>
          <w:rFonts w:ascii="맑은 고딕" w:hAnsi="맑은 고딕" w:eastAsia="맑은 고딕" w:cs="맑은 고딕"/>
          <w:b/>
          <w:sz w:val="21"/>
        </w:rPr>
        <w:t>설계 성공률 84.3%(156/185)</w:t>
      </w:r>
      <w:r>
        <w:rPr>
          <w:rFonts w:ascii="맑은 고딕" w:hAnsi="맑은 고딕" w:eastAsia="맑은 고딕" w:cs="맑은 고딕"/>
          <w:b w:val="0"/>
          <w:sz w:val="21"/>
        </w:rPr>
        <w:t>, 설계 성공 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하류 mRNA 제조 성공률 99% 초과(104/105)</w:t>
      </w:r>
      <w:r>
        <w:rPr>
          <w:rFonts w:ascii="맑은 고딕" w:hAnsi="맑은 고딕" w:eastAsia="맑은 고딕" w:cs="맑은 고딕"/>
          <w:b w:val="0"/>
          <w:sz w:val="21"/>
        </w:rPr>
        <w:t xml:space="preserve"> 다 </w:t>
      </w:r>
      <w:r>
        <w:rPr>
          <w:sz w:val="19"/>
        </w:rPr>
        <w:t>[</w:t>
      </w:r>
      <w:hyperlink r:id="rId217">
        <w:r>
          <w:rPr>
            <w:rFonts w:ascii="D2Coding" w:hAnsi="D2Coding" w:eastAsia="D2Coding"/>
            <w:color w:val="1D4ED8"/>
            <w:sz w:val="19"/>
          </w:rPr>
          <w:t xml:space="preserve">R125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즉 병목은 mRNA 제조가 아니라 **상류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종양조직 품질·NGS·신항원 식별**이며 약 16%가 여기서 탈락한다 </w:t>
      </w:r>
      <w:r>
        <w:rPr>
          <w:sz w:val="19"/>
        </w:rPr>
        <w:t>[</w:t>
      </w:r>
      <w:hyperlink r:id="rId217">
        <w:r>
          <w:rPr>
            <w:rFonts w:ascii="D2Coding" w:hAnsi="D2Coding" w:eastAsia="D2Coding"/>
            <w:color w:val="1D4ED8"/>
            <w:sz w:val="19"/>
          </w:rPr>
          <w:t xml:space="preserve">R125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cevumeran 퍼널도 같은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방향을 가리킨다 — 검체 제출 548명 → 핵산 추출 성공 483명(94.3%) → 신항원 5개 이상 448명(98.5%)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으로, 병목은 신항원 예측이 아니라 </w:t>
      </w:r>
      <w:r>
        <w:rPr>
          <w:rFonts w:ascii="맑은 고딕" w:hAnsi="맑은 고딕" w:eastAsia="맑은 고딕" w:cs="맑은 고딕"/>
          <w:b/>
          <w:sz w:val="21"/>
        </w:rPr>
        <w:t>검체 품질·핵산 추출</w:t>
      </w:r>
      <w:r>
        <w:rPr>
          <w:rFonts w:ascii="맑은 고딕" w:hAnsi="맑은 고딕" w:eastAsia="맑은 고딕" w:cs="맑은 고딕"/>
          <w:b w:val="0"/>
          <w:sz w:val="21"/>
        </w:rPr>
        <w:t xml:space="preserve">이다 </w:t>
      </w:r>
      <w:r>
        <w:rPr>
          <w:sz w:val="19"/>
        </w:rPr>
        <w:t>[</w:t>
      </w:r>
      <w:hyperlink r:id="rId218">
        <w:r>
          <w:rPr>
            <w:rFonts w:ascii="D2Coding" w:hAnsi="D2Coding" w:eastAsia="D2Coding"/>
            <w:color w:val="1D4ED8"/>
            <w:sz w:val="19"/>
          </w:rPr>
          <w:t xml:space="preserve">R828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19">
        <w:r>
          <w:rPr>
            <w:rFonts w:ascii="D2Coding" w:hAnsi="D2Coding" w:eastAsia="D2Coding"/>
            <w:color w:val="1D4ED8"/>
            <w:sz w:val="19"/>
          </w:rPr>
          <w:t xml:space="preserve">R868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Bdr>
          <w:bottom w:val="single" w:sz="6" w:color="DFE3E8"/>
        </w:pBdr>
      </w:pPr>
    </w:p>
    <w:p>
      <w:pPr>
        <w:keepNext/>
        <w:spacing w:before="280" w:after="80"/>
        <w:pBdr>
          <w:bottom w:val="single" w:sz="4" w:color="DFE3E8"/>
        </w:pBdr>
      </w:pPr>
      <w:r>
        <w:rPr>
          <w:rFonts w:ascii="맑은 고딕" w:hAnsi="맑은 고딕" w:eastAsia="맑은 고딕" w:cs="맑은 고딕"/>
          <w:b/>
          <w:color w:val="1D4ED8"/>
          <w:sz w:val="29"/>
        </w:rPr>
        <w:t>M4. 특허 · FTO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4.1 레이어별 만료시계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레이어</w:t>
            </w:r>
          </w:p>
        </w:tc>
        <w:tc>
          <w:tcPr>
            <w:tcW w:type="dxa" w:w="19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대표 특허</w:t>
            </w:r>
          </w:p>
        </w:tc>
        <w:tc>
          <w:tcPr>
            <w:tcW w:type="dxa" w:w="19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청구항 성격</w:t>
            </w:r>
          </w:p>
        </w:tc>
        <w:tc>
          <w:tcPr>
            <w:tcW w:type="dxa" w:w="19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만료</w:t>
            </w:r>
          </w:p>
        </w:tc>
        <w:tc>
          <w:tcPr>
            <w:tcW w:type="dxa" w:w="19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근거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L3 변형뉴클레오사이드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US 11,389,547 / 11,801,314 / 8,835,108 (UPenn)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방법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2026-08-21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2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R020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2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R1103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2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R1104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2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R1105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L3 변형뉴클레오사이드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US 8,278,036 (UPenn 원천)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방법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2027-05-24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(PTA 276일)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2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R019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2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R1101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L5 LNP 조성물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US 11,141,378 (Arbutus)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조성물 </w:t>
            </w:r>
            <w:r>
              <w:rPr>
                <w:rFonts w:ascii="D2Coding" w:hAnsi="D2Coding" w:eastAsia="D2Coding" w:cs="D2Coding"/>
                <w:color w:val="A32020"/>
                <w:sz w:val="16"/>
              </w:rPr>
              <w:t>consisting essentially of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2029-04-15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2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R1216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L3 완제품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US 10,898,574 (Moderna)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조성물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m1Ψ mRNA-LNP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2032-04-02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2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R1118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L2 개인맞춤 제조방법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US 10,738,355 (BioNTech/TRON)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방법 (a)–(e) 전공정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2032-05-23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2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R1137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L7 IVT 공정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US 10,138,507 (Moderna)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방법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2034-03-13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2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R1241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L7 TFF 정제공정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US 11,667,910 / 10,760,070 (CureVac→BioNTech)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방법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CDMO 표준공정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2036-05-30 / 07-10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4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R1243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4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R1244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L5 이온화지질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US 10,221,127 (Acuitas)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화합물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2036-06-29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3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R1226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L4 캡 유사체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TriLink CleanCap 패밀리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화합물·방법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2036-09-20, 신규 PCT는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2040년대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3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R1284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3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R1148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L7 조작 효소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US 12,195,778 / US2025/0250551 (Moderna)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방법 →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효소 자체·조성물·키트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2038-08-17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3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R1239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3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R1240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L1 신항원 예측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KR 10-2729393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(Gritstone EDGE)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정보처리방법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2038-06-08 (한국 등록)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3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R1126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IP의 무게중심이 "물질"에서 "공정·효소"로 이동했다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236">
        <w:r>
          <w:rPr>
            <w:rFonts w:ascii="D2Coding" w:hAnsi="D2Coding" w:eastAsia="D2Coding"/>
            <w:color w:val="1D4ED8"/>
            <w:sz w:val="19"/>
          </w:rPr>
          <w:t xml:space="preserve">R1289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따라서 "LNP 특허 만료를 기다린다"는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전략은 부분적 해법에 불과하다 </w:t>
      </w:r>
      <w:r>
        <w:rPr>
          <w:sz w:val="19"/>
        </w:rPr>
        <w:t>[</w:t>
      </w:r>
      <w:hyperlink r:id="rId231">
        <w:r>
          <w:rPr>
            <w:rFonts w:ascii="D2Coding" w:hAnsi="D2Coding" w:eastAsia="D2Coding"/>
            <w:color w:val="1D4ED8"/>
            <w:sz w:val="19"/>
          </w:rPr>
          <w:t xml:space="preserve">R1284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4.2 FTO 판단 — 청구항 원문 기반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/>
          <w:color w:val="5C6570"/>
          <w:sz w:val="20"/>
        </w:rPr>
        <w:t>1차 경로 불가 사유 명시(규칙 1)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— 본 조사 환경에서 </w:t>
      </w:r>
      <w:r>
        <w:rPr>
          <w:rFonts w:ascii="D2Coding" w:hAnsi="D2Coding" w:eastAsia="D2Coding" w:cs="D2Coding"/>
          <w:color w:val="A32020"/>
          <w:sz w:val="19"/>
        </w:rPr>
        <w:t>patents.google.com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은 모든 요청에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HTTP 503, </w:t>
      </w:r>
      <w:r>
        <w:rPr>
          <w:rFonts w:ascii="D2Coding" w:hAnsi="D2Coding" w:eastAsia="D2Coding" w:cs="D2Coding"/>
          <w:color w:val="A32020"/>
          <w:sz w:val="19"/>
        </w:rPr>
        <w:t>worldwide.espacenet.com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은 403, </w:t>
      </w:r>
      <w:r>
        <w:rPr>
          <w:rFonts w:ascii="D2Coding" w:hAnsi="D2Coding" w:eastAsia="D2Coding" w:cs="D2Coding"/>
          <w:color w:val="A32020"/>
          <w:sz w:val="19"/>
        </w:rPr>
        <w:t>patents.justia.com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은 Cloudflare 차단을 반환했다.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대체 경로로 FreePatentsOnline 원문을 직접 내려받아 청구항을 확보했다 </w:t>
      </w:r>
      <w:r>
        <w:rPr>
          <w:sz w:val="18"/>
        </w:rPr>
        <w:t>[</w:t>
      </w:r>
      <w:hyperlink r:id="rId237">
        <w:r>
          <w:rPr>
            <w:rFonts w:ascii="D2Coding" w:hAnsi="D2Coding" w:eastAsia="D2Coding"/>
            <w:color w:val="1D4ED8"/>
            <w:sz w:val="18"/>
          </w:rPr>
          <w:t xml:space="preserve">R022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.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전문은 </w:t>
      </w:r>
      <w:r>
        <w:rPr>
          <w:rFonts w:ascii="D2Coding" w:hAnsi="D2Coding" w:eastAsia="D2Coding" w:cs="D2Coding"/>
          <w:color w:val="A32020"/>
          <w:sz w:val="19"/>
        </w:rPr>
        <w:t>out/raw/patent_claims.md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에 저장했다.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핵심 발견 — UPenn 계보는 전부 방법 청구항이다.</w:t>
      </w:r>
      <w:r>
        <w:rPr>
          <w:rFonts w:ascii="맑은 고딕" w:hAnsi="맑은 고딕" w:eastAsia="맑은 고딕" w:cs="맑은 고딕"/>
          <w:b w:val="0"/>
          <w:sz w:val="21"/>
        </w:rPr>
        <w:t xml:space="preserve"> US 8,278,036 청구항 1 원문은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*"A method for inducing a mammalian cell to produce a protein of interest comprising: contacting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said mammalian cell with in vitro-synthesized modified RNA … comprises the modified nucleoside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pseudouridine"* 로, </w:t>
      </w:r>
      <w:r>
        <w:rPr>
          <w:rFonts w:ascii="맑은 고딕" w:hAnsi="맑은 고딕" w:eastAsia="맑은 고딕" w:cs="맑은 고딕"/>
          <w:b/>
          <w:sz w:val="21"/>
        </w:rPr>
        <w:t>물질(조성물)이 아닌 사용방법</w:t>
      </w:r>
      <w:r>
        <w:rPr>
          <w:rFonts w:ascii="맑은 고딕" w:hAnsi="맑은 고딕" w:eastAsia="맑은 고딕" w:cs="맑은 고딕"/>
          <w:b w:val="0"/>
          <w:sz w:val="21"/>
        </w:rPr>
        <w:t xml:space="preserve"> 청구항이며 뉴클레오시드 삼인산 원료 자체를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청구하지 않는다 </w:t>
      </w:r>
      <w:r>
        <w:rPr>
          <w:sz w:val="19"/>
        </w:rPr>
        <w:t>[</w:t>
      </w:r>
      <w:hyperlink r:id="rId224">
        <w:r>
          <w:rPr>
            <w:rFonts w:ascii="D2Coding" w:hAnsi="D2Coding" w:eastAsia="D2Coding"/>
            <w:color w:val="1D4ED8"/>
            <w:sz w:val="19"/>
          </w:rPr>
          <w:t xml:space="preserve">R019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38">
        <w:r>
          <w:rPr>
            <w:rFonts w:ascii="D2Coding" w:hAnsi="D2Coding" w:eastAsia="D2Coding"/>
            <w:color w:val="1D4ED8"/>
            <w:sz w:val="19"/>
          </w:rPr>
          <w:t xml:space="preserve">R1100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US 11,389,547과 US 8,835,108도 동일하게 방법 청구항이다</w:t>
      </w:r>
    </w:p>
    <w:p>
      <w:pPr>
        <w:spacing w:after="120" w:line="324" w:lineRule="auto"/>
      </w:pPr>
      <w:r>
        <w:rPr>
          <w:sz w:val="19"/>
        </w:rPr>
        <w:t>[</w:t>
      </w:r>
      <w:hyperlink r:id="rId220">
        <w:r>
          <w:rPr>
            <w:rFonts w:ascii="D2Coding" w:hAnsi="D2Coding" w:eastAsia="D2Coding"/>
            <w:color w:val="1D4ED8"/>
            <w:sz w:val="19"/>
          </w:rPr>
          <w:t xml:space="preserve">R020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39">
        <w:r>
          <w:rPr>
            <w:rFonts w:ascii="D2Coding" w:hAnsi="D2Coding" w:eastAsia="D2Coding"/>
            <w:color w:val="1D4ED8"/>
            <w:sz w:val="19"/>
          </w:rPr>
          <w:t xml:space="preserve">R021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23">
        <w:r>
          <w:rPr>
            <w:rFonts w:ascii="D2Coding" w:hAnsi="D2Coding" w:eastAsia="D2Coding"/>
            <w:color w:val="1D4ED8"/>
            <w:sz w:val="19"/>
          </w:rPr>
          <w:t xml:space="preserve">R1105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이 구조가 사업모델별 FTO 결론을 가른다. 4개 대표 독립항(KR'393 = 정보처리방법, US'355 = 제조방법,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US'036 = 사용방법, US'574 cl.2 = 완제 LNP 조성물) 중 **뉴클레오시드 삼인산·효소·캡 등 원료 물질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자체를 포섭하는 독립항은 0개**였다 </w:t>
      </w:r>
      <w:r>
        <w:rPr>
          <w:sz w:val="19"/>
        </w:rPr>
        <w:t>[</w:t>
      </w:r>
      <w:hyperlink r:id="rId240">
        <w:r>
          <w:rPr>
            <w:rFonts w:ascii="D2Coding" w:hAnsi="D2Coding" w:eastAsia="D2Coding"/>
            <w:color w:val="1D4ED8"/>
            <w:sz w:val="19"/>
          </w:rPr>
          <w:t xml:space="preserve">R1155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나아가 분할침해(divided infringement) 법리상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US 10,738,355 청구항 1의 (a)–(e) 전 단계를 단일 주체가 지배해야 책임이 성립하므로, **단계 (e)의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IVT 원료만 공급하는 자는 all-elements rule상 직접침해가 성립하지 않는다** </w:t>
      </w:r>
      <w:r>
        <w:rPr>
          <w:sz w:val="19"/>
        </w:rPr>
        <w:t>[</w:t>
      </w:r>
      <w:hyperlink r:id="rId241">
        <w:r>
          <w:rPr>
            <w:rFonts w:ascii="D2Coding" w:hAnsi="D2Coding" w:eastAsia="D2Coding"/>
            <w:color w:val="1D4ED8"/>
            <w:sz w:val="19"/>
          </w:rPr>
          <w:t xml:space="preserve">R1154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사업모델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FTO 판정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차단 레이어와 근거 청구항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(a) GMP 원부자재 판매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제한적 가능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야생형 T7(1984 PNAS 공개로 공중영역) </w:t>
            </w:r>
            <w:r>
              <w:rPr>
                <w:sz w:val="15"/>
              </w:rPr>
              <w:t>[</w:t>
            </w:r>
            <w:hyperlink r:id="rId24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R1206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·기본 ARCA(US 7,074,596, 2023-06-20 만료) </w:t>
            </w:r>
            <w:r>
              <w:rPr>
                <w:sz w:val="15"/>
              </w:rPr>
              <w:t>[</w:t>
            </w:r>
            <w:hyperlink r:id="rId24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R1238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·표준 NTP는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개방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그러나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L4 캡 유사체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(TriLink, 2036~2040년대) </w:t>
            </w:r>
            <w:r>
              <w:rPr>
                <w:sz w:val="15"/>
              </w:rPr>
              <w:t>[</w:t>
            </w:r>
            <w:hyperlink r:id="rId23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R1148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L5 이온화지질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(Acuitas US 10,221,127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화합물 클레임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제조·판매·수입 자체가 침해) </w:t>
            </w:r>
            <w:r>
              <w:rPr>
                <w:sz w:val="15"/>
              </w:rPr>
              <w:t>[</w:t>
            </w:r>
            <w:hyperlink r:id="rId23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R1226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가 차단.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조작 T7 변이체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는 Moderna US2025/0250551이 효소 자체·조성물·키트까지 청구해 등록 시 효소 판매를 직접 차단 </w:t>
            </w:r>
            <w:r>
              <w:rPr>
                <w:sz w:val="15"/>
              </w:rPr>
              <w:t>[</w:t>
            </w:r>
            <w:hyperlink r:id="rId23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R1240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(b) mRNA CDMO 수탁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제한적~불가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CureVac(현 BioNTech) TFF 공정특허가 최대 장벽.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US 10,760,070 청구항 1은 "선형화 반응물의 TFF 정제 + 전사 + 전사물의 TFF 정제"만으로 성립하며 T7·완충액 한정조차 없다(2036-07-10) </w:t>
            </w:r>
            <w:r>
              <w:rPr>
                <w:sz w:val="15"/>
              </w:rPr>
              <w:t>[</w:t>
            </w:r>
            <w:hyperlink r:id="rId4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R1244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TFF를 쓰지 않는 mRNA 대량정제는 사실상 없어 회피 여지가 극히 좁다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sz w:val="15"/>
              </w:rPr>
              <w:t>[</w:t>
            </w:r>
            <w:hyperlink r:id="rId4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R1244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Moderna US 10,138,507(2034)에는 *"wherein the method does not comprise treating the composition with DNase"* 소극적 한정이 있어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DNase 단계를 넣으면 문언침해를 벗어난다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구체적 회피 좌표 </w:t>
            </w:r>
            <w:r>
              <w:rPr>
                <w:sz w:val="15"/>
              </w:rPr>
              <w:t>[</w:t>
            </w:r>
            <w:hyperlink r:id="rId22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R1241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(c) 자체 개인맞춤 제품 개발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2029년까지 불가, 이후 제한적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L5 LNP(Arbutus US 11,141,378, 2029-04-15)가 최대 장벽.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D2Coding" w:hAnsi="D2Coding" w:eastAsia="D2Coding" w:cs="D2Coding"/>
                <w:color w:val="A32020"/>
                <w:sz w:val="16"/>
              </w:rPr>
              <w:t>consisting essentially of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형식으로 RNA + 양성자화 가능 3차 아민 양이온지질 + 인지질/콜레스테롤 30~55 mol% + PEG-지질 0.1~2 mol%를 청구하고 종속항 12가 "wherein the RNA is an mRNA"를 명시해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사실상 모든 4성분 mRNA-LNP를 포섭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sz w:val="15"/>
              </w:rPr>
              <w:t>[</w:t>
            </w:r>
            <w:hyperlink r:id="rId22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R1216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추가로 L2 BioNTech/TRON US 10,738,355(2032-05-23)가 개인맞춤 제조 전공정을 포섭 </w:t>
            </w:r>
            <w:r>
              <w:rPr>
                <w:sz w:val="15"/>
              </w:rPr>
              <w:t>[</w:t>
            </w:r>
            <w:hyperlink r:id="rId22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R1137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4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R1139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전거 종합: </w:t>
      </w:r>
      <w:r>
        <w:rPr>
          <w:sz w:val="19"/>
        </w:rPr>
        <w:t>[</w:t>
      </w:r>
      <w:hyperlink r:id="rId245">
        <w:r>
          <w:rPr>
            <w:rFonts w:ascii="D2Coding" w:hAnsi="D2Coding" w:eastAsia="D2Coding"/>
            <w:color w:val="1D4ED8"/>
            <w:sz w:val="19"/>
          </w:rPr>
          <w:t xml:space="preserve">R1290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46">
        <w:r>
          <w:rPr>
            <w:rFonts w:ascii="D2Coding" w:hAnsi="D2Coding" w:eastAsia="D2Coding"/>
            <w:color w:val="1D4ED8"/>
            <w:sz w:val="19"/>
          </w:rPr>
          <w:t xml:space="preserve">R1272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47">
        <w:r>
          <w:rPr>
            <w:rFonts w:ascii="D2Coding" w:hAnsi="D2Coding" w:eastAsia="D2Coding"/>
            <w:color w:val="1D4ED8"/>
            <w:sz w:val="19"/>
          </w:rPr>
          <w:t xml:space="preserve">R1274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4.3 이 가격표가 FTO의 시장가다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Arbutus/Genevant v. Moderna(D.Del. 1:22-cv-00252)는 2026-03-04 </w:t>
      </w:r>
      <w:r>
        <w:rPr>
          <w:rFonts w:ascii="맑은 고딕" w:hAnsi="맑은 고딕" w:eastAsia="맑은 고딕" w:cs="맑은 고딕"/>
          <w:b/>
          <w:sz w:val="21"/>
        </w:rPr>
        <w:t>동의판결로 종결</w:t>
      </w:r>
      <w:r>
        <w:rPr>
          <w:rFonts w:ascii="맑은 고딕" w:hAnsi="맑은 고딕" w:eastAsia="맑은 고딕" w:cs="맑은 고딕"/>
          <w:b w:val="0"/>
          <w:sz w:val="21"/>
        </w:rPr>
        <w:t>되었고,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Counts 2·4·5·6에 대해 </w:t>
      </w:r>
      <w:r>
        <w:rPr>
          <w:rFonts w:ascii="맑은 고딕" w:hAnsi="맑은 고딕" w:eastAsia="맑은 고딕" w:cs="맑은 고딕"/>
          <w:b/>
          <w:sz w:val="21"/>
        </w:rPr>
        <w:t>"침해 인정" 및 "무효 아님"</w:t>
      </w:r>
      <w:r>
        <w:rPr>
          <w:rFonts w:ascii="맑은 고딕" w:hAnsi="맑은 고딕" w:eastAsia="맑은 고딕" w:cs="맑은 고딕"/>
          <w:b w:val="0"/>
          <w:sz w:val="21"/>
        </w:rPr>
        <w:t xml:space="preserve"> 이 등록되었다 </w:t>
      </w:r>
      <w:r>
        <w:rPr>
          <w:sz w:val="19"/>
        </w:rPr>
        <w:t>[</w:t>
      </w:r>
      <w:hyperlink r:id="rId248">
        <w:r>
          <w:rPr>
            <w:rFonts w:ascii="D2Coding" w:hAnsi="D2Coding" w:eastAsia="D2Coding"/>
            <w:color w:val="1D4ED8"/>
            <w:sz w:val="19"/>
          </w:rPr>
          <w:t xml:space="preserve">R1217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Moderna는 2026-07-08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9억 5,000만 달러 무조건 일시금을 실제 지급</w:t>
      </w:r>
      <w:r>
        <w:rPr>
          <w:rFonts w:ascii="맑은 고딕" w:hAnsi="맑은 고딕" w:eastAsia="맑은 고딕" w:cs="맑은 고딕"/>
          <w:b w:val="0"/>
          <w:sz w:val="21"/>
        </w:rPr>
        <w:t>했고, §1498 항소 결과에 따라 최대 13억 달러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조건부 추가금을 부담한다(</w:t>
      </w:r>
      <w:r>
        <w:rPr>
          <w:rFonts w:ascii="맑은 고딕" w:hAnsi="맑은 고딕" w:eastAsia="맑은 고딕" w:cs="맑은 고딕"/>
          <w:b/>
          <w:sz w:val="21"/>
        </w:rPr>
        <w:t>총 최대 22억 5,000만 달러</w:t>
      </w:r>
      <w:r>
        <w:rPr>
          <w:rFonts w:ascii="맑은 고딕" w:hAnsi="맑은 고딕" w:eastAsia="맑은 고딕" w:cs="맑은 고딕"/>
          <w:b w:val="0"/>
          <w:sz w:val="21"/>
        </w:rPr>
        <w:t xml:space="preserve">) </w:t>
      </w:r>
      <w:r>
        <w:rPr>
          <w:sz w:val="19"/>
        </w:rPr>
        <w:t>[</w:t>
      </w:r>
      <w:hyperlink r:id="rId249">
        <w:r>
          <w:rPr>
            <w:rFonts w:ascii="D2Coding" w:hAnsi="D2Coding" w:eastAsia="D2Coding"/>
            <w:color w:val="1D4ED8"/>
            <w:sz w:val="19"/>
          </w:rPr>
          <w:t xml:space="preserve">R1218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50">
        <w:r>
          <w:rPr>
            <w:rFonts w:ascii="D2Coding" w:hAnsi="D2Coding" w:eastAsia="D2Coding"/>
            <w:color w:val="1D4ED8"/>
            <w:sz w:val="19"/>
          </w:rPr>
          <w:t xml:space="preserve">R1223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이것이 현재 시장이 매긴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LNP FTO의 가격</w:t>
      </w:r>
      <w:r>
        <w:rPr>
          <w:rFonts w:ascii="맑은 고딕" w:hAnsi="맑은 고딕" w:eastAsia="맑은 고딕" w:cs="맑은 고딕"/>
          <w:b w:val="0"/>
          <w:sz w:val="21"/>
        </w:rPr>
        <w:t>이다.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Merck는 2026년 5월 Arbutus와 별도 합의를 맺어 "Moderna와 Merck가 공동개발 중인 백신"이 Moderna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합의 보호범위에 포함됨을 확인받았다 — 해당 백신은 </w:t>
      </w:r>
      <w:r>
        <w:rPr>
          <w:rFonts w:ascii="맑은 고딕" w:hAnsi="맑은 고딕" w:eastAsia="맑은 고딕" w:cs="맑은 고딕"/>
          <w:b/>
          <w:sz w:val="21"/>
        </w:rPr>
        <w:t>intismeran autogene이 유일</w:t>
      </w:r>
      <w:r>
        <w:rPr>
          <w:rFonts w:ascii="맑은 고딕" w:hAnsi="맑은 고딕" w:eastAsia="맑은 고딕" w:cs="맑은 고딕"/>
          <w:b w:val="0"/>
          <w:sz w:val="21"/>
        </w:rPr>
        <w:t xml:space="preserve">하다 </w:t>
      </w:r>
      <w:r>
        <w:rPr>
          <w:sz w:val="19"/>
        </w:rPr>
        <w:t>[</w:t>
      </w:r>
      <w:hyperlink r:id="rId251">
        <w:r>
          <w:rPr>
            <w:rFonts w:ascii="D2Coding" w:hAnsi="D2Coding" w:eastAsia="D2Coding"/>
            <w:color w:val="1D4ED8"/>
            <w:sz w:val="19"/>
          </w:rPr>
          <w:t xml:space="preserve">R1264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즉 이 자산의 LNP FTO는 이미 유상으로 해결되었다.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4.4 대칭적으로 볼 것 — 특허는 자주 무너진다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>미국 PTAB은 2025-03-05 Moderna의 US 10,933,127 및 US 10,702,600의 **다투어진 모든 청구항을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특허성 없음**으로 판단했다 </w:t>
      </w:r>
      <w:r>
        <w:rPr>
          <w:sz w:val="19"/>
        </w:rPr>
        <w:t>[</w:t>
      </w:r>
      <w:hyperlink r:id="rId252">
        <w:r>
          <w:rPr>
            <w:rFonts w:ascii="D2Coding" w:hAnsi="D2Coding" w:eastAsia="D2Coding"/>
            <w:color w:val="1D4ED8"/>
            <w:sz w:val="19"/>
          </w:rPr>
          <w:t xml:space="preserve">R1120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53">
        <w:r>
          <w:rPr>
            <w:rFonts w:ascii="D2Coding" w:hAnsi="D2Coding" w:eastAsia="D2Coding"/>
            <w:color w:val="1D4ED8"/>
            <w:sz w:val="19"/>
          </w:rPr>
          <w:t xml:space="preserve">R1256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 xml:space="preserve">EPO 기술심판부는 2026-01-27 Moderna </w:t>
      </w:r>
      <w:r>
        <w:rPr>
          <w:rFonts w:ascii="맑은 고딕" w:hAnsi="맑은 고딕" w:eastAsia="맑은 고딕" w:cs="맑은 고딕"/>
          <w:b/>
          <w:sz w:val="21"/>
        </w:rPr>
        <w:t>EP 3 718 565 B1의 취소를 최종 확정</w:t>
      </w:r>
      <w:r>
        <w:rPr>
          <w:rFonts w:ascii="맑은 고딕" w:hAnsi="맑은 고딕" w:eastAsia="맑은 고딕" w:cs="맑은 고딕"/>
          <w:b w:val="0"/>
          <w:sz w:val="21"/>
        </w:rPr>
        <w:t xml:space="preserve">했다 </w:t>
      </w:r>
      <w:r>
        <w:rPr>
          <w:sz w:val="19"/>
        </w:rPr>
        <w:t>[</w:t>
      </w:r>
      <w:hyperlink r:id="rId254">
        <w:r>
          <w:rPr>
            <w:rFonts w:ascii="D2Coding" w:hAnsi="D2Coding" w:eastAsia="D2Coding"/>
            <w:color w:val="1D4ED8"/>
            <w:sz w:val="19"/>
          </w:rPr>
          <w:t xml:space="preserve">R1122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동일 기술의 FTO 결론이 지역에 따라 정반대다.</w:t>
      </w:r>
      <w:r>
        <w:rPr>
          <w:rFonts w:ascii="맑은 고딕" w:hAnsi="맑은 고딕" w:eastAsia="맑은 고딕" w:cs="맑은 고딕"/>
          <w:b w:val="0"/>
          <w:sz w:val="21"/>
        </w:rPr>
        <w:t xml:space="preserve"> 미국에서 9.5억 달러를 이끌어낸 Arbutus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기술이 유럽에서는 EP 2 279 254가 2026-01-15 </w:t>
      </w:r>
      <w:r>
        <w:rPr>
          <w:rFonts w:ascii="맑은 고딕" w:hAnsi="맑은 고딕" w:eastAsia="맑은 고딕" w:cs="맑은 고딕"/>
          <w:b/>
          <w:sz w:val="21"/>
        </w:rPr>
        <w:t>전부 취소</w:t>
      </w:r>
      <w:r>
        <w:rPr>
          <w:rFonts w:ascii="맑은 고딕" w:hAnsi="맑은 고딕" w:eastAsia="맑은 고딕" w:cs="맑은 고딕"/>
          <w:b w:val="0"/>
          <w:sz w:val="21"/>
        </w:rPr>
        <w:t>되었고, 사유는 미국법에 없는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added matter(신규사항 추가)</w:t>
      </w:r>
      <w:r>
        <w:rPr>
          <w:rFonts w:ascii="맑은 고딕" w:hAnsi="맑은 고딕" w:eastAsia="맑은 고딕" w:cs="맑은 고딕"/>
          <w:b w:val="0"/>
          <w:sz w:val="21"/>
        </w:rPr>
        <w:t xml:space="preserve"> 기준이었다 </w:t>
      </w:r>
      <w:r>
        <w:rPr>
          <w:sz w:val="19"/>
        </w:rPr>
        <w:t>[</w:t>
      </w:r>
      <w:hyperlink r:id="rId255">
        <w:r>
          <w:rPr>
            <w:rFonts w:ascii="D2Coding" w:hAnsi="D2Coding" w:eastAsia="D2Coding"/>
            <w:color w:val="1D4ED8"/>
            <w:sz w:val="19"/>
          </w:rPr>
          <w:t xml:space="preserve">R1222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56">
        <w:r>
          <w:rPr>
            <w:rFonts w:ascii="D2Coding" w:hAnsi="D2Coding" w:eastAsia="D2Coding"/>
            <w:color w:val="1D4ED8"/>
            <w:sz w:val="19"/>
          </w:rPr>
          <w:t xml:space="preserve">R1275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 xml:space="preserve">CureVac EP 1 857 122 B1은 독일 연방특허법원이 2023-12-19 무효로 선고했다 </w:t>
      </w:r>
      <w:r>
        <w:rPr>
          <w:sz w:val="19"/>
        </w:rPr>
        <w:t>[</w:t>
      </w:r>
      <w:hyperlink r:id="rId257">
        <w:r>
          <w:rPr>
            <w:rFonts w:ascii="D2Coding" w:hAnsi="D2Coding" w:eastAsia="D2Coding"/>
            <w:color w:val="1D4ED8"/>
            <w:sz w:val="19"/>
          </w:rPr>
          <w:t xml:space="preserve">R1147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58">
        <w:r>
          <w:rPr>
            <w:rFonts w:ascii="D2Coding" w:hAnsi="D2Coding" w:eastAsia="D2Coding"/>
            <w:color w:val="1D4ED8"/>
            <w:sz w:val="19"/>
          </w:rPr>
          <w:t xml:space="preserve">R1261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BioNTech이 CureVac을 </w:t>
      </w:r>
      <w:r>
        <w:rPr>
          <w:rFonts w:ascii="맑은 고딕" w:hAnsi="맑은 고딕" w:eastAsia="맑은 고딕" w:cs="맑은 고딕"/>
          <w:b/>
          <w:sz w:val="21"/>
        </w:rPr>
        <w:t>€400.1M</w:t>
      </w:r>
      <w:r>
        <w:rPr>
          <w:rFonts w:ascii="맑은 고딕" w:hAnsi="맑은 고딕" w:eastAsia="맑은 고딕" w:cs="맑은 고딕"/>
          <w:b w:val="0"/>
          <w:sz w:val="21"/>
        </w:rPr>
        <w:t xml:space="preserve">이라는 낮은 가격에 인수할 수 있었던 배경이다 </w:t>
      </w:r>
      <w:r>
        <w:rPr>
          <w:sz w:val="19"/>
        </w:rPr>
        <w:t>[</w:t>
      </w:r>
      <w:hyperlink r:id="rId259">
        <w:r>
          <w:rPr>
            <w:rFonts w:ascii="D2Coding" w:hAnsi="D2Coding" w:eastAsia="D2Coding"/>
            <w:color w:val="1D4ED8"/>
            <w:sz w:val="19"/>
          </w:rPr>
          <w:t xml:space="preserve">R1259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특허번호와 만료일만 보고 FTO를 판단하면 오판한다.</w:t>
      </w:r>
      <w:r>
        <w:rPr>
          <w:rFonts w:ascii="맑은 고딕" w:hAnsi="맑은 고딕" w:eastAsia="맑은 고딕" w:cs="맑은 고딕"/>
          <w:b w:val="0"/>
          <w:sz w:val="21"/>
        </w:rPr>
        <w:t xml:space="preserve"> CureVac US 10,080,809의 명목 만료일은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2033-03-27이나 실제 법적상태는 </w:t>
      </w:r>
      <w:r>
        <w:rPr>
          <w:rFonts w:ascii="맑은 고딕" w:hAnsi="맑은 고딕" w:eastAsia="맑은 고딕" w:cs="맑은 고딕"/>
          <w:b/>
          <w:sz w:val="21"/>
        </w:rPr>
        <w:t>"Expired – Fee Related"</w:t>
      </w:r>
      <w:r>
        <w:rPr>
          <w:rFonts w:ascii="맑은 고딕" w:hAnsi="맑은 고딕" w:eastAsia="맑은 고딕" w:cs="맑은 고딕"/>
          <w:b w:val="0"/>
          <w:sz w:val="21"/>
        </w:rPr>
        <w:t xml:space="preserve"> 로 유지료 미납 소멸이다 </w:t>
      </w:r>
      <w:r>
        <w:rPr>
          <w:sz w:val="19"/>
        </w:rPr>
        <w:t>[</w:t>
      </w:r>
      <w:hyperlink r:id="rId260">
        <w:r>
          <w:rPr>
            <w:rFonts w:ascii="D2Coding" w:hAnsi="D2Coding" w:eastAsia="D2Coding"/>
            <w:color w:val="1D4ED8"/>
            <w:sz w:val="19"/>
          </w:rPr>
          <w:t xml:space="preserve">R1140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4.5 한국 특유의 역설과 국내 기업 IP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가장 중요한 한국 관련 발견</w:t>
      </w:r>
      <w:r>
        <w:rPr>
          <w:rFonts w:ascii="맑은 고딕" w:hAnsi="맑은 고딕" w:eastAsia="맑은 고딕" w:cs="맑은 고딕"/>
          <w:b w:val="0"/>
          <w:sz w:val="21"/>
        </w:rPr>
        <w:t xml:space="preserve"> — Gritstone EDGE 신항원 예측 특허는 **한국에 KR 10-2729393 B1로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2024-11-13 등록되어 2038-06-08까지 유효한 반면, 미국 대응출원은 아직 미등록(Pending)** 이다</w:t>
      </w:r>
    </w:p>
    <w:p>
      <w:pPr>
        <w:spacing w:after="120" w:line="324" w:lineRule="auto"/>
      </w:pPr>
      <w:r>
        <w:rPr>
          <w:sz w:val="19"/>
        </w:rPr>
        <w:t>[</w:t>
      </w:r>
      <w:hyperlink r:id="rId235">
        <w:r>
          <w:rPr>
            <w:rFonts w:ascii="D2Coding" w:hAnsi="D2Coding" w:eastAsia="D2Coding"/>
            <w:color w:val="1D4ED8"/>
            <w:sz w:val="19"/>
          </w:rPr>
          <w:t xml:space="preserve">R1126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61">
        <w:r>
          <w:rPr>
            <w:rFonts w:ascii="D2Coding" w:hAnsi="D2Coding" w:eastAsia="D2Coding"/>
            <w:color w:val="1D4ED8"/>
            <w:sz w:val="19"/>
          </w:rPr>
          <w:t xml:space="preserve">R1129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</w:t>
      </w:r>
      <w:r>
        <w:rPr>
          <w:rFonts w:ascii="맑은 고딕" w:hAnsi="맑은 고딕" w:eastAsia="맑은 고딕" w:cs="맑은 고딕"/>
          <w:b/>
          <w:sz w:val="21"/>
        </w:rPr>
        <w:t>한국 내 실시가 미국보다 오히려 위험한 역설 구조</w:t>
      </w:r>
      <w:r>
        <w:rPr>
          <w:rFonts w:ascii="맑은 고딕" w:hAnsi="맑은 고딕" w:eastAsia="맑은 고딕" w:cs="맑은 고딕"/>
          <w:b w:val="0"/>
          <w:sz w:val="21"/>
        </w:rPr>
        <w:t>다. 회피 포인트는 청구항 1의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*"wherein the likelihoods are identified based at least on received mass spectrometry data"*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한정으로, 질량분석 데이터로 학습·추론하지 않는 예측기를 쓰면 문언침해를 벗어날 여지가 있다</w:t>
      </w:r>
    </w:p>
    <w:p>
      <w:pPr>
        <w:spacing w:after="120" w:line="324" w:lineRule="auto"/>
      </w:pPr>
      <w:r>
        <w:rPr>
          <w:sz w:val="19"/>
        </w:rPr>
        <w:t>[</w:t>
      </w:r>
      <w:hyperlink r:id="rId262">
        <w:r>
          <w:rPr>
            <w:rFonts w:ascii="D2Coding" w:hAnsi="D2Coding" w:eastAsia="D2Coding"/>
            <w:color w:val="1D4ED8"/>
            <w:sz w:val="19"/>
          </w:rPr>
          <w:t xml:space="preserve">R1127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이 권리는 2025-10-16 Seattle Project Corp로 이전되었고, 신규 권리자의 NPE적 행태 여부가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Layer 1 리스크의 주요 변수다 </w:t>
      </w:r>
      <w:r>
        <w:rPr>
          <w:sz w:val="19"/>
        </w:rPr>
        <w:t>[</w:t>
      </w:r>
      <w:hyperlink r:id="rId263">
        <w:r>
          <w:rPr>
            <w:rFonts w:ascii="D2Coding" w:hAnsi="D2Coding" w:eastAsia="D2Coding"/>
            <w:color w:val="1D4ED8"/>
            <w:sz w:val="19"/>
          </w:rPr>
          <w:t xml:space="preserve">R1130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반대로 한국 FTO 호재도 있다 — CureVac의 대표 5'TOP UTR 특허 한국 출원은 </w:t>
      </w:r>
      <w:r>
        <w:rPr>
          <w:rFonts w:ascii="맑은 고딕" w:hAnsi="맑은 고딕" w:eastAsia="맑은 고딕" w:cs="맑은 고딕"/>
          <w:b/>
          <w:sz w:val="21"/>
        </w:rPr>
        <w:t>"포기(Abandoned)"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상태로 한국에 권리가 존재하지 않는다(미국·유럽·중국·일본은 등록) </w:t>
      </w:r>
      <w:r>
        <w:rPr>
          <w:sz w:val="19"/>
        </w:rPr>
        <w:t>[</w:t>
      </w:r>
      <w:hyperlink r:id="rId264">
        <w:r>
          <w:rPr>
            <w:rFonts w:ascii="D2Coding" w:hAnsi="D2Coding" w:eastAsia="D2Coding"/>
            <w:color w:val="1D4ED8"/>
            <w:sz w:val="19"/>
          </w:rPr>
          <w:t xml:space="preserve">R1141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65">
        <w:r>
          <w:rPr>
            <w:rFonts w:ascii="D2Coding" w:hAnsi="D2Coding" w:eastAsia="D2Coding"/>
            <w:color w:val="1D4ED8"/>
            <w:sz w:val="19"/>
          </w:rPr>
          <w:t xml:space="preserve">R1142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"국내는 특허가 없다"는 가정은 성립하지 않는다.</w:t>
      </w:r>
      <w:r>
        <w:rPr>
          <w:rFonts w:ascii="맑은 고딕" w:hAnsi="맑은 고딕" w:eastAsia="맑은 고딕" w:cs="맑은 고딕"/>
          <w:b w:val="0"/>
          <w:sz w:val="21"/>
        </w:rPr>
        <w:t xml:space="preserve"> Arbutus LNP 패밀리에는 KR101397407B1·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KR101184928B1이, TriLink CleanCap 패밀리에는 KR20230032999A 외 다수가 포함되어 있고, Replicate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Bioscience는 saRNA 특허 17건 중 7건 이상을 한국에 출원했다 </w:t>
      </w:r>
      <w:r>
        <w:rPr>
          <w:sz w:val="19"/>
        </w:rPr>
        <w:t>[</w:t>
      </w:r>
      <w:hyperlink r:id="rId266">
        <w:r>
          <w:rPr>
            <w:rFonts w:ascii="D2Coding" w:hAnsi="D2Coding" w:eastAsia="D2Coding"/>
            <w:color w:val="1D4ED8"/>
            <w:sz w:val="19"/>
          </w:rPr>
          <w:t xml:space="preserve">R1281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67">
        <w:r>
          <w:rPr>
            <w:rFonts w:ascii="D2Coding" w:hAnsi="D2Coding" w:eastAsia="D2Coding"/>
            <w:color w:val="1D4ED8"/>
            <w:sz w:val="19"/>
          </w:rPr>
          <w:t xml:space="preserve">R1211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68">
        <w:r>
          <w:rPr>
            <w:rFonts w:ascii="D2Coding" w:hAnsi="D2Coding" w:eastAsia="D2Coding"/>
            <w:color w:val="1D4ED8"/>
            <w:sz w:val="19"/>
          </w:rPr>
          <w:t xml:space="preserve">R1235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속지주의만 믿어서도 안 된다. 미국 특허법 </w:t>
      </w:r>
      <w:r>
        <w:rPr>
          <w:rFonts w:ascii="맑은 고딕" w:hAnsi="맑은 고딕" w:eastAsia="맑은 고딕" w:cs="맑은 고딕"/>
          <w:b/>
          <w:sz w:val="21"/>
        </w:rPr>
        <w:t>§271(g)</w:t>
      </w:r>
      <w:r>
        <w:rPr>
          <w:rFonts w:ascii="맑은 고딕" w:hAnsi="맑은 고딕" w:eastAsia="맑은 고딕" w:cs="맑은 고딕"/>
          <w:b w:val="0"/>
          <w:sz w:val="21"/>
        </w:rPr>
        <w:t xml:space="preserve"> 에 따라 특허공정으로 제조된 산물의 미국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수입도 침해가 되므로, 한국 내 제조라 하더라도 CureVac TFF 공정특허·Moderna 제조특허는 **대미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공급 시 그대로 적용된다** </w:t>
      </w:r>
      <w:r>
        <w:rPr>
          <w:sz w:val="19"/>
        </w:rPr>
        <w:t>[</w:t>
      </w:r>
      <w:hyperlink r:id="rId246">
        <w:r>
          <w:rPr>
            <w:rFonts w:ascii="D2Coding" w:hAnsi="D2Coding" w:eastAsia="D2Coding"/>
            <w:color w:val="1D4ED8"/>
            <w:sz w:val="19"/>
          </w:rPr>
          <w:t xml:space="preserve">R1272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다만 US 8,278,036 청구항 1은 "RNA 제조방법"이 아니라 "세포 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단백질 생산 방법"이어서 271(g) 적용이 다투어질 수 있다 </w:t>
      </w:r>
      <w:r>
        <w:rPr>
          <w:sz w:val="19"/>
        </w:rPr>
        <w:t>[</w:t>
      </w:r>
      <w:hyperlink r:id="rId269">
        <w:r>
          <w:rPr>
            <w:rFonts w:ascii="D2Coding" w:hAnsi="D2Coding" w:eastAsia="D2Coding"/>
            <w:color w:val="1D4ED8"/>
            <w:sz w:val="19"/>
          </w:rPr>
          <w:t xml:space="preserve">R1151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국내 기업 IP는 핵심 레이어에 얇다. ST팜 SmartCap(KR102366490B1, 2041 만료)은 CleanCap의 2'-OMe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자리를 할로겐 또는 LNA로 치환한 회피설계인데 </w:t>
      </w:r>
      <w:r>
        <w:rPr>
          <w:sz w:val="19"/>
        </w:rPr>
        <w:t>[</w:t>
      </w:r>
      <w:hyperlink r:id="rId270">
        <w:r>
          <w:rPr>
            <w:rFonts w:ascii="D2Coding" w:hAnsi="D2Coding" w:eastAsia="D2Coding"/>
            <w:color w:val="1D4ED8"/>
            <w:sz w:val="19"/>
          </w:rPr>
          <w:t xml:space="preserve">R1203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**TriLink가 2015년 우선일로 LNA 함유 캡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프라이머를 US 11,414,453에 선점**해 두어 LNA 구현예의 미국 실시에는 라이선스가 필요할 수 있다</w:t>
      </w:r>
    </w:p>
    <w:p>
      <w:pPr>
        <w:spacing w:after="120" w:line="324" w:lineRule="auto"/>
      </w:pPr>
      <w:r>
        <w:rPr>
          <w:sz w:val="19"/>
        </w:rPr>
        <w:t>[</w:t>
      </w:r>
      <w:hyperlink r:id="rId271">
        <w:r>
          <w:rPr>
            <w:rFonts w:ascii="D2Coding" w:hAnsi="D2Coding" w:eastAsia="D2Coding"/>
            <w:color w:val="1D4ED8"/>
            <w:sz w:val="19"/>
          </w:rPr>
          <w:t xml:space="preserve">R1204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72">
        <w:r>
          <w:rPr>
            <w:rFonts w:ascii="D2Coding" w:hAnsi="D2Coding" w:eastAsia="D2Coding"/>
            <w:color w:val="1D4ED8"/>
            <w:sz w:val="19"/>
          </w:rPr>
          <w:t xml:space="preserve">R1277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등록특허 보유가 FTO를 보장하지 않는다는 대표 사례다.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마지막으로, </w:t>
      </w:r>
      <w:r>
        <w:rPr>
          <w:rFonts w:ascii="맑은 고딕" w:hAnsi="맑은 고딕" w:eastAsia="맑은 고딕" w:cs="맑은 고딕"/>
          <w:b/>
          <w:sz w:val="21"/>
        </w:rPr>
        <w:t>특허 만료가 진입 자유를 의미하지 않는다</w:t>
      </w:r>
      <w:r>
        <w:rPr>
          <w:rFonts w:ascii="맑은 고딕" w:hAnsi="맑은 고딕" w:eastAsia="맑은 고딕" w:cs="맑은 고딕"/>
          <w:b w:val="0"/>
          <w:sz w:val="21"/>
        </w:rPr>
        <w:t>. BioNTech은 mRNA 제조기술의 상당 부분을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특허가 아닌 </w:t>
      </w:r>
      <w:r>
        <w:rPr>
          <w:rFonts w:ascii="맑은 고딕" w:hAnsi="맑은 고딕" w:eastAsia="맑은 고딕" w:cs="맑은 고딕"/>
          <w:b/>
          <w:sz w:val="21"/>
        </w:rPr>
        <w:t>영업비밀</w:t>
      </w:r>
      <w:r>
        <w:rPr>
          <w:rFonts w:ascii="맑은 고딕" w:hAnsi="맑은 고딕" w:eastAsia="맑은 고딕" w:cs="맑은 고딕"/>
          <w:b w:val="0"/>
          <w:sz w:val="21"/>
        </w:rPr>
        <w:t>로 보호한다고 공시했으며, 수율·순도·dsRNA 제거 공정 노하우 격차는 특허와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무관하게 남는다 </w:t>
      </w:r>
      <w:r>
        <w:rPr>
          <w:sz w:val="19"/>
        </w:rPr>
        <w:t>[</w:t>
      </w:r>
      <w:hyperlink r:id="rId273">
        <w:r>
          <w:rPr>
            <w:rFonts w:ascii="D2Coding" w:hAnsi="D2Coding" w:eastAsia="D2Coding"/>
            <w:color w:val="1D4ED8"/>
            <w:sz w:val="19"/>
          </w:rPr>
          <w:t xml:space="preserve">R1144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Bdr>
          <w:bottom w:val="single" w:sz="6" w:color="DFE3E8"/>
        </w:pBdr>
      </w:pPr>
    </w:p>
    <w:p>
      <w:pPr>
        <w:keepNext/>
        <w:spacing w:before="280" w:after="80"/>
        <w:pBdr>
          <w:bottom w:val="single" w:sz="4" w:color="DFE3E8"/>
        </w:pBdr>
      </w:pPr>
      <w:r>
        <w:rPr>
          <w:rFonts w:ascii="맑은 고딕" w:hAnsi="맑은 고딕" w:eastAsia="맑은 고딕" w:cs="맑은 고딕"/>
          <w:b/>
          <w:color w:val="1D4ED8"/>
          <w:sz w:val="29"/>
        </w:rPr>
        <w:t>M5. 시장 · 경제성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5.1 상향식 환자 퍼널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적응증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미국+EU5+일본+한국 연간 대상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한국 단독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근거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흑색종 IIB–IIID 절제 후 보조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14,809명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약 69명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7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R1038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7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R1039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NSCLC 절제 후 보조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60,980명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약 3,245명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7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R1040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7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R1071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ctDNA+ 대장암 보조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71,150명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약 3,514명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7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R1041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7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R1071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총발생 205만명 대비 실제 처방 가능 인구는 </w:t>
      </w:r>
      <w:r>
        <w:rPr>
          <w:rFonts w:ascii="맑은 고딕" w:hAnsi="맑은 고딕" w:eastAsia="맑은 고딕" w:cs="맑은 고딕"/>
          <w:b/>
          <w:sz w:val="21"/>
        </w:rPr>
        <w:t>20–30배 축소</w:t>
      </w:r>
      <w:r>
        <w:rPr>
          <w:rFonts w:ascii="맑은 고딕" w:hAnsi="맑은 고딕" w:eastAsia="맑은 고딕" w:cs="맑은 고딕"/>
          <w:b w:val="0"/>
          <w:sz w:val="21"/>
        </w:rPr>
        <w:t xml:space="preserve">된다 </w:t>
      </w:r>
      <w:r>
        <w:rPr>
          <w:sz w:val="19"/>
        </w:rPr>
        <w:t>[</w:t>
      </w:r>
      <w:hyperlink r:id="rId279">
        <w:r>
          <w:rPr>
            <w:rFonts w:ascii="D2Coding" w:hAnsi="D2Coding" w:eastAsia="D2Coding"/>
            <w:color w:val="1D4ED8"/>
            <w:sz w:val="19"/>
          </w:rPr>
          <w:t xml:space="preserve">R1069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지역 비대칭이 결정적이다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— GLOBOCAN 2024 기준 흑색종 신규환자는 미국 99,144명·EU5 83,096명인 반면 **일본 1,949명·한국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860명**으로, 선도 적응증이 한국·일본에서는 사실상 시장이 존재하지 않는다 </w:t>
      </w:r>
      <w:r>
        <w:rPr>
          <w:sz w:val="19"/>
        </w:rPr>
        <w:t>[</w:t>
      </w:r>
      <w:hyperlink r:id="rId280">
        <w:r>
          <w:rPr>
            <w:rFonts w:ascii="D2Coding" w:hAnsi="D2Coding" w:eastAsia="D2Coding"/>
            <w:color w:val="1D4ED8"/>
            <w:sz w:val="19"/>
          </w:rPr>
          <w:t xml:space="preserve">R1000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81">
        <w:r>
          <w:rPr>
            <w:rFonts w:ascii="D2Coding" w:hAnsi="D2Coding" w:eastAsia="D2Coding"/>
            <w:color w:val="1D4ED8"/>
            <w:sz w:val="19"/>
          </w:rPr>
          <w:t xml:space="preserve">R1001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**국내에서 의미 있는 규모를 갖는 적응증은 NSCLC와 대장암뿐이며, 흑색종 기반 국내 사업 논리는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성립하지 않는다** </w:t>
      </w:r>
      <w:r>
        <w:rPr>
          <w:sz w:val="19"/>
        </w:rPr>
        <w:t>[</w:t>
      </w:r>
      <w:hyperlink r:id="rId275">
        <w:r>
          <w:rPr>
            <w:rFonts w:ascii="D2Coding" w:hAnsi="D2Coding" w:eastAsia="D2Coding"/>
            <w:color w:val="1D4ED8"/>
            <w:sz w:val="19"/>
          </w:rPr>
          <w:t xml:space="preserve">R1039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매출 구조도 한쪽에 쏠린다. 기본 시나리오(코스 20만 달러·침투 30%)에서 흑색종 8.9억 + NSCLC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36.6억 = </w:t>
      </w:r>
      <w:r>
        <w:rPr>
          <w:rFonts w:ascii="맑은 고딕" w:hAnsi="맑은 고딕" w:eastAsia="맑은 고딕" w:cs="맑은 고딕"/>
          <w:b/>
          <w:sz w:val="21"/>
        </w:rPr>
        <w:t>45.5억 달러</w:t>
      </w:r>
      <w:r>
        <w:rPr>
          <w:rFonts w:ascii="맑은 고딕" w:hAnsi="맑은 고딕" w:eastAsia="맑은 고딕" w:cs="맑은 고딕"/>
          <w:b w:val="0"/>
          <w:sz w:val="21"/>
        </w:rPr>
        <w:t xml:space="preserve">로, </w:t>
      </w:r>
      <w:r>
        <w:rPr>
          <w:rFonts w:ascii="맑은 고딕" w:hAnsi="맑은 고딕" w:eastAsia="맑은 고딕" w:cs="맑은 고딕"/>
          <w:b/>
          <w:sz w:val="21"/>
        </w:rPr>
        <w:t>매출의 80%가 NSCLC에서 나온다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282">
        <w:r>
          <w:rPr>
            <w:rFonts w:ascii="D2Coding" w:hAnsi="D2Coding" w:eastAsia="D2Coding"/>
            <w:color w:val="1D4ED8"/>
            <w:sz w:val="19"/>
          </w:rPr>
          <w:t xml:space="preserve">R1042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즉 INTerpath-002/009의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성패가 사업가치를 결정하며, 그 확증 근거는 2030년대에 걸쳐 나온다 </w:t>
      </w:r>
      <w:r>
        <w:rPr>
          <w:sz w:val="19"/>
        </w:rPr>
        <w:t>[</w:t>
      </w:r>
      <w:hyperlink r:id="rId46">
        <w:r>
          <w:rPr>
            <w:rFonts w:ascii="D2Coding" w:hAnsi="D2Coding" w:eastAsia="D2Coding"/>
            <w:color w:val="1D4ED8"/>
            <w:sz w:val="19"/>
          </w:rPr>
          <w:t xml:space="preserve">R1017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83">
        <w:r>
          <w:rPr>
            <w:rFonts w:ascii="D2Coding" w:hAnsi="D2Coding" w:eastAsia="D2Coding"/>
            <w:color w:val="1D4ED8"/>
            <w:sz w:val="19"/>
          </w:rPr>
          <w:t xml:space="preserve">R1018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84">
        <w:r>
          <w:rPr>
            <w:rFonts w:ascii="D2Coding" w:hAnsi="D2Coding" w:eastAsia="D2Coding"/>
            <w:color w:val="1D4ED8"/>
            <w:sz w:val="19"/>
          </w:rPr>
          <w:t xml:space="preserve">R1088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5.2 급여의 산술적 붕괴점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이것이 M5의 핵심이다. KEYNOTE-942의 18개월 RFS 79% vs 62%에서 절대위험감소는 17.0%p,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따라서 </w:t>
      </w:r>
      <w:r>
        <w:rPr>
          <w:rFonts w:ascii="맑은 고딕" w:hAnsi="맑은 고딕" w:eastAsia="맑은 고딕" w:cs="맑은 고딕"/>
          <w:b/>
          <w:sz w:val="21"/>
        </w:rPr>
        <w:t>NNT = 5.9명</w:t>
      </w:r>
      <w:r>
        <w:rPr>
          <w:rFonts w:ascii="맑은 고딕" w:hAnsi="맑은 고딕" w:eastAsia="맑은 고딕" w:cs="맑은 고딕"/>
          <w:b w:val="0"/>
          <w:sz w:val="21"/>
        </w:rPr>
        <w:t xml:space="preserve">이다 </w:t>
      </w:r>
      <w:r>
        <w:rPr>
          <w:sz w:val="19"/>
        </w:rPr>
        <w:t>[</w:t>
      </w:r>
      <w:hyperlink r:id="rId285">
        <w:r>
          <w:rPr>
            <w:rFonts w:ascii="D2Coding" w:hAnsi="D2Coding" w:eastAsia="D2Coding"/>
            <w:color w:val="1D4ED8"/>
            <w:sz w:val="19"/>
          </w:rPr>
          <w:t xml:space="preserve">R1034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기본 단가 20만 달러를 적용하면 **재발 1건 회피 비용은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118만 달러</w:t>
      </w:r>
      <w:r>
        <w:rPr>
          <w:rFonts w:ascii="맑은 고딕" w:hAnsi="맑은 고딕" w:eastAsia="맑은 고딕" w:cs="맑은 고딕"/>
          <w:b/>
          <w:sz w:val="21"/>
        </w:rPr>
        <w:t xml:space="preserve">인데, 회피 가능한 1차 전이성 흑색종 치료비는 </w:t>
      </w:r>
      <w:r>
        <w:rPr>
          <w:rFonts w:ascii="맑은 고딕" w:hAnsi="맑은 고딕" w:eastAsia="맑은 고딕" w:cs="맑은 고딕"/>
          <w:b w:val="0"/>
          <w:sz w:val="21"/>
        </w:rPr>
        <w:t>15.7만~37.6만 달러**에 불과하다</w:t>
      </w:r>
    </w:p>
    <w:p>
      <w:pPr>
        <w:spacing w:after="120" w:line="324" w:lineRule="auto"/>
      </w:pPr>
      <w:r>
        <w:rPr>
          <w:sz w:val="19"/>
        </w:rPr>
        <w:t>[</w:t>
      </w:r>
      <w:hyperlink r:id="rId47">
        <w:r>
          <w:rPr>
            <w:rFonts w:ascii="D2Coding" w:hAnsi="D2Coding" w:eastAsia="D2Coding"/>
            <w:color w:val="1D4ED8"/>
            <w:sz w:val="19"/>
          </w:rPr>
          <w:t xml:space="preserve">R1035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86">
        <w:r>
          <w:rPr>
            <w:rFonts w:ascii="D2Coding" w:hAnsi="D2Coding" w:eastAsia="D2Coding"/>
            <w:color w:val="1D4ED8"/>
            <w:sz w:val="19"/>
          </w:rPr>
          <w:t xml:space="preserve">R1036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</w:t>
      </w:r>
      <w:r>
        <w:rPr>
          <w:rFonts w:ascii="맑은 고딕" w:hAnsi="맑은 고딕" w:eastAsia="맑은 고딕" w:cs="맑은 고딕"/>
          <w:b/>
          <w:sz w:val="21"/>
        </w:rPr>
        <w:t>예산 상쇄만으로 재정중립을 만드는 단가는 코스당 39,841달러</w:t>
      </w:r>
      <w:r>
        <w:rPr>
          <w:rFonts w:ascii="맑은 고딕" w:hAnsi="맑은 고딕" w:eastAsia="맑은 고딕" w:cs="맑은 고딕"/>
          <w:b w:val="0"/>
          <w:sz w:val="21"/>
        </w:rPr>
        <w:t xml:space="preserve">다 </w:t>
      </w:r>
      <w:r>
        <w:rPr>
          <w:sz w:val="19"/>
        </w:rPr>
        <w:t>[</w:t>
      </w:r>
      <w:hyperlink r:id="rId48">
        <w:r>
          <w:rPr>
            <w:rFonts w:ascii="D2Coding" w:hAnsi="D2Coding" w:eastAsia="D2Coding"/>
            <w:color w:val="1D4ED8"/>
            <w:sz w:val="19"/>
          </w:rPr>
          <w:t xml:space="preserve">R1037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87">
        <w:r>
          <w:rPr>
            <w:rFonts w:ascii="D2Coding" w:hAnsi="D2Coding" w:eastAsia="D2Coding"/>
            <w:color w:val="1D4ED8"/>
            <w:sz w:val="19"/>
          </w:rPr>
          <w:t xml:space="preserve">R1076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급여 문턱은 구조적으로 더 높아졌다. 보조 펨브롤리주맙이 NICE에서 이미 약 £20,000/QALY로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등재되어 있어, INT는 "무처치 대비"가 아니라 </w:t>
      </w:r>
      <w:r>
        <w:rPr>
          <w:rFonts w:ascii="맑은 고딕" w:hAnsi="맑은 고딕" w:eastAsia="맑은 고딕" w:cs="맑은 고딕"/>
          <w:b/>
          <w:sz w:val="21"/>
        </w:rPr>
        <w:t>"펨브롤리주맙 대비 증분"</w:t>
      </w:r>
      <w:r>
        <w:rPr>
          <w:rFonts w:ascii="맑은 고딕" w:hAnsi="맑은 고딕" w:eastAsia="맑은 고딕" w:cs="맑은 고딕"/>
          <w:b w:val="0"/>
          <w:sz w:val="21"/>
        </w:rPr>
        <w:t>으로 평가받는다 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이는 sipuleucel-T가 실패했던 £108,585/QALY 상황보다 어렵다 </w:t>
      </w:r>
      <w:r>
        <w:rPr>
          <w:sz w:val="19"/>
        </w:rPr>
        <w:t>[</w:t>
      </w:r>
      <w:hyperlink r:id="rId288">
        <w:r>
          <w:rPr>
            <w:rFonts w:ascii="D2Coding" w:hAnsi="D2Coding" w:eastAsia="D2Coding"/>
            <w:color w:val="1D4ED8"/>
            <w:sz w:val="19"/>
          </w:rPr>
          <w:t xml:space="preserve">R1030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89">
        <w:r>
          <w:rPr>
            <w:rFonts w:ascii="D2Coding" w:hAnsi="D2Coding" w:eastAsia="D2Coding"/>
            <w:color w:val="1D4ED8"/>
            <w:sz w:val="19"/>
          </w:rPr>
          <w:t xml:space="preserve">R1031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90">
        <w:r>
          <w:rPr>
            <w:rFonts w:ascii="D2Coding" w:hAnsi="D2Coding" w:eastAsia="D2Coding"/>
            <w:color w:val="1D4ED8"/>
            <w:sz w:val="19"/>
          </w:rPr>
          <w:t xml:space="preserve">R1065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91">
        <w:r>
          <w:rPr>
            <w:rFonts w:ascii="D2Coding" w:hAnsi="D2Coding" w:eastAsia="D2Coding"/>
            <w:color w:val="1D4ED8"/>
            <w:sz w:val="19"/>
          </w:rPr>
          <w:t xml:space="preserve">R1028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NICE TA837 위원회는 이미 "결과가 OS 추정을 위한 대리지표 관계에 의존한다"며 RFS–OS 관계의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견고성 검증을 요구했는데 </w:t>
      </w:r>
      <w:r>
        <w:rPr>
          <w:sz w:val="19"/>
        </w:rPr>
        <w:t>[</w:t>
      </w:r>
      <w:hyperlink r:id="rId292">
        <w:r>
          <w:rPr>
            <w:rFonts w:ascii="D2Coding" w:hAnsi="D2Coding" w:eastAsia="D2Coding"/>
            <w:color w:val="1D4ED8"/>
            <w:sz w:val="19"/>
          </w:rPr>
          <w:t xml:space="preserve">R1080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맑은 고딕" w:hAnsi="맑은 고딕" w:eastAsia="맑은 고딕" w:cs="맑은 고딕"/>
          <w:b/>
          <w:sz w:val="21"/>
        </w:rPr>
        <w:t>INT는 동일 문제를 더 심한 형태로 안고 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5년 추적에도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OS HR의 CI가 1을 포함하기 때문이다 </w:t>
      </w:r>
      <w:r>
        <w:rPr>
          <w:sz w:val="19"/>
        </w:rPr>
        <w:t>[</w:t>
      </w:r>
      <w:hyperlink r:id="rId17">
        <w:r>
          <w:rPr>
            <w:rFonts w:ascii="D2Coding" w:hAnsi="D2Coding" w:eastAsia="D2Coding"/>
            <w:color w:val="1D4ED8"/>
            <w:sz w:val="19"/>
          </w:rPr>
          <w:t xml:space="preserve">R002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지불자 관점의 근본 문제도 있다. 덴마크 실측상 IIB기 5년 재발률은 33.2%이므로 **보조요법을 받는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환자의 66.8%는 치료가 없었어도 재발하지 않았을 인구**이며, 지불자는 이 다수에 대해 선불로 전액을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지출한다 </w:t>
      </w:r>
      <w:r>
        <w:rPr>
          <w:sz w:val="19"/>
        </w:rPr>
        <w:t>[</w:t>
      </w:r>
      <w:hyperlink r:id="rId293">
        <w:r>
          <w:rPr>
            <w:rFonts w:ascii="D2Coding" w:hAnsi="D2Coding" w:eastAsia="D2Coding"/>
            <w:color w:val="1D4ED8"/>
            <w:sz w:val="19"/>
          </w:rPr>
          <w:t xml:space="preserve">R1013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94">
        <w:r>
          <w:rPr>
            <w:rFonts w:ascii="D2Coding" w:hAnsi="D2Coding" w:eastAsia="D2Coding"/>
            <w:color w:val="1D4ED8"/>
            <w:sz w:val="19"/>
          </w:rPr>
          <w:t xml:space="preserve">R1086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Provenge가 결정적 반례다.</w:t>
      </w:r>
      <w:r>
        <w:rPr>
          <w:rFonts w:ascii="맑은 고딕" w:hAnsi="맑은 고딕" w:eastAsia="맑은 고딕" w:cs="맑은 고딕"/>
          <w:b w:val="0"/>
          <w:sz w:val="21"/>
        </w:rPr>
        <w:t xml:space="preserve"> 통계적으로 유의한 OS 이득(중앙 25.8 vs 21.7개월, HR 0.78,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95% CI 0.61–0.98, p=0.03)을 가지고도 매출은 2011년 3.42억 달러에서 정점을 찍고 연속 감소했으며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Dendreon은 </w:t>
      </w:r>
      <w:r>
        <w:rPr>
          <w:rFonts w:ascii="맑은 고딕" w:hAnsi="맑은 고딕" w:eastAsia="맑은 고딕" w:cs="맑은 고딕"/>
          <w:b/>
          <w:sz w:val="21"/>
        </w:rPr>
        <w:t>승인 4년 7개월 만인 2014년 11월 Chapter 11</w:t>
      </w:r>
      <w:r>
        <w:rPr>
          <w:rFonts w:ascii="맑은 고딕" w:hAnsi="맑은 고딕" w:eastAsia="맑은 고딕" w:cs="맑은 고딕"/>
          <w:b w:val="0"/>
          <w:sz w:val="21"/>
        </w:rPr>
        <w:t xml:space="preserve">을 신청했다 </w:t>
      </w:r>
      <w:r>
        <w:rPr>
          <w:sz w:val="19"/>
        </w:rPr>
        <w:t>[</w:t>
      </w:r>
      <w:hyperlink r:id="rId295">
        <w:r>
          <w:rPr>
            <w:rFonts w:ascii="D2Coding" w:hAnsi="D2Coding" w:eastAsia="D2Coding"/>
            <w:color w:val="1D4ED8"/>
            <w:sz w:val="19"/>
          </w:rPr>
          <w:t xml:space="preserve">R1025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96">
        <w:r>
          <w:rPr>
            <w:rFonts w:ascii="D2Coding" w:hAnsi="D2Coding" w:eastAsia="D2Coding"/>
            <w:color w:val="1D4ED8"/>
            <w:sz w:val="19"/>
          </w:rPr>
          <w:t xml:space="preserve">R1026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97">
        <w:r>
          <w:rPr>
            <w:rFonts w:ascii="D2Coding" w:hAnsi="D2Coding" w:eastAsia="D2Coding"/>
            <w:color w:val="1D4ED8"/>
            <w:sz w:val="19"/>
          </w:rPr>
          <w:t xml:space="preserve">R1027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더 무거운 것은 </w:t>
      </w:r>
      <w:r>
        <w:rPr>
          <w:rFonts w:ascii="맑은 고딕" w:hAnsi="맑은 고딕" w:eastAsia="맑은 고딕" w:cs="맑은 고딕"/>
          <w:b/>
          <w:sz w:val="21"/>
        </w:rPr>
        <w:t>승인 14년째인 2024년에도 메디케어 파트B 기준 연 752명·1.117억 달러</w:t>
      </w:r>
      <w:r>
        <w:rPr>
          <w:rFonts w:ascii="맑은 고딕" w:hAnsi="맑은 고딕" w:eastAsia="맑은 고딕" w:cs="맑은 고딕"/>
          <w:b w:val="0"/>
          <w:sz w:val="21"/>
        </w:rPr>
        <w:t>에 머물러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있다는 사실이다 </w:t>
      </w:r>
      <w:r>
        <w:rPr>
          <w:sz w:val="19"/>
        </w:rPr>
        <w:t>[</w:t>
      </w:r>
      <w:hyperlink r:id="rId298">
        <w:r>
          <w:rPr>
            <w:rFonts w:ascii="D2Coding" w:hAnsi="D2Coding" w:eastAsia="D2Coding"/>
            <w:color w:val="1D4ED8"/>
            <w:sz w:val="19"/>
          </w:rPr>
          <w:t xml:space="preserve">R1024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 — 개인맞춤 자가유래 제품의 실제 연간 처리량이 승인 후 14년에도 4자리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수에 못 미친다는 실측은 INT의 침투율 가정(15–30%)에 강한 하향 압력이다 </w:t>
      </w:r>
      <w:r>
        <w:rPr>
          <w:sz w:val="19"/>
        </w:rPr>
        <w:t>[</w:t>
      </w:r>
      <w:hyperlink r:id="rId299">
        <w:r>
          <w:rPr>
            <w:rFonts w:ascii="D2Coding" w:hAnsi="D2Coding" w:eastAsia="D2Coding"/>
            <w:color w:val="1D4ED8"/>
            <w:sz w:val="19"/>
          </w:rPr>
          <w:t xml:space="preserve">R1063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기본 시나리오·침투율 20%에서 Moderna 실현 지분은 약 15.2억 달러인데, 이는 **Provenge 최고매출의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4.4배**를 가정하는 것이다 </w:t>
      </w:r>
      <w:r>
        <w:rPr>
          <w:sz w:val="19"/>
        </w:rPr>
        <w:t>[</w:t>
      </w:r>
      <w:hyperlink r:id="rId300">
        <w:r>
          <w:rPr>
            <w:rFonts w:ascii="D2Coding" w:hAnsi="D2Coding" w:eastAsia="D2Coding"/>
            <w:color w:val="1D4ED8"/>
            <w:sz w:val="19"/>
          </w:rPr>
          <w:t xml:space="preserve">R1091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5.3 한국 급여 환경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한국 NSCLC 3,245명 전원에 코스당 1억원을 적용하면 연 3,245억원인데, 2012–2021년 등재 신약 226개가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총 약품비의 </w:t>
      </w:r>
      <w:r>
        <w:rPr>
          <w:rFonts w:ascii="맑은 고딕" w:hAnsi="맑은 고딕" w:eastAsia="맑은 고딕" w:cs="맑은 고딕"/>
          <w:b/>
          <w:sz w:val="21"/>
        </w:rPr>
        <w:t>8.5%</w:t>
      </w:r>
      <w:r>
        <w:rPr>
          <w:rFonts w:ascii="맑은 고딕" w:hAnsi="맑은 고딕" w:eastAsia="맑은 고딕" w:cs="맑은 고딕"/>
          <w:b w:val="0"/>
          <w:sz w:val="21"/>
        </w:rPr>
        <w:t xml:space="preserve">에 그치는 예산 구조에서 단일 품목으로 감당 불가하다 </w:t>
      </w:r>
      <w:r>
        <w:rPr>
          <w:sz w:val="19"/>
        </w:rPr>
        <w:t>[</w:t>
      </w:r>
      <w:hyperlink r:id="rId301">
        <w:r>
          <w:rPr>
            <w:rFonts w:ascii="D2Coding" w:hAnsi="D2Coding" w:eastAsia="D2Coding"/>
            <w:color w:val="1D4ED8"/>
            <w:sz w:val="19"/>
          </w:rPr>
          <w:t xml:space="preserve">R1072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02">
        <w:r>
          <w:rPr>
            <w:rFonts w:ascii="D2Coding" w:hAnsi="D2Coding" w:eastAsia="D2Coding"/>
            <w:color w:val="1D4ED8"/>
            <w:sz w:val="19"/>
          </w:rPr>
          <w:t xml:space="preserve">R1058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2013–2022년 허가 신약 171개 중 </w:t>
      </w:r>
      <w:r>
        <w:rPr>
          <w:rFonts w:ascii="맑은 고딕" w:hAnsi="맑은 고딕" w:eastAsia="맑은 고딕" w:cs="맑은 고딕"/>
          <w:b/>
          <w:sz w:val="21"/>
        </w:rPr>
        <w:t>67.8%만 등재</w:t>
      </w:r>
      <w:r>
        <w:rPr>
          <w:rFonts w:ascii="맑은 고딕" w:hAnsi="맑은 고딕" w:eastAsia="맑은 고딕" w:cs="맑은 고딕"/>
          <w:b w:val="0"/>
          <w:sz w:val="21"/>
        </w:rPr>
        <w:t xml:space="preserve">되었고 </w:t>
      </w:r>
      <w:r>
        <w:rPr>
          <w:sz w:val="19"/>
        </w:rPr>
        <w:t>[</w:t>
      </w:r>
      <w:hyperlink r:id="rId303">
        <w:r>
          <w:rPr>
            <w:rFonts w:ascii="D2Coding" w:hAnsi="D2Coding" w:eastAsia="D2Coding"/>
            <w:color w:val="1D4ED8"/>
            <w:sz w:val="19"/>
          </w:rPr>
          <w:t xml:space="preserve">R1057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위험분담제로 등재 소요가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21.0 → 10.9개월로 단축되었으나 항암제는 여전히 장기다 </w:t>
      </w:r>
      <w:r>
        <w:rPr>
          <w:sz w:val="19"/>
        </w:rPr>
        <w:t>[</w:t>
      </w:r>
      <w:hyperlink r:id="rId302">
        <w:r>
          <w:rPr>
            <w:rFonts w:ascii="D2Coding" w:hAnsi="D2Coding" w:eastAsia="D2Coding"/>
            <w:color w:val="1D4ED8"/>
            <w:sz w:val="19"/>
          </w:rPr>
          <w:t xml:space="preserve">R1058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**환급형·총액제한형 위험분담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없이는 등재가 어렵다** </w:t>
      </w:r>
      <w:r>
        <w:rPr>
          <w:sz w:val="19"/>
        </w:rPr>
        <w:t>[</w:t>
      </w:r>
      <w:hyperlink r:id="rId301">
        <w:r>
          <w:rPr>
            <w:rFonts w:ascii="D2Coding" w:hAnsi="D2Coding" w:eastAsia="D2Coding"/>
            <w:color w:val="1D4ED8"/>
            <w:sz w:val="19"/>
          </w:rPr>
          <w:t xml:space="preserve">R1072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5.4 시장을 잠식하는 경쟁·구조 변화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off-the-shelf 경쟁자</w:t>
      </w:r>
      <w:r>
        <w:rPr>
          <w:rFonts w:ascii="맑은 고딕" w:hAnsi="맑은 고딕" w:eastAsia="맑은 고딕" w:cs="맑은 고딕"/>
          <w:b w:val="0"/>
          <w:sz w:val="21"/>
        </w:rPr>
        <w:t>는 vein-to-vein·COGS 부담이 없다: Regeneron fianlimab+cemiplimab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보조 흑색종 3상(1,564명), Iovance lifileucel+pembro 3상(670명), AstraZeneca Dato-DXd+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rilvegostomig MIBC 3상(915명, 2026-07 개시) </w:t>
      </w:r>
      <w:r>
        <w:rPr>
          <w:sz w:val="19"/>
        </w:rPr>
        <w:t>[</w:t>
      </w:r>
      <w:hyperlink r:id="rId304">
        <w:r>
          <w:rPr>
            <w:rFonts w:ascii="D2Coding" w:hAnsi="D2Coding" w:eastAsia="D2Coding"/>
            <w:color w:val="1D4ED8"/>
            <w:sz w:val="19"/>
          </w:rPr>
          <w:t xml:space="preserve">R1051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05">
        <w:r>
          <w:rPr>
            <w:rFonts w:ascii="D2Coding" w:hAnsi="D2Coding" w:eastAsia="D2Coding"/>
            <w:color w:val="1D4ED8"/>
            <w:sz w:val="19"/>
          </w:rPr>
          <w:t xml:space="preserve">R1054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ctDNA 유도 전략이 보조 슬롯 자체를 축소</w:t>
      </w:r>
      <w:r>
        <w:rPr>
          <w:rFonts w:ascii="맑은 고딕" w:hAnsi="맑은 고딕" w:eastAsia="맑은 고딕" w:cs="맑은 고딕"/>
          <w:b w:val="0"/>
          <w:sz w:val="21"/>
        </w:rPr>
        <w:t>시킬 수 있다. NCI MODERN(NCT05987241, 992명)이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확립되면 ctDNA 음성 82%가 보조요법 대상에서 제외된다 </w:t>
      </w:r>
      <w:r>
        <w:rPr>
          <w:sz w:val="19"/>
        </w:rPr>
        <w:t>[</w:t>
      </w:r>
      <w:hyperlink r:id="rId306">
        <w:r>
          <w:rPr>
            <w:rFonts w:ascii="D2Coding" w:hAnsi="D2Coding" w:eastAsia="D2Coding"/>
            <w:color w:val="1D4ED8"/>
            <w:sz w:val="19"/>
          </w:rPr>
          <w:t xml:space="preserve">R1053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07">
        <w:r>
          <w:rPr>
            <w:rFonts w:ascii="D2Coding" w:hAnsi="D2Coding" w:eastAsia="D2Coding"/>
            <w:color w:val="1D4ED8"/>
            <w:sz w:val="19"/>
          </w:rPr>
          <w:t xml:space="preserve">R1081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ctDNA 선별은 양면적이다 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GALAXY에서 수술 4주 후 ctDNA 양성은 1,039명 중 </w:t>
      </w:r>
      <w:r>
        <w:rPr>
          <w:rFonts w:ascii="맑은 고딕" w:hAnsi="맑은 고딕" w:eastAsia="맑은 고딕" w:cs="맑은 고딕"/>
          <w:b/>
          <w:sz w:val="21"/>
        </w:rPr>
        <w:t>187명(18.0%)</w:t>
      </w:r>
      <w:r>
        <w:rPr>
          <w:rFonts w:ascii="맑은 고딕" w:hAnsi="맑은 고딕" w:eastAsia="맑은 고딕" w:cs="맑은 고딕"/>
          <w:b w:val="0"/>
          <w:sz w:val="21"/>
        </w:rPr>
        <w:t xml:space="preserve"> 에 불과해 시장을 1/5로 줄이지만,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양성군 18개월 DFS 38.4% vs 음성군 90.5%로 위험을 약 10배 농축해 가격 정당화에는 유리하다</w:t>
      </w:r>
    </w:p>
    <w:p>
      <w:pPr>
        <w:spacing w:after="120" w:line="324" w:lineRule="auto"/>
      </w:pPr>
      <w:r>
        <w:rPr>
          <w:sz w:val="19"/>
        </w:rPr>
        <w:t>[</w:t>
      </w:r>
      <w:hyperlink r:id="rId308">
        <w:r>
          <w:rPr>
            <w:rFonts w:ascii="D2Coding" w:hAnsi="D2Coding" w:eastAsia="D2Coding"/>
            <w:color w:val="1D4ED8"/>
            <w:sz w:val="19"/>
          </w:rPr>
          <w:t xml:space="preserve">R1019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09">
        <w:r>
          <w:rPr>
            <w:rFonts w:ascii="D2Coding" w:hAnsi="D2Coding" w:eastAsia="D2Coding"/>
            <w:color w:val="1D4ED8"/>
            <w:sz w:val="19"/>
          </w:rPr>
          <w:t xml:space="preserve">R1087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수술전 요법으로의 이동</w:t>
      </w:r>
      <w:r>
        <w:rPr>
          <w:rFonts w:ascii="맑은 고딕" w:hAnsi="맑은 고딕" w:eastAsia="맑은 고딕" w:cs="맑은 고딕"/>
          <w:b w:val="0"/>
          <w:sz w:val="21"/>
        </w:rPr>
        <w:t>도 구조적 위협이며, INTerpath-009는 이미 "pCR 미달성자"로 대상을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좁혀 시장 축소를 반영하고 있다 </w:t>
      </w:r>
      <w:r>
        <w:rPr>
          <w:sz w:val="19"/>
        </w:rPr>
        <w:t>[</w:t>
      </w:r>
      <w:hyperlink r:id="rId310">
        <w:r>
          <w:rPr>
            <w:rFonts w:ascii="D2Coding" w:hAnsi="D2Coding" w:eastAsia="D2Coding"/>
            <w:color w:val="1D4ED8"/>
            <w:sz w:val="19"/>
          </w:rPr>
          <w:t xml:space="preserve">R1055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11">
        <w:r>
          <w:rPr>
            <w:rFonts w:ascii="D2Coding" w:hAnsi="D2Coding" w:eastAsia="D2Coding"/>
            <w:color w:val="1D4ED8"/>
            <w:sz w:val="19"/>
          </w:rPr>
          <w:t xml:space="preserve">R1056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제조 퍼널이 시장을 절반 이상 잘라낼 수 있다.</w:t>
      </w:r>
      <w:r>
        <w:rPr>
          <w:rFonts w:ascii="맑은 고딕" w:hAnsi="맑은 고딕" w:eastAsia="맑은 고딕" w:cs="맑은 고딕"/>
          <w:b w:val="0"/>
          <w:sz w:val="21"/>
        </w:rPr>
        <w:t xml:space="preserve"> cevumeran 1상의 스크리닝→등록 38.7%를 적용하면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흑색종+NSCLC 대상은 75,789명 → 32,589명으로 </w:t>
      </w:r>
      <w:r>
        <w:rPr>
          <w:rFonts w:ascii="맑은 고딕" w:hAnsi="맑은 고딕" w:eastAsia="맑은 고딕" w:cs="맑은 고딕"/>
          <w:b/>
          <w:sz w:val="21"/>
        </w:rPr>
        <w:t>57% 축소</w:t>
      </w:r>
      <w:r>
        <w:rPr>
          <w:rFonts w:ascii="맑은 고딕" w:hAnsi="맑은 고딕" w:eastAsia="맑은 고딕" w:cs="맑은 고딕"/>
          <w:b w:val="0"/>
          <w:sz w:val="21"/>
        </w:rPr>
        <w:t>되고 매출은 30.3억 → 13.0억 달러로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떨어진다 </w:t>
      </w:r>
      <w:r>
        <w:rPr>
          <w:sz w:val="19"/>
        </w:rPr>
        <w:t>[</w:t>
      </w:r>
      <w:hyperlink r:id="rId312">
        <w:r>
          <w:rPr>
            <w:rFonts w:ascii="D2Coding" w:hAnsi="D2Coding" w:eastAsia="D2Coding"/>
            <w:color w:val="1D4ED8"/>
            <w:sz w:val="19"/>
          </w:rPr>
          <w:t xml:space="preserve">R1095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13">
        <w:r>
          <w:rPr>
            <w:rFonts w:ascii="D2Coding" w:hAnsi="D2Coding" w:eastAsia="D2Coding"/>
            <w:color w:val="1D4ED8"/>
            <w:sz w:val="19"/>
          </w:rPr>
          <w:t xml:space="preserve">R1096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/>
          <w:color w:val="5C6570"/>
          <w:sz w:val="20"/>
        </w:rPr>
        <w:t>개발사 자체 공시에 시장규모·가격 전망이 전혀 없다.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Moderna FY2025 10-K는 intismeran을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59회 언급하면서 "addressable patient population"은 </w:t>
      </w:r>
      <w:r>
        <w:rPr>
          <w:rFonts w:ascii="맑은 고딕" w:hAnsi="맑은 고딕" w:eastAsia="맑은 고딕" w:cs="맑은 고딕"/>
          <w:b/>
          <w:color w:val="5C6570"/>
          <w:sz w:val="20"/>
        </w:rPr>
        <w:t>0회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 등장하며, 애널리스트데이·주주서한에도</w:t>
      </w:r>
    </w:p>
    <w:p>
      <w:pPr>
        <w:spacing w:after="80"/>
        <w:ind w:left="340"/>
      </w:pPr>
      <w:r>
        <w:rPr>
          <w:rFonts w:ascii="맑은 고딕" w:hAnsi="맑은 고딕" w:eastAsia="맑은 고딕" w:cs="맑은 고딕"/>
          <w:b w:val="0"/>
          <w:color w:val="5C6570"/>
          <w:sz w:val="20"/>
        </w:rPr>
        <w:t xml:space="preserve">매출 전망이 없다 </w:t>
      </w:r>
      <w:r>
        <w:rPr>
          <w:sz w:val="18"/>
        </w:rPr>
        <w:t>[</w:t>
      </w:r>
      <w:hyperlink r:id="rId314">
        <w:r>
          <w:rPr>
            <w:rFonts w:ascii="D2Coding" w:hAnsi="D2Coding" w:eastAsia="D2Coding"/>
            <w:color w:val="1D4ED8"/>
            <w:sz w:val="18"/>
          </w:rPr>
          <w:t xml:space="preserve">R1044</w:t>
        </w:r>
      </w:hyperlink>
      <w:r>
        <w:rPr>
          <w:sz w:val="18"/>
        </w:rPr>
        <w:t>]</w:t>
      </w:r>
      <w:r>
        <w:rPr>
          <w:sz w:val="18"/>
        </w:rPr>
        <w:t>[</w:t>
      </w:r>
      <w:hyperlink r:id="rId315">
        <w:r>
          <w:rPr>
            <w:rFonts w:ascii="D2Coding" w:hAnsi="D2Coding" w:eastAsia="D2Coding"/>
            <w:color w:val="1D4ED8"/>
            <w:sz w:val="18"/>
          </w:rPr>
          <w:t xml:space="preserve">R1079</w:t>
        </w:r>
      </w:hyperlink>
      <w:r>
        <w:rPr>
          <w:sz w:val="18"/>
        </w:rPr>
        <w:t>]</w:t>
      </w:r>
      <w:r>
        <w:rPr>
          <w:rFonts w:ascii="맑은 고딕" w:hAnsi="맑은 고딕" w:eastAsia="맑은 고딕" w:cs="맑은 고딕"/>
          <w:b w:val="0"/>
          <w:color w:val="5C6570"/>
          <w:sz w:val="20"/>
        </w:rPr>
        <w:t>. 시장 수치를 인용할 때 이 침묵을 함께 기록해야 한다.</w:t>
      </w:r>
    </w:p>
    <w:p>
      <w:pPr>
        <w:pBdr>
          <w:bottom w:val="single" w:sz="6" w:color="DFE3E8"/>
        </w:pBdr>
      </w:pPr>
    </w:p>
    <w:p>
      <w:pPr>
        <w:keepNext/>
        <w:spacing w:before="280" w:after="80"/>
        <w:pBdr>
          <w:bottom w:val="single" w:sz="4" w:color="DFE3E8"/>
        </w:pBdr>
      </w:pPr>
      <w:r>
        <w:rPr>
          <w:rFonts w:ascii="맑은 고딕" w:hAnsi="맑은 고딕" w:eastAsia="맑은 고딕" w:cs="맑은 고딕"/>
          <w:b/>
          <w:color w:val="1D4ED8"/>
          <w:sz w:val="29"/>
        </w:rPr>
        <w:t>M6. 정책 · 자금 · 재무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6.1 정책 (사실관계 중립 기술)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미국 HHS/BARDA는 2025년 8월 </w:t>
      </w:r>
      <w:r>
        <w:rPr>
          <w:rFonts w:ascii="맑은 고딕" w:hAnsi="맑은 고딕" w:eastAsia="맑은 고딕" w:cs="맑은 고딕"/>
          <w:b/>
          <w:sz w:val="21"/>
        </w:rPr>
        <w:t>22개 mRNA 프로젝트·약 5억 달러 계약을 해지</w:t>
      </w:r>
      <w:r>
        <w:rPr>
          <w:rFonts w:ascii="맑은 고딕" w:hAnsi="맑은 고딕" w:eastAsia="맑은 고딕" w:cs="맑은 고딕"/>
          <w:b w:val="0"/>
          <w:sz w:val="21"/>
        </w:rPr>
        <w:t>했고, 텍사스 HB 3176·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아이다호 SB 1036 등 주별 mRNA 제한 입법이 진행 중이다 </w:t>
      </w:r>
      <w:r>
        <w:rPr>
          <w:sz w:val="19"/>
        </w:rPr>
        <w:t>[</w:t>
      </w:r>
      <w:hyperlink r:id="rId316">
        <w:r>
          <w:rPr>
            <w:rFonts w:ascii="D2Coding" w:hAnsi="D2Coding" w:eastAsia="D2Coding"/>
            <w:color w:val="1D4ED8"/>
            <w:sz w:val="19"/>
          </w:rPr>
          <w:t xml:space="preserve">R554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17">
        <w:r>
          <w:rPr>
            <w:rFonts w:ascii="D2Coding" w:hAnsi="D2Coding" w:eastAsia="D2Coding"/>
            <w:color w:val="1D4ED8"/>
            <w:sz w:val="19"/>
          </w:rPr>
          <w:t xml:space="preserve">R555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</w:t>
      </w:r>
      <w:r>
        <w:rPr>
          <w:rFonts w:ascii="맑은 고딕" w:hAnsi="맑은 고딕" w:eastAsia="맑은 고딕" w:cs="맑은 고딕"/>
          <w:b/>
          <w:sz w:val="21"/>
        </w:rPr>
        <w:t>중요한 구분</w:t>
      </w:r>
      <w:r>
        <w:rPr>
          <w:rFonts w:ascii="맑은 고딕" w:hAnsi="맑은 고딕" w:eastAsia="맑은 고딕" w:cs="맑은 고딕"/>
          <w:b w:val="0"/>
          <w:sz w:val="21"/>
        </w:rPr>
        <w:t xml:space="preserve"> — 해지된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계약은 감염병 대상이며 </w:t>
      </w:r>
      <w:r>
        <w:rPr>
          <w:sz w:val="19"/>
        </w:rPr>
        <w:t>[</w:t>
      </w:r>
      <w:hyperlink r:id="rId316">
        <w:r>
          <w:rPr>
            <w:rFonts w:ascii="D2Coding" w:hAnsi="D2Coding" w:eastAsia="D2Coding"/>
            <w:color w:val="1D4ED8"/>
            <w:sz w:val="19"/>
          </w:rPr>
          <w:t xml:space="preserve">R554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종양 mRNA 제품에 직접 적용된다는 1차 근거는 확인되지 않았다.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다만 플랫폼 전반에 대한 정책 신호로는 읽힌다 </w:t>
      </w:r>
      <w:r>
        <w:rPr>
          <w:sz w:val="19"/>
        </w:rPr>
        <w:t>[</w:t>
      </w:r>
      <w:hyperlink r:id="rId316">
        <w:r>
          <w:rPr>
            <w:rFonts w:ascii="D2Coding" w:hAnsi="D2Coding" w:eastAsia="D2Coding"/>
            <w:color w:val="1D4ED8"/>
            <w:sz w:val="19"/>
          </w:rPr>
          <w:t xml:space="preserve">R554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이 구분을 흐리면 리스크를 과대평가한다.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국내 정책은 M2 §2.8에 기술했다 — 개인맞춤 항암백신 전용 예산은 ARPA-H PAVE 1건(5년 175억원)이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사실상 전부이며 </w:t>
      </w:r>
      <w:r>
        <w:rPr>
          <w:sz w:val="19"/>
        </w:rPr>
        <w:t>[</w:t>
      </w:r>
      <w:hyperlink r:id="rId157">
        <w:r>
          <w:rPr>
            <w:rFonts w:ascii="D2Coding" w:hAnsi="D2Coding" w:eastAsia="D2Coding"/>
            <w:color w:val="1D4ED8"/>
            <w:sz w:val="19"/>
          </w:rPr>
          <w:t xml:space="preserve">R400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정부 mRNA 투자의 압도적 다수는 감염병 목적이다 </w:t>
      </w:r>
      <w:r>
        <w:rPr>
          <w:sz w:val="19"/>
        </w:rPr>
        <w:t>[</w:t>
      </w:r>
      <w:hyperlink r:id="rId175">
        <w:r>
          <w:rPr>
            <w:rFonts w:ascii="D2Coding" w:hAnsi="D2Coding" w:eastAsia="D2Coding"/>
            <w:color w:val="1D4ED8"/>
            <w:sz w:val="19"/>
          </w:rPr>
          <w:t xml:space="preserve">R444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국립보건연구원은 스스로 </w:t>
      </w:r>
      <w:r>
        <w:rPr>
          <w:rFonts w:ascii="맑은 고딕" w:hAnsi="맑은 고딕" w:eastAsia="맑은 고딕" w:cs="맑은 고딕"/>
          <w:b/>
          <w:sz w:val="21"/>
        </w:rPr>
        <w:t>"원부자재 규격 등 생산기술·능력 부재"</w:t>
      </w:r>
      <w:r>
        <w:rPr>
          <w:rFonts w:ascii="맑은 고딕" w:hAnsi="맑은 고딕" w:eastAsia="맑은 고딕" w:cs="맑은 고딕"/>
          <w:b w:val="0"/>
          <w:sz w:val="21"/>
        </w:rPr>
        <w:t xml:space="preserve"> 를 국가 과제로 명시했는데</w:t>
      </w:r>
    </w:p>
    <w:p>
      <w:pPr>
        <w:spacing w:after="120" w:line="324" w:lineRule="auto"/>
      </w:pPr>
      <w:r>
        <w:rPr>
          <w:sz w:val="19"/>
        </w:rPr>
        <w:t>[</w:t>
      </w:r>
      <w:hyperlink r:id="rId318">
        <w:r>
          <w:rPr>
            <w:rFonts w:ascii="D2Coding" w:hAnsi="D2Coding" w:eastAsia="D2Coding"/>
            <w:color w:val="1D4ED8"/>
            <w:sz w:val="19"/>
          </w:rPr>
          <w:t xml:space="preserve">R445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19">
        <w:r>
          <w:rPr>
            <w:rFonts w:ascii="D2Coding" w:hAnsi="D2Coding" w:eastAsia="D2Coding"/>
            <w:color w:val="1D4ED8"/>
            <w:sz w:val="19"/>
          </w:rPr>
          <w:t xml:space="preserve">R453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이것이 LG화학 관점에서 가장 명확히 식별된 국내 공백이다. 다만 §M3·§M5에서 보았듯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그 공백의 </w:t>
      </w:r>
      <w:r>
        <w:rPr>
          <w:rFonts w:ascii="맑은 고딕" w:hAnsi="맑은 고딕" w:eastAsia="맑은 고딕" w:cs="맑은 고딕"/>
          <w:b/>
          <w:sz w:val="21"/>
        </w:rPr>
        <w:t>경제적 크기가 작다</w:t>
      </w:r>
      <w:r>
        <w:rPr>
          <w:rFonts w:ascii="맑은 고딕" w:hAnsi="맑은 고딕" w:eastAsia="맑은 고딕" w:cs="맑은 고딕"/>
          <w:b w:val="0"/>
          <w:sz w:val="21"/>
        </w:rPr>
        <w:t>는 것이 본 보고서의 결론이다.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6.2 개발사 재무 — 프로그램 존속의 전제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값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근거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Moderna 2025 매출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19.44억 달러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(-40%), 순손실 28.22억 달러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2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R017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2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R973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Moderna 2026 Q2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GAAP 순손실 7.82억 달러, 현금·투자 75억 →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69억 달러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2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R551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Moderna 2026 영업비용 가이던스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59억 →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54–57억 달러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, 추가 5억 달러 절감 계획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2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R552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BioNTech 2025 매출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28.70억 유로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(2021년 189.77억에서 축소 후 횡보)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2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R018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BioNTech 2025 R&amp;D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21.05억 유로,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-7%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(사유: 적극적 포트폴리오 관리)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2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R251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Maravai 2025 매출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1.86억 달러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(2022년 8.83억 대비 -79%)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2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R016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R900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intismeran 프로그램 연간 개발비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약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7.5–8억 달러/년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(모더나 순 198×2 + 머크 375) </w:t>
            </w:r>
            <w:r>
              <w:rPr>
                <w:rFonts w:ascii="D2Coding" w:hAnsi="D2Coding" w:eastAsia="D2Coding" w:cs="D2Coding"/>
                <w:color w:val="A32020"/>
                <w:sz w:val="16"/>
              </w:rPr>
              <w:t>[EST]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2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R160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2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R161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Moderna–Merck 구조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2016년 선급 2억 + 2022년 옵션 2.5억 달러, 이후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개발비·손익 50/50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2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R158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3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R159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자본 배분의 방향이 수치로 확인된다.</w:t>
      </w:r>
      <w:r>
        <w:rPr>
          <w:rFonts w:ascii="맑은 고딕" w:hAnsi="맑은 고딕" w:eastAsia="맑은 고딕" w:cs="맑은 고딕"/>
          <w:b w:val="0"/>
          <w:sz w:val="21"/>
        </w:rPr>
        <w:t xml:space="preserve"> BMS는 pumitamig 1개 자산에 선급금 15억 달러 + 비조건부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20억 달러 + 최대 76억 달러 마일스톤을 지급했는데, 이는 iNeST 플랫폼 전체 딜(3.1억 달러)의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약 5배</w:t>
      </w:r>
      <w:r>
        <w:rPr>
          <w:rFonts w:ascii="맑은 고딕" w:hAnsi="맑은 고딕" w:eastAsia="맑은 고딕" w:cs="맑은 고딕"/>
          <w:b w:val="0"/>
          <w:sz w:val="21"/>
        </w:rPr>
        <w:t xml:space="preserve">다 </w:t>
      </w:r>
      <w:r>
        <w:rPr>
          <w:sz w:val="19"/>
        </w:rPr>
        <w:t>[</w:t>
      </w:r>
      <w:hyperlink r:id="rId331">
        <w:r>
          <w:rPr>
            <w:rFonts w:ascii="D2Coding" w:hAnsi="D2Coding" w:eastAsia="D2Coding"/>
            <w:color w:val="1D4ED8"/>
            <w:sz w:val="19"/>
          </w:rPr>
          <w:t xml:space="preserve">R253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32">
        <w:r>
          <w:rPr>
            <w:rFonts w:ascii="D2Coding" w:hAnsi="D2Coding" w:eastAsia="D2Coding"/>
            <w:color w:val="1D4ED8"/>
            <w:sz w:val="19"/>
          </w:rPr>
          <w:t xml:space="preserve">R246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BioNTech이 2026-03-10 공시한 "2026년 예상 마일스톤" 표에 autogene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cevumeran/iNeST 항목은 </w:t>
      </w:r>
      <w:r>
        <w:rPr>
          <w:rFonts w:ascii="맑은 고딕" w:hAnsi="맑은 고딕" w:eastAsia="맑은 고딕" w:cs="맑은 고딕"/>
          <w:b/>
          <w:sz w:val="21"/>
        </w:rPr>
        <w:t>단 한 건도 없다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sz w:val="19"/>
        </w:rPr>
        <w:t>[</w:t>
      </w:r>
      <w:hyperlink r:id="rId333">
        <w:r>
          <w:rPr>
            <w:rFonts w:ascii="D2Coding" w:hAnsi="D2Coding" w:eastAsia="D2Coding"/>
            <w:color w:val="1D4ED8"/>
            <w:sz w:val="19"/>
          </w:rPr>
          <w:t xml:space="preserve">R254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2026년 상반기 R&amp;D 증가 요인도 pumitamig·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gotistobart 등으로만 명시되고 iNeST는 등장하지 않는다 </w:t>
      </w:r>
      <w:r>
        <w:rPr>
          <w:sz w:val="19"/>
        </w:rPr>
        <w:t>[</w:t>
      </w:r>
      <w:hyperlink r:id="rId334">
        <w:r>
          <w:rPr>
            <w:rFonts w:ascii="D2Coding" w:hAnsi="D2Coding" w:eastAsia="D2Coding"/>
            <w:color w:val="1D4ED8"/>
            <w:sz w:val="19"/>
          </w:rPr>
          <w:t xml:space="preserve">R252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반대 방향의 근거도 있다. Merck는 2025년 이 협업에 3.75억 달러를 인식했고 공유 설비에 2.36억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달러를 별도 </w:t>
      </w:r>
      <w:r>
        <w:rPr>
          <w:rFonts w:ascii="맑은 고딕" w:hAnsi="맑은 고딕" w:eastAsia="맑은 고딕" w:cs="맑은 고딕"/>
          <w:b/>
          <w:sz w:val="21"/>
        </w:rPr>
        <w:t>자본화</w:t>
      </w:r>
      <w:r>
        <w:rPr>
          <w:rFonts w:ascii="맑은 고딕" w:hAnsi="맑은 고딕" w:eastAsia="맑은 고딕" w:cs="맑은 고딕"/>
          <w:b w:val="0"/>
          <w:sz w:val="21"/>
        </w:rPr>
        <w:t xml:space="preserve">했다 </w:t>
      </w:r>
      <w:r>
        <w:rPr>
          <w:sz w:val="19"/>
        </w:rPr>
        <w:t>[</w:t>
      </w:r>
      <w:hyperlink r:id="rId328">
        <w:r>
          <w:rPr>
            <w:rFonts w:ascii="D2Coding" w:hAnsi="D2Coding" w:eastAsia="D2Coding"/>
            <w:color w:val="1D4ED8"/>
            <w:sz w:val="19"/>
          </w:rPr>
          <w:t xml:space="preserve">R161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 — 자본화는 중단 의사와 배치되는 신호다. Moderna는 말버러에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20만 sqft 전용시설을 지어 2025년 9월 첫 환자 배치를 출하했다 </w:t>
      </w:r>
      <w:r>
        <w:rPr>
          <w:sz w:val="19"/>
        </w:rPr>
        <w:t>[</w:t>
      </w:r>
      <w:hyperlink r:id="rId335">
        <w:r>
          <w:rPr>
            <w:rFonts w:ascii="D2Coding" w:hAnsi="D2Coding" w:eastAsia="D2Coding"/>
            <w:color w:val="1D4ED8"/>
            <w:sz w:val="19"/>
          </w:rPr>
          <w:t xml:space="preserve">R843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36">
        <w:r>
          <w:rPr>
            <w:rFonts w:ascii="D2Coding" w:hAnsi="D2Coding" w:eastAsia="D2Coding"/>
            <w:color w:val="1D4ED8"/>
            <w:sz w:val="19"/>
          </w:rPr>
          <w:t xml:space="preserve">R166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즉 **양사 모두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자본을 계속 투입하고 있으며, 프로그램 중단은 임박하지 않았다** </w:t>
      </w:r>
      <w:r>
        <w:rPr>
          <w:sz w:val="19"/>
        </w:rPr>
        <w:t>[</w:t>
      </w:r>
      <w:hyperlink r:id="rId328">
        <w:r>
          <w:rPr>
            <w:rFonts w:ascii="D2Coding" w:hAnsi="D2Coding" w:eastAsia="D2Coding"/>
            <w:color w:val="1D4ED8"/>
            <w:sz w:val="19"/>
          </w:rPr>
          <w:t xml:space="preserve">R161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35">
        <w:r>
          <w:rPr>
            <w:rFonts w:ascii="D2Coding" w:hAnsi="D2Coding" w:eastAsia="D2Coding"/>
            <w:color w:val="1D4ED8"/>
            <w:sz w:val="19"/>
          </w:rPr>
          <w:t xml:space="preserve">R843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6.3 리스크 레지스터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#</w:t>
            </w:r>
          </w:p>
        </w:tc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리스크</w:t>
            </w:r>
          </w:p>
        </w:tc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발생가능성</w:t>
            </w:r>
          </w:p>
        </w:tc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영향도</w:t>
            </w:r>
          </w:p>
        </w:tc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선행 지표</w:t>
            </w:r>
          </w:p>
        </w:tc>
        <w:tc>
          <w:tcPr>
            <w:tcW w:type="dxa" w:w="1624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근거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INTerpath-001 3상이 2b 신호를 재현하지 못함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중간분석 DSMB 권고 공시, 1차완료일 변경, 동일 세팅 3상 실패 누적(CheckMate 915·RELATIVITY-098·KEYVIBE-010)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3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R130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R142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OS 이득 미입증 지속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RFS-OS 대리성 붕괴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5년 OS HR CI가 여전히 1 포함(0.165–1.345), 총 사망 14건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R002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급여 거절 또는 극단적 가격 압박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NNT 5.9 · 재정중립 단가 39,841달러 · NICE 증분 평가 프레임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4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R1035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4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R1037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8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R1030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적응증 추가 탈락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(cSCC 선례 반복)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등록정보 상태 변경, PCD 단축, "Business reasons" 표기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3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R009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3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R135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원부자재 시장이 형성되지 않음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 (LG화학 직결)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Maravai 상업 CleanCap 비중 0.0%, 매출총이익률 18.3%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R903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R902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6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고객 내재화로 공급 기회 소멸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 (LG화학 직결)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Moderna 플라스미드·저분자 내재화 공시, Pfizer의 Codexis 효소 자가제조 라이선스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R936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R945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7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조작 효소 IP가 원료 판매를 차단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 (LG화학 직결)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Moderna US2025/0250551 등록 여부(효소 자체·조성물·키트 청구)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3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R1240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8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CDMO 시장 미개방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 (LG화학 직결)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양사 개인맞춤 외부 CMO 미사용 공시 유지, CureVac TFF 특허 2036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4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R889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4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R1244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9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제조 신원연쇄 사고로 인한 임상·상업 중단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Moderna가 이미 발생 사실 인정(건수 비공개), 예비재고 원리적 부재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0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R831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4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R889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10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TAT 미개선으로 상업 요건 미충족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2017년 이후 8년간 개선 미공시, FY2025 정량 공시 삭제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4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R881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1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R887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11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항원 소실·HLA LOH에 의한 효능 잠식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재발 종양에서 표적 클론 제거 관찰, NSCLC LOH 40%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5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R211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2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R672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12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개발사 재무 압박에 따른 우선순위 강등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BioNTech 마일스톤 표에 iNeST 부재, Moderna 영업비용 추가 절감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3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R254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2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R552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13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정책 리스크의 종양 영역 전이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하~중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종양 mRNA를 명시한 연방·주 조치 등장 여부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1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R554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1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R555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14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off-the-shelf 경쟁자가 보조 슬롯 선점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fianlimab·lifileucel 3상 판독, MODERN ctDNA 전략 확립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0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R1051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0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R1053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15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한국인 데이터 부재로 국내 허가·급여 지연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효능 근거 한국인 0명, HLA-DQB1 타이핑 오류율 동아시아 &gt;11%</w:t>
            </w:r>
          </w:p>
        </w:tc>
        <w:tc>
          <w:tcPr>
            <w:tcW w:type="dxa" w:w="1624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106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R156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7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R627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pBdr>
          <w:bottom w:val="single" w:sz="6" w:color="DFE3E8"/>
        </w:pBdr>
      </w:pPr>
    </w:p>
    <w:p>
      <w:pPr>
        <w:keepNext/>
        <w:spacing w:before="280" w:after="80"/>
        <w:pBdr>
          <w:bottom w:val="single" w:sz="4" w:color="DFE3E8"/>
        </w:pBdr>
      </w:pPr>
      <w:r>
        <w:rPr>
          <w:rFonts w:ascii="맑은 고딕" w:hAnsi="맑은 고딕" w:eastAsia="맑은 고딕" w:cs="맑은 고딕"/>
          <w:b/>
          <w:color w:val="1D4ED8"/>
          <w:sz w:val="29"/>
        </w:rPr>
        <w:t>M7. 종합 판정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7.1 Q1 — 어느 검증 단계인가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답: 2b 신호 단계이며, 확증 데이터는 존재하지 않는다. 확신도 상.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3상 효능 데이터 0건, 최초 판독 2029-10-26 </w:t>
      </w:r>
      <w:r>
        <w:rPr>
          <w:sz w:val="19"/>
        </w:rPr>
        <w:t>[</w:t>
      </w:r>
      <w:hyperlink r:id="rId10">
        <w:r>
          <w:rPr>
            <w:rFonts w:ascii="D2Coding" w:hAnsi="D2Coding" w:eastAsia="D2Coding"/>
            <w:color w:val="1D4ED8"/>
            <w:sz w:val="19"/>
          </w:rPr>
          <w:t xml:space="preserve">R545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1">
        <w:r>
          <w:rPr>
            <w:rFonts w:ascii="D2Coding" w:hAnsi="D2Coding" w:eastAsia="D2Coding"/>
            <w:color w:val="1D4ED8"/>
            <w:sz w:val="19"/>
          </w:rPr>
          <w:t xml:space="preserve">R142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2b 자체가 개방표지·N=157·양측 p=0.053</w:t>
      </w:r>
    </w:p>
    <w:p>
      <w:pPr>
        <w:spacing w:after="120" w:line="324" w:lineRule="auto"/>
      </w:pPr>
      <w:r>
        <w:rPr>
          <w:sz w:val="19"/>
        </w:rPr>
        <w:t>[</w:t>
      </w:r>
      <w:hyperlink r:id="rId13">
        <w:r>
          <w:rPr>
            <w:rFonts w:ascii="D2Coding" w:hAnsi="D2Coding" w:eastAsia="D2Coding"/>
            <w:color w:val="1D4ED8"/>
            <w:sz w:val="19"/>
          </w:rPr>
          <w:t xml:space="preserve">R003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104">
        <w:r>
          <w:rPr>
            <w:rFonts w:ascii="D2Coding" w:hAnsi="D2Coding" w:eastAsia="D2Coding"/>
            <w:color w:val="1D4ED8"/>
            <w:sz w:val="19"/>
          </w:rPr>
          <w:t xml:space="preserve">R005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이고 5년 분석은 저자가 기술적·알파 미배정이라 명시했다 </w:t>
      </w:r>
      <w:r>
        <w:rPr>
          <w:sz w:val="19"/>
        </w:rPr>
        <w:t>[</w:t>
      </w:r>
      <w:hyperlink r:id="rId16">
        <w:r>
          <w:rPr>
            <w:rFonts w:ascii="D2Coding" w:hAnsi="D2Coding" w:eastAsia="D2Coding"/>
            <w:color w:val="1D4ED8"/>
            <w:sz w:val="19"/>
          </w:rPr>
          <w:t xml:space="preserve">R126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그 사이 나온 두 건의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무작위 판독은 각각 1차 평가변수 미충족(IMCODE001, p=0.3284) </w:t>
      </w:r>
      <w:r>
        <w:rPr>
          <w:sz w:val="19"/>
        </w:rPr>
        <w:t>[</w:t>
      </w:r>
      <w:hyperlink r:id="rId22">
        <w:r>
          <w:rPr>
            <w:rFonts w:ascii="D2Coding" w:hAnsi="D2Coding" w:eastAsia="D2Coding"/>
            <w:color w:val="1D4ED8"/>
            <w:sz w:val="19"/>
          </w:rPr>
          <w:t xml:space="preserve">R224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과 무용성 경계 교차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(BNT122-01) </w:t>
      </w:r>
      <w:r>
        <w:rPr>
          <w:sz w:val="19"/>
        </w:rPr>
        <w:t>[</w:t>
      </w:r>
      <w:hyperlink r:id="rId24">
        <w:r>
          <w:rPr>
            <w:rFonts w:ascii="D2Coding" w:hAnsi="D2Coding" w:eastAsia="D2Coding"/>
            <w:color w:val="1D4ED8"/>
            <w:sz w:val="19"/>
          </w:rPr>
          <w:t xml:space="preserve">R217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였다. </w:t>
      </w:r>
      <w:r>
        <w:rPr>
          <w:rFonts w:ascii="맑은 고딕" w:hAnsi="맑은 고딕" w:eastAsia="맑은 고딕" w:cs="맑은 고딕"/>
          <w:b/>
          <w:sz w:val="21"/>
        </w:rPr>
        <w:t>"3상이 2b를 재현하는가"라는 질문은 앞으로 3년간 답을 얻을 수 없다.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7.2 Q2 — 진짜 병목은 무엇인가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답: ① 효능 전환 ② 급여 ③ COGS의 고정비 구조 ④ vein-to-vein. 확신도 중~상.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① 효능 전환이 1순위</w:t>
      </w:r>
      <w:r>
        <w:rPr>
          <w:rFonts w:ascii="맑은 고딕" w:hAnsi="맑은 고딕" w:eastAsia="맑은 고딕" w:cs="맑은 고딕"/>
          <w:b w:val="0"/>
          <w:sz w:val="21"/>
        </w:rPr>
        <w:t>인 이유: 면역원성은 재현성 있게 유도되나(71%) 종양 축소·생존으로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전환되지 않는다(ORR 3.3%) </w:t>
      </w:r>
      <w:r>
        <w:rPr>
          <w:sz w:val="19"/>
        </w:rPr>
        <w:t>[</w:t>
      </w:r>
      <w:hyperlink r:id="rId20">
        <w:r>
          <w:rPr>
            <w:rFonts w:ascii="D2Coding" w:hAnsi="D2Coding" w:eastAsia="D2Coding"/>
            <w:color w:val="1D4ED8"/>
            <w:sz w:val="19"/>
          </w:rPr>
          <w:t xml:space="preserve">R235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1">
        <w:r>
          <w:rPr>
            <w:rFonts w:ascii="D2Coding" w:hAnsi="D2Coding" w:eastAsia="D2Coding"/>
            <w:color w:val="1D4ED8"/>
            <w:sz w:val="19"/>
          </w:rPr>
          <w:t xml:space="preserve">R232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예측 PPV가 6%(독립코호트 1.3%) </w:t>
      </w:r>
      <w:r>
        <w:rPr>
          <w:sz w:val="19"/>
        </w:rPr>
        <w:t>[</w:t>
      </w:r>
      <w:hyperlink r:id="rId68">
        <w:r>
          <w:rPr>
            <w:rFonts w:ascii="D2Coding" w:hAnsi="D2Coding" w:eastAsia="D2Coding"/>
            <w:color w:val="1D4ED8"/>
            <w:sz w:val="19"/>
          </w:rPr>
          <w:t xml:space="preserve">R631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51">
        <w:r>
          <w:rPr>
            <w:rFonts w:ascii="D2Coding" w:hAnsi="D2Coding" w:eastAsia="D2Coding"/>
            <w:color w:val="1D4ED8"/>
            <w:sz w:val="19"/>
          </w:rPr>
          <w:t xml:space="preserve">R635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면역반응 크기가 2–3 로그 부족하며 </w:t>
      </w:r>
      <w:r>
        <w:rPr>
          <w:sz w:val="19"/>
        </w:rPr>
        <w:t>[</w:t>
      </w:r>
      <w:hyperlink r:id="rId52">
        <w:r>
          <w:rPr>
            <w:rFonts w:ascii="D2Coding" w:hAnsi="D2Coding" w:eastAsia="D2Coding"/>
            <w:color w:val="1D4ED8"/>
            <w:sz w:val="19"/>
          </w:rPr>
          <w:t xml:space="preserve">R542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항원 소실 회피가 실제 관찰된다 </w:t>
      </w:r>
      <w:r>
        <w:rPr>
          <w:sz w:val="19"/>
        </w:rPr>
        <w:t>[</w:t>
      </w:r>
      <w:hyperlink r:id="rId53">
        <w:r>
          <w:rPr>
            <w:rFonts w:ascii="D2Coding" w:hAnsi="D2Coding" w:eastAsia="D2Coding"/>
            <w:color w:val="1D4ED8"/>
            <w:sz w:val="19"/>
          </w:rPr>
          <w:t xml:space="preserve">R211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② 급여가 2순위</w:t>
      </w:r>
      <w:r>
        <w:rPr>
          <w:rFonts w:ascii="맑은 고딕" w:hAnsi="맑은 고딕" w:eastAsia="맑은 고딕" w:cs="맑은 고딕"/>
          <w:b w:val="0"/>
          <w:sz w:val="21"/>
        </w:rPr>
        <w:t xml:space="preserve">인 이유: NNT 5.9에서 재정중립 단가가 39,841달러인데 </w:t>
      </w:r>
      <w:r>
        <w:rPr>
          <w:sz w:val="19"/>
        </w:rPr>
        <w:t>[</w:t>
      </w:r>
      <w:hyperlink r:id="rId48">
        <w:r>
          <w:rPr>
            <w:rFonts w:ascii="D2Coding" w:hAnsi="D2Coding" w:eastAsia="D2Coding"/>
            <w:color w:val="1D4ED8"/>
            <w:sz w:val="19"/>
          </w:rPr>
          <w:t xml:space="preserve">R1037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 이는 어떤 가격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시나리오보다도 낮다 </w:t>
      </w:r>
      <w:r>
        <w:rPr>
          <w:sz w:val="19"/>
        </w:rPr>
        <w:t>[</w:t>
      </w:r>
      <w:hyperlink r:id="rId282">
        <w:r>
          <w:rPr>
            <w:rFonts w:ascii="D2Coding" w:hAnsi="D2Coding" w:eastAsia="D2Coding"/>
            <w:color w:val="1D4ED8"/>
            <w:sz w:val="19"/>
          </w:rPr>
          <w:t xml:space="preserve">R1042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게다가 평가 기준이 "펨브롤리주맙 대비 증분"으로 이동했다 </w:t>
      </w:r>
      <w:r>
        <w:rPr>
          <w:sz w:val="19"/>
        </w:rPr>
        <w:t>[</w:t>
      </w:r>
      <w:hyperlink r:id="rId288">
        <w:r>
          <w:rPr>
            <w:rFonts w:ascii="D2Coding" w:hAnsi="D2Coding" w:eastAsia="D2Coding"/>
            <w:color w:val="1D4ED8"/>
            <w:sz w:val="19"/>
          </w:rPr>
          <w:t xml:space="preserve">R1030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③ COGS</w:t>
      </w:r>
      <w:r>
        <w:rPr>
          <w:rFonts w:ascii="맑은 고딕" w:hAnsi="맑은 고딕" w:eastAsia="맑은 고딕" w:cs="맑은 고딕"/>
          <w:b w:val="0"/>
          <w:sz w:val="21"/>
        </w:rPr>
        <w:t xml:space="preserve">는 원료가 아니라 </w:t>
      </w:r>
      <w:r>
        <w:rPr>
          <w:rFonts w:ascii="맑은 고딕" w:hAnsi="맑은 고딕" w:eastAsia="맑은 고딕" w:cs="맑은 고딕"/>
          <w:b/>
          <w:sz w:val="21"/>
        </w:rPr>
        <w:t>구조</w:t>
      </w:r>
      <w:r>
        <w:rPr>
          <w:rFonts w:ascii="맑은 고딕" w:hAnsi="맑은 고딕" w:eastAsia="맑은 고딕" w:cs="맑은 고딕"/>
          <w:b w:val="0"/>
          <w:sz w:val="21"/>
        </w:rPr>
        <w:t>의 문제다. 원부자재는 7.4%뿐이고 QC·인건비가 85%이며</w:t>
      </w:r>
    </w:p>
    <w:p>
      <w:pPr>
        <w:spacing w:after="120" w:line="324" w:lineRule="auto"/>
      </w:pPr>
      <w:r>
        <w:rPr>
          <w:sz w:val="19"/>
        </w:rPr>
        <w:t>[</w:t>
      </w:r>
      <w:hyperlink r:id="rId28">
        <w:r>
          <w:rPr>
            <w:rFonts w:ascii="D2Coding" w:hAnsi="D2Coding" w:eastAsia="D2Coding"/>
            <w:color w:val="1D4ED8"/>
            <w:sz w:val="19"/>
          </w:rPr>
          <w:t xml:space="preserve">R961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원료를 반값으로 해도 총 COGS는 3.2%만 줄어든다 </w:t>
      </w:r>
      <w:r>
        <w:rPr>
          <w:sz w:val="19"/>
        </w:rPr>
        <w:t>[</w:t>
      </w:r>
      <w:hyperlink r:id="rId341">
        <w:r>
          <w:rPr>
            <w:rFonts w:ascii="D2Coding" w:hAnsi="D2Coding" w:eastAsia="D2Coding"/>
            <w:color w:val="1D4ED8"/>
            <w:sz w:val="19"/>
          </w:rPr>
          <w:t xml:space="preserve">R987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④ TAT</w:t>
      </w:r>
      <w:r>
        <w:rPr>
          <w:rFonts w:ascii="맑은 고딕" w:hAnsi="맑은 고딕" w:eastAsia="맑은 고딕" w:cs="맑은 고딕"/>
          <w:b w:val="0"/>
          <w:sz w:val="21"/>
        </w:rPr>
        <w:t xml:space="preserve">는 실재하나(목표 대비 2.36배 격차 </w:t>
      </w:r>
      <w:r>
        <w:rPr>
          <w:sz w:val="19"/>
        </w:rPr>
        <w:t>[</w:t>
      </w:r>
      <w:hyperlink r:id="rId342">
        <w:r>
          <w:rPr>
            <w:rFonts w:ascii="D2Coding" w:hAnsi="D2Coding" w:eastAsia="D2Coding"/>
            <w:color w:val="1D4ED8"/>
            <w:sz w:val="19"/>
          </w:rPr>
          <w:t xml:space="preserve">R884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) 3상이 13주 브리지 설계로 우회하고 있고</w:t>
      </w:r>
    </w:p>
    <w:p>
      <w:pPr>
        <w:spacing w:after="120" w:line="324" w:lineRule="auto"/>
      </w:pPr>
      <w:r>
        <w:rPr>
          <w:sz w:val="19"/>
        </w:rPr>
        <w:t>[</w:t>
      </w:r>
      <w:hyperlink r:id="rId215">
        <w:r>
          <w:rPr>
            <w:rFonts w:ascii="D2Coding" w:hAnsi="D2Coding" w:eastAsia="D2Coding"/>
            <w:color w:val="1D4ED8"/>
            <w:sz w:val="19"/>
          </w:rPr>
          <w:t xml:space="preserve">R807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 ESPAC-3 근거도 있어 </w:t>
      </w:r>
      <w:r>
        <w:rPr>
          <w:sz w:val="19"/>
        </w:rPr>
        <w:t>[</w:t>
      </w:r>
      <w:hyperlink r:id="rId216">
        <w:r>
          <w:rPr>
            <w:rFonts w:ascii="D2Coding" w:hAnsi="D2Coding" w:eastAsia="D2Coding"/>
            <w:color w:val="1D4ED8"/>
            <w:sz w:val="19"/>
          </w:rPr>
          <w:t xml:space="preserve">R812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단독으로 상업화를 좌초시킬 요인으로 보기는 어렵다.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 w:cs="맑은 고딕"/>
          <w:b/>
          <w:sz w:val="21"/>
        </w:rPr>
        <w:t>안전성은 병목이 아니다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중단 23건 중 안전성 0건 </w:t>
      </w:r>
      <w:r>
        <w:rPr>
          <w:sz w:val="19"/>
        </w:rPr>
        <w:t>[</w:t>
      </w:r>
      <w:hyperlink r:id="rId19">
        <w:r>
          <w:rPr>
            <w:rFonts w:ascii="D2Coding" w:hAnsi="D2Coding" w:eastAsia="D2Coding"/>
            <w:color w:val="1D4ED8"/>
            <w:sz w:val="19"/>
          </w:rPr>
          <w:t xml:space="preserve">R013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Grade≥3 TRAE 25% vs 18% </w:t>
      </w:r>
      <w:r>
        <w:rPr>
          <w:sz w:val="19"/>
        </w:rPr>
        <w:t>[</w:t>
      </w:r>
      <w:hyperlink r:id="rId109">
        <w:r>
          <w:rPr>
            <w:rFonts w:ascii="D2Coding" w:hAnsi="D2Coding" w:eastAsia="D2Coding"/>
            <w:color w:val="1D4ED8"/>
            <w:sz w:val="19"/>
          </w:rPr>
          <w:t xml:space="preserve">R007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7.3 Q3 — 밸류체인 진입점과 시장 크기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답: 원부자재 진입의 경제성이 성립하지 않는다. 확신도 상.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산술이 명확하다. 환자 20,000명/년 × 46.1 mg = </w:t>
      </w:r>
      <w:r>
        <w:rPr>
          <w:rFonts w:ascii="맑은 고딕" w:hAnsi="맑은 고딕" w:eastAsia="맑은 고딕" w:cs="맑은 고딕"/>
          <w:b/>
          <w:sz w:val="21"/>
        </w:rPr>
        <w:t>연 922그램</w:t>
      </w:r>
      <w:r>
        <w:rPr>
          <w:rFonts w:ascii="맑은 고딕" w:hAnsi="맑은 고딕" w:eastAsia="맑은 고딕" w:cs="맑은 고딕"/>
          <w:b w:val="0"/>
          <w:sz w:val="21"/>
        </w:rPr>
        <w:t xml:space="preserve"> — 팬데믹 1년치 수요 240kg의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0.38%</w:t>
      </w:r>
      <w:r>
        <w:rPr>
          <w:rFonts w:ascii="맑은 고딕" w:hAnsi="맑은 고딕" w:eastAsia="맑은 고딕" w:cs="맑은 고딕"/>
          <w:b w:val="0"/>
          <w:sz w:val="21"/>
        </w:rPr>
        <w:t xml:space="preserve"> 다 </w:t>
      </w:r>
      <w:r>
        <w:rPr>
          <w:sz w:val="19"/>
        </w:rPr>
        <w:t>[</w:t>
      </w:r>
      <w:hyperlink r:id="rId29">
        <w:r>
          <w:rPr>
            <w:rFonts w:ascii="D2Coding" w:hAnsi="D2Coding" w:eastAsia="D2Coding"/>
            <w:color w:val="1D4ED8"/>
            <w:sz w:val="19"/>
          </w:rPr>
          <w:t xml:space="preserve">R964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0">
        <w:r>
          <w:rPr>
            <w:rFonts w:ascii="D2Coding" w:hAnsi="D2Coding" w:eastAsia="D2Coding"/>
            <w:color w:val="1D4ED8"/>
            <w:sz w:val="19"/>
          </w:rPr>
          <w:t xml:space="preserve">R966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20,000명/년 기준 SAM은 캡 유사체 253만 달러, m1Ψ-UTP 216만 달러,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이온화성 지질 620만~3,100만 달러이며 </w:t>
      </w:r>
      <w:r>
        <w:rPr>
          <w:sz w:val="19"/>
        </w:rPr>
        <w:t>[</w:t>
      </w:r>
      <w:hyperlink r:id="rId343">
        <w:r>
          <w:rPr>
            <w:rFonts w:ascii="D2Coding" w:hAnsi="D2Coding" w:eastAsia="D2Coding"/>
            <w:color w:val="1D4ED8"/>
            <w:sz w:val="19"/>
          </w:rPr>
          <w:t xml:space="preserve">R965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1">
        <w:r>
          <w:rPr>
            <w:rFonts w:ascii="D2Coding" w:hAnsi="D2Coding" w:eastAsia="D2Coding"/>
            <w:color w:val="1D4ED8"/>
            <w:sz w:val="19"/>
          </w:rPr>
          <w:t xml:space="preserve">R967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**최대 낙관인 50,000명/년에서도 전 품목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합계가 1억 달러에 못 미친다** </w:t>
      </w:r>
      <w:r>
        <w:rPr>
          <w:sz w:val="19"/>
        </w:rPr>
        <w:t>[</w:t>
      </w:r>
      <w:hyperlink r:id="rId32">
        <w:r>
          <w:rPr>
            <w:rFonts w:ascii="D2Coding" w:hAnsi="D2Coding" w:eastAsia="D2Coding"/>
            <w:color w:val="1D4ED8"/>
            <w:sz w:val="19"/>
          </w:rPr>
          <w:t xml:space="preserve">R990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LG화학 규모 기업의 신규 설비 투자 의사결정 대상이 되기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어렵다 </w:t>
      </w:r>
      <w:r>
        <w:rPr>
          <w:sz w:val="19"/>
        </w:rPr>
        <w:t>[</w:t>
      </w:r>
      <w:hyperlink r:id="rId31">
        <w:r>
          <w:rPr>
            <w:rFonts w:ascii="D2Coding" w:hAnsi="D2Coding" w:eastAsia="D2Coding"/>
            <w:color w:val="1D4ED8"/>
            <w:sz w:val="19"/>
          </w:rPr>
          <w:t xml:space="preserve">R967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진입 스크린(GMP 공급자 3곳 이하 · 단가 $10/g 이상 · 발효·효소 생산 가능 · DMF/GMP 등급이 장벽)을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통과하는 품목은 </w:t>
      </w:r>
      <w:r>
        <w:rPr>
          <w:rFonts w:ascii="맑은 고딕" w:hAnsi="맑은 고딕" w:eastAsia="맑은 고딕" w:cs="맑은 고딕"/>
          <w:b/>
          <w:sz w:val="21"/>
        </w:rPr>
        <w:t>효소군</w:t>
      </w:r>
      <w:r>
        <w:rPr>
          <w:rFonts w:ascii="맑은 고딕" w:hAnsi="맑은 고딕" w:eastAsia="맑은 고딕" w:cs="맑은 고딕"/>
          <w:b w:val="0"/>
          <w:sz w:val="21"/>
        </w:rPr>
        <w:t>이다 — T7 RNA 중합효소 및 저-dsRNA 조작 변이체, 무기 피로포스파타아제,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RNase 저해제, 백시니아 캡핑효소+2'-O-메틸트랜스퍼레이스, RNase III, DNase I </w:t>
      </w:r>
      <w:r>
        <w:rPr>
          <w:sz w:val="19"/>
        </w:rPr>
        <w:t>[</w:t>
      </w:r>
      <w:hyperlink r:id="rId344">
        <w:r>
          <w:rPr>
            <w:rFonts w:ascii="D2Coding" w:hAnsi="D2Coding" w:eastAsia="D2Coding"/>
            <w:color w:val="1D4ED8"/>
            <w:sz w:val="19"/>
          </w:rPr>
          <w:t xml:space="preserve">R969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그런데 </w:t>
      </w:r>
      <w:r>
        <w:rPr>
          <w:rFonts w:ascii="맑은 고딕" w:hAnsi="맑은 고딕" w:eastAsia="맑은 고딕" w:cs="맑은 고딕"/>
          <w:b/>
          <w:sz w:val="21"/>
        </w:rPr>
        <w:t>역량 적합도와 경제성이 역상관한다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발효로 가장 쉽게 만들 수 있는 표준 NTP는 환자당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원가가 </w:t>
      </w:r>
      <w:r>
        <w:rPr>
          <w:rFonts w:ascii="맑은 고딕" w:hAnsi="맑은 고딕" w:eastAsia="맑은 고딕" w:cs="맑은 고딕"/>
          <w:b/>
          <w:sz w:val="21"/>
        </w:rPr>
        <w:t>19.5달러</w:t>
      </w:r>
      <w:r>
        <w:rPr>
          <w:rFonts w:ascii="맑은 고딕" w:hAnsi="맑은 고딕" w:eastAsia="맑은 고딕" w:cs="맑은 고딕"/>
          <w:b w:val="0"/>
          <w:sz w:val="21"/>
        </w:rPr>
        <w:t>에 불과한 상품화 영역이고, 단가가 높은 m1Ψ-UTP·캡 유사체는 정밀화학·효소적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인산화를 요구한다 </w:t>
      </w:r>
      <w:r>
        <w:rPr>
          <w:sz w:val="19"/>
        </w:rPr>
        <w:t>[</w:t>
      </w:r>
      <w:hyperlink r:id="rId36">
        <w:r>
          <w:rPr>
            <w:rFonts w:ascii="D2Coding" w:hAnsi="D2Coding" w:eastAsia="D2Coding"/>
            <w:color w:val="1D4ED8"/>
            <w:sz w:val="19"/>
          </w:rPr>
          <w:t xml:space="preserve">R971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7.4 도식 ④ 밸류체인 진입점 히트맵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6F7F9"/>
          </w:tcPr>
          <w:p>
            <w:pPr>
              <w:spacing w:before="0" w:after="0" w:line="240" w:lineRule="auto"/>
            </w:pPr>
            <w:r/>
            <w:r>
              <w:rPr>
                <w:rFonts w:ascii="D2Coding" w:hAnsi="D2Coding" w:eastAsia="D2Coding" w:cs="D2Coding"/>
                <w:sz w:val="15"/>
              </w:rPr>
              <w:t>■ 도식 ④ 밸류체인 진입점 히트맵 (LG화학 관점)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범례  ●●● 매력적   ●●○ 조건부   ●○○ 비매력   ✖ 진입 불가/무의미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┌─────────────────────┬────────┬─────────┬──────────┬────────┬──────────────────────┐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밸류체인 단계       │ SAM    │ 공급자수│ IP 장벽  │ LG적합 │ 판정                 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├─────────────────────┼────────┼─────────┼──────────┼────────┼──────────────────────┤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WES/RNA-seq·바이오인포│ 소     │ 다수    │ KR EDGE! │ 낮음   │ ●○○ 국내사 영역      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DNA 주형(플라스미드) │ 소     │ 3-5     │ 낮음     │ 중     │ ●○○ 고객 내재화 진행 │[R936]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표준 NTP 3종        │ $19/환자│ 다수    │ 없음     │ **높음**│ ●○○ 상품화·초저마진  │[R971]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m1Ψ-UTP             │ $216만 │ 2-3     │ 2026-27만료│ 중     │ ●●○ 만료 임박이 기회 │[R020][R965]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캡 유사체           │ $253만 │ 1-2     │ **2040년대**│ 낮음   │ ✖ TriLink 특허벽     │[R1148]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**T7 중합효소(야생형)**│ 소   │ 다수    │ **공중영역**│ **높음**│ ●●○ 개방·단 저가     │[R1206]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**T7 조작 변이체**   │ 중    │ 1-2     │ **2038**  │ **높음**│ ✖ Moderna 효소 자체 청구│[R1240]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피로포스파타아제·RNase저해제│ 소│ 2-3   │ 낮음     │ **높음**│ ●●○ 스크린 통과·규모 작음│[R969]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캡핑효소(VCE+2'-O-MTase)│ 소 │ 2-3     │ 중       │ **높음**│ ●●○ Moderna 진영 한정 │[R917]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이온화성 지질        │$620-3100만│ 3-4  │ **2036 화합물**│ 중 │ ✖ Acuitas 물질특허   │[R1226]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정제 소모품·수지     │ 소     │ 다수    │ 낮음     │ 낮음   │ ●○○                  │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**개인맞춤 mRNA CDMO**│ —    │ **0**   │ **2036 TFF**│ 중   │ ✖ 시장 부재+공정특허 │[R889][R1244]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**QC·분석·출하시험** │ **COGS의 85%**│ 다수│ 낮음  │ 낮음   │ ●●○ 최대 풀·역량 불일치│[R961]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│ 디지털 신원연쇄·자동화│ 중    │ 소수    │ 영업비밀 │ **낮음**│ ✖ LG 강점과 무관     │[R989]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>└─────────────────────┴────────┴─────────┴──────────┴────────┴──────────────────────┘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★ 구조적 결론: LG화학 역량이 높은 칸(효소·발효)은 SAM이 작거나 IP로 막혀 있고,</w:t>
            </w:r>
          </w:p>
          <w:p>
            <w:pPr>
              <w:spacing w:before="0" w:after="0" w:line="240" w:lineRule="auto"/>
            </w:pPr>
            <w:r>
              <w:rPr>
                <w:rFonts w:ascii="D2Coding" w:hAnsi="D2Coding" w:eastAsia="D2Coding" w:cs="D2Coding"/>
                <w:sz w:val="15"/>
              </w:rPr>
              <w:t xml:space="preserve">     돈이 있는 칸(QC·인건비 85%)은 역량이 맞지 않는다. 이 불일치가 (a)(b)안 탈락의 근거다.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7.5 Q4 — 실패가 말하는 구조적 한계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답: 과학이 아니라 실행·자본이 먼저 무너진다. 확신도 상.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등록정보 기준으로 안전성·무효 중단은 0건이고 모집실패·자금이 절반을 차지한다 </w:t>
      </w:r>
      <w:r>
        <w:rPr>
          <w:sz w:val="19"/>
        </w:rPr>
        <w:t>[</w:t>
      </w:r>
      <w:hyperlink r:id="rId19">
        <w:r>
          <w:rPr>
            <w:rFonts w:ascii="D2Coding" w:hAnsi="D2Coding" w:eastAsia="D2Coding"/>
            <w:color w:val="1D4ED8"/>
            <w:sz w:val="19"/>
          </w:rPr>
          <w:t xml:space="preserve">R013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그러나 더 깊은 층위에 네 가지 구조적 한계가 있다.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(i) 예측의 한계</w:t>
      </w:r>
      <w:r>
        <w:rPr>
          <w:rFonts w:ascii="맑은 고딕" w:hAnsi="맑은 고딕" w:eastAsia="맑은 고딕" w:cs="맑은 고딕"/>
          <w:b w:val="0"/>
          <w:sz w:val="21"/>
        </w:rPr>
        <w:t xml:space="preserve"> — TESLA 실측 hit rate 6%, 독립 코호트 1.3% </w:t>
      </w:r>
      <w:r>
        <w:rPr>
          <w:sz w:val="19"/>
        </w:rPr>
        <w:t>[</w:t>
      </w:r>
      <w:hyperlink r:id="rId68">
        <w:r>
          <w:rPr>
            <w:rFonts w:ascii="D2Coding" w:hAnsi="D2Coding" w:eastAsia="D2Coding"/>
            <w:color w:val="1D4ED8"/>
            <w:sz w:val="19"/>
          </w:rPr>
          <w:t xml:space="preserve">R631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51">
        <w:r>
          <w:rPr>
            <w:rFonts w:ascii="D2Coding" w:hAnsi="D2Coding" w:eastAsia="D2Coding"/>
            <w:color w:val="1D4ED8"/>
            <w:sz w:val="19"/>
          </w:rPr>
          <w:t xml:space="preserve">R635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면역원성 예측기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7종 전부 AUC 0.52–0.60 </w:t>
      </w:r>
      <w:r>
        <w:rPr>
          <w:sz w:val="19"/>
        </w:rPr>
        <w:t>[</w:t>
      </w:r>
      <w:hyperlink r:id="rId74">
        <w:r>
          <w:rPr>
            <w:rFonts w:ascii="D2Coding" w:hAnsi="D2Coding" w:eastAsia="D2Coding"/>
            <w:color w:val="1D4ED8"/>
            <w:sz w:val="19"/>
          </w:rPr>
          <w:t xml:space="preserve">R637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</w:t>
      </w:r>
      <w:r>
        <w:rPr>
          <w:rFonts w:ascii="맑은 고딕" w:hAnsi="맑은 고딕" w:eastAsia="맑은 고딕" w:cs="맑은 고딕"/>
          <w:b/>
          <w:sz w:val="21"/>
        </w:rPr>
        <w:t>(ii) 반응 크기의 한계</w:t>
      </w:r>
      <w:r>
        <w:rPr>
          <w:rFonts w:ascii="맑은 고딕" w:hAnsi="맑은 고딕" w:eastAsia="맑은 고딕" w:cs="맑은 고딕"/>
          <w:b w:val="0"/>
          <w:sz w:val="21"/>
        </w:rPr>
        <w:t xml:space="preserve"> — 바이러스 백신 대비 2–3 로그 부족</w:t>
      </w:r>
    </w:p>
    <w:p>
      <w:pPr>
        <w:spacing w:after="120" w:line="324" w:lineRule="auto"/>
      </w:pPr>
      <w:r>
        <w:rPr>
          <w:sz w:val="19"/>
        </w:rPr>
        <w:t>[</w:t>
      </w:r>
      <w:hyperlink r:id="rId52">
        <w:r>
          <w:rPr>
            <w:rFonts w:ascii="D2Coding" w:hAnsi="D2Coding" w:eastAsia="D2Coding"/>
            <w:color w:val="1D4ED8"/>
            <w:sz w:val="19"/>
          </w:rPr>
          <w:t xml:space="preserve">R542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. </w:t>
      </w:r>
      <w:r>
        <w:rPr>
          <w:rFonts w:ascii="맑은 고딕" w:hAnsi="맑은 고딕" w:eastAsia="맑은 고딕" w:cs="맑은 고딕"/>
          <w:b/>
          <w:sz w:val="21"/>
        </w:rPr>
        <w:t>(iii) 표적의 불안정성</w:t>
      </w:r>
      <w:r>
        <w:rPr>
          <w:rFonts w:ascii="맑은 고딕" w:hAnsi="맑은 고딕" w:eastAsia="맑은 고딕" w:cs="맑은 고딕"/>
          <w:b w:val="0"/>
          <w:sz w:val="21"/>
        </w:rPr>
        <w:t xml:space="preserve"> — 항원 소실 회피 관찰 </w:t>
      </w:r>
      <w:r>
        <w:rPr>
          <w:sz w:val="19"/>
        </w:rPr>
        <w:t>[</w:t>
      </w:r>
      <w:hyperlink r:id="rId53">
        <w:r>
          <w:rPr>
            <w:rFonts w:ascii="D2Coding" w:hAnsi="D2Coding" w:eastAsia="D2Coding"/>
            <w:color w:val="1D4ED8"/>
            <w:sz w:val="19"/>
          </w:rPr>
          <w:t xml:space="preserve">R211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HLA LOH 18–40% </w:t>
      </w:r>
      <w:r>
        <w:rPr>
          <w:sz w:val="19"/>
        </w:rPr>
        <w:t>[</w:t>
      </w:r>
      <w:hyperlink r:id="rId124">
        <w:r>
          <w:rPr>
            <w:rFonts w:ascii="D2Coding" w:hAnsi="D2Coding" w:eastAsia="D2Coding"/>
            <w:color w:val="1D4ED8"/>
            <w:sz w:val="19"/>
          </w:rPr>
          <w:t xml:space="preserve">R672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(iv) 역사적 기저율</w:t>
      </w:r>
      <w:r>
        <w:rPr>
          <w:rFonts w:ascii="맑은 고딕" w:hAnsi="맑은 고딕" w:eastAsia="맑은 고딕" w:cs="맑은 고딕"/>
          <w:b w:val="0"/>
          <w:sz w:val="21"/>
        </w:rPr>
        <w:t xml:space="preserve"> — 치료용 암백신 3상 0/7, 누적 7,650명 이상 </w:t>
      </w:r>
      <w:r>
        <w:rPr>
          <w:sz w:val="19"/>
        </w:rPr>
        <w:t>[</w:t>
      </w:r>
      <w:hyperlink r:id="rId54">
        <w:r>
          <w:rPr>
            <w:rFonts w:ascii="D2Coding" w:hAnsi="D2Coding" w:eastAsia="D2Coding"/>
            <w:color w:val="1D4ED8"/>
            <w:sz w:val="19"/>
          </w:rPr>
          <w:t xml:space="preserve">R562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여기에 </w:t>
      </w:r>
      <w:r>
        <w:rPr>
          <w:rFonts w:ascii="맑은 고딕" w:hAnsi="맑은 고딕" w:eastAsia="맑은 고딕" w:cs="맑은 고딕"/>
          <w:b/>
          <w:sz w:val="21"/>
        </w:rPr>
        <w:t>"더 나은 AI가 해답"이라는 가설의 반례가 둘 있다</w:t>
      </w:r>
      <w:r>
        <w:rPr>
          <w:rFonts w:ascii="맑은 고딕" w:hAnsi="맑은 고딕" w:eastAsia="맑은 고딕" w:cs="맑은 고딕"/>
          <w:b w:val="0"/>
          <w:sz w:val="21"/>
        </w:rPr>
        <w:t>. Gritstone은 EDGE라는 최선도 예측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플랫폼을 갖고도 파산해 전 자산이 2,125만 달러에 팔렸고 </w:t>
      </w:r>
      <w:r>
        <w:rPr>
          <w:sz w:val="19"/>
        </w:rPr>
        <w:t>[</w:t>
      </w:r>
      <w:hyperlink r:id="rId345">
        <w:r>
          <w:rPr>
            <w:rFonts w:ascii="D2Coding" w:hAnsi="D2Coding" w:eastAsia="D2Coding"/>
            <w:color w:val="1D4ED8"/>
            <w:sz w:val="19"/>
          </w:rPr>
          <w:t xml:space="preserve">R670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46">
        <w:r>
          <w:rPr>
            <w:rFonts w:ascii="D2Coding" w:hAnsi="D2Coding" w:eastAsia="D2Coding"/>
            <w:color w:val="1D4ED8"/>
            <w:sz w:val="19"/>
          </w:rPr>
          <w:t xml:space="preserve">R1132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 Genocea는 예측을 아예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버리고 환자 T세포 실증 스크리닝을 썼음에도 청산되었다 </w:t>
      </w:r>
      <w:r>
        <w:rPr>
          <w:sz w:val="19"/>
        </w:rPr>
        <w:t>[</w:t>
      </w:r>
      <w:hyperlink r:id="rId150">
        <w:r>
          <w:rPr>
            <w:rFonts w:ascii="D2Coding" w:hAnsi="D2Coding" w:eastAsia="D2Coding"/>
            <w:color w:val="1D4ED8"/>
            <w:sz w:val="19"/>
          </w:rPr>
          <w:t xml:space="preserve">R565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**예측 정확도는 이 사업의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율속 단계가 아닐 가능성이 높다.**</w:t>
      </w: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7.6 향후 12–24개월 관전 포인트 5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#</w:t>
            </w:r>
          </w:p>
        </w:tc>
        <w:tc>
          <w:tcPr>
            <w:tcW w:type="dxa" w:w="19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관전 포인트</w:t>
            </w:r>
          </w:p>
        </w:tc>
        <w:tc>
          <w:tcPr>
            <w:tcW w:type="dxa" w:w="19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판정 기준</w:t>
            </w:r>
          </w:p>
        </w:tc>
        <w:tc>
          <w:tcPr>
            <w:tcW w:type="dxa" w:w="19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예상 시점</w:t>
            </w:r>
          </w:p>
        </w:tc>
        <w:tc>
          <w:tcPr>
            <w:tcW w:type="dxa" w:w="19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근거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BNT122-01 최종분석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이 모달리티 최초의 무작위 확증 판독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DFS HR과 CI. 무용성 교차 이력이 있어 양성이면 매우 강한 신호, 음성이면 범주 전체에 타격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2027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(2026→2027 연기됨)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R217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12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R220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INTerpath-002 (NSCLC 3상) 등록 완료·중간분석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매출의 80%를 좌우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등록 완료 공시, PCD 변경 여부. 개시 2년 8개월째 모집 중이라 지연 자체가 신호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2027–2030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4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R143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8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R1042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3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적응증 추가 탈락 여부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cSCC 선례가 반복되는가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등록정보의 상태 변경·PCD 단축·"Business reasons" 표기. -005는 이미 6.5개월 지연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상시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3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R009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4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R146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Moderna T7 조작 변이체 특허(US2025/0250551) 등록 여부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효소 자체·조성물·키트 청구가 등록되면 원료 효소 판매 모델이 직접 차단됨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12–24개월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23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R1240</w:t>
              </w:r>
            </w:hyperlink>
            <w:r>
              <w:rPr>
                <w:sz w:val="15"/>
              </w:rPr>
              <w:t>]</w:t>
            </w:r>
          </w:p>
        </w:tc>
      </w:tr>
      <w:tr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5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BioNTech의 iNeST 자원 배분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마일스톤 표 복귀 여부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분기보고서 iNeST 섹션 서술 유지/삭제, 2027 마일스톤 표 등재 여부. 창업자 2인 별도 회사 이동(2026년 말)의 영향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2026 Q4–2027</w:t>
            </w:r>
          </w:p>
        </w:tc>
        <w:tc>
          <w:tcPr>
            <w:tcW w:type="dxa" w:w="1949"/>
          </w:tcPr>
          <w:p>
            <w:pPr>
              <w:spacing w:before="20" w:after="20"/>
            </w:pPr>
            <w:r/>
            <w:r>
              <w:rPr>
                <w:sz w:val="15"/>
              </w:rPr>
              <w:t>[</w:t>
            </w:r>
            <w:hyperlink r:id="rId33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R254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4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R262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5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R255</w:t>
              </w:r>
            </w:hyperlink>
            <w:r>
              <w:rPr>
                <w:sz w:val="15"/>
              </w:rPr>
              <w:t>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맑은 고딕" w:hAnsi="맑은 고딕" w:eastAsia="맑은 고딕" w:cs="맑은 고딕"/>
          <w:b/>
          <w:color w:val="16191D"/>
          <w:sz w:val="25"/>
        </w:rPr>
        <w:t>7.7 LG화학 전략 옵션 3안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항목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(a) 원부자재·효소 공급 진입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(b) CDMO / 분석 서비스</w:t>
            </w:r>
          </w:p>
        </w:tc>
        <w:tc>
          <w:tcPr>
            <w:tcW w:type="dxa" w:w="2436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(c) 미진입 + 조건부 관전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논거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진입 스크린 통과 품목이 효소군에 존재 </w:t>
            </w:r>
            <w:r>
              <w:rPr>
                <w:sz w:val="15"/>
              </w:rPr>
              <w:t>[</w:t>
            </w:r>
            <w:hyperlink r:id="rId34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R969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m1Ψ 특허 2026–27 만료로 개방 </w:t>
            </w:r>
            <w:r>
              <w:rPr>
                <w:sz w:val="15"/>
              </w:rPr>
              <w:t>[</w:t>
            </w:r>
            <w:hyperlink r:id="rId22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R020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QC·분석이 COGS의 85% </w:t>
            </w:r>
            <w:r>
              <w:rPr>
                <w:sz w:val="15"/>
              </w:rPr>
              <w:t>[</w:t>
            </w:r>
            <w:hyperlink r:id="rId2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R961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국내 임상 인프라 이미 편입 </w:t>
            </w:r>
            <w:r>
              <w:rPr>
                <w:sz w:val="15"/>
              </w:rPr>
              <w:t>[</w:t>
            </w:r>
            <w:hyperlink r:id="rId4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R012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위 두 안의 탈락 조건이 이미 충족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필요 투자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GMP 효소 설비 + DMF 등록. 수백억 원 규모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mRNA GMP 스위트 + 개인맞춤 디지털 품질시스템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인력 1–2명 수준의 모니터링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리드타임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4–6년 (GMP 검증 + 고객 채택)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5–7년 (시장 자체가 2029년 이후 형성)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해자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규제자산(DMF·GMP 이력), 공급 안정성·지역화 </w:t>
            </w:r>
            <w:r>
              <w:rPr>
                <w:sz w:val="15"/>
              </w:rPr>
              <w:t>[</w:t>
            </w:r>
            <w:hyperlink r:id="rId341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R987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디지털 신원연쇄 품질시스템 </w:t>
            </w:r>
            <w:r>
              <w:rPr>
                <w:sz w:val="15"/>
              </w:rPr>
              <w:t>[</w:t>
            </w:r>
            <w:hyperlink r:id="rId4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R989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탈락 조건 (이미 충족)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SAM이 50,000명/년에서도 1억 달러 미만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sz w:val="15"/>
              </w:rPr>
              <w:t>[</w:t>
            </w:r>
            <w:hyperlink r:id="rId3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R990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원료는 COGS의 7.4% </w:t>
            </w:r>
            <w:r>
              <w:rPr>
                <w:sz w:val="15"/>
              </w:rPr>
              <w:t>[</w:t>
            </w:r>
            <w:hyperlink r:id="rId2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R961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Maravai 매출총이익률 80.9→18.3% 붕괴, 상업 CleanCap 비중 0.0% </w:t>
            </w:r>
            <w:r>
              <w:rPr>
                <w:sz w:val="15"/>
              </w:rPr>
              <w:t>[</w:t>
            </w:r>
            <w:hyperlink r:id="rId3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R902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R903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고객 내재화 실증(Moderna 플라스미드, Pfizer 효소) </w:t>
            </w:r>
            <w:r>
              <w:rPr>
                <w:sz w:val="15"/>
              </w:rPr>
              <w:t>[</w:t>
            </w:r>
            <w:hyperlink r:id="rId37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R936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8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R945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조작 T7은 2038년까지 Moderna 청구 </w:t>
            </w:r>
            <w:r>
              <w:rPr>
                <w:sz w:val="15"/>
              </w:rPr>
              <w:t>[</w:t>
            </w:r>
            <w:hyperlink r:id="rId234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R1240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캡·지질은 물질특허로 차단 </w:t>
            </w:r>
            <w:r>
              <w:rPr>
                <w:sz w:val="15"/>
              </w:rPr>
              <w:t>[</w:t>
            </w:r>
            <w:hyperlink r:id="rId232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R1148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23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R1226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시장이 존재하지 않는다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— 양사 모두 개인맞춤 외부 CMO 미사용 </w:t>
            </w:r>
            <w:r>
              <w:rPr>
                <w:sz w:val="15"/>
              </w:rPr>
              <w:t>[</w:t>
            </w:r>
            <w:hyperlink r:id="rId40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R889</w:t>
              </w:r>
            </w:hyperlink>
            <w:r>
              <w:rPr>
                <w:sz w:val="15"/>
              </w:rPr>
              <w:t>]</w:t>
            </w:r>
            <w:r>
              <w:rPr>
                <w:sz w:val="15"/>
              </w:rPr>
              <w:t>[</w:t>
            </w:r>
            <w:hyperlink r:id="rId39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R835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CureVac TFF 공정특허가 표준공정 자체를 2036년까지 청구, 회피 여지 극소 </w:t>
            </w:r>
            <w:r>
              <w:rPr>
                <w:sz w:val="15"/>
              </w:rPr>
              <w:t>[</w:t>
            </w:r>
            <w:hyperlink r:id="rId43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R1244</w:t>
              </w:r>
            </w:hyperlink>
            <w:r>
              <w:rPr>
                <w:sz w:val="15"/>
              </w:rPr>
              <w:t>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. 국내 최강 에스티팜조차 2025년 매출 중 mRNA 0.9%·개인맞춤 수주 실적 미제시 </w:t>
            </w:r>
            <w:r>
              <w:rPr>
                <w:sz w:val="15"/>
              </w:rPr>
              <w:t>[</w:t>
            </w:r>
            <w:hyperlink r:id="rId165">
              <w:r>
                <w:rPr>
                  <w:rFonts w:ascii="D2Coding" w:hAnsi="D2Coding" w:eastAsia="D2Coding"/>
                  <w:color w:val="1D4ED8"/>
                  <w:sz w:val="15"/>
                </w:rPr>
                <w:t xml:space="preserve">R413</w:t>
              </w:r>
            </w:hyperlink>
            <w:r>
              <w:rPr>
                <w:sz w:val="15"/>
              </w:rPr>
              <w:t>]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판정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비권고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비권고</w:t>
            </w:r>
          </w:p>
        </w:tc>
        <w:tc>
          <w:tcPr>
            <w:tcW w:type="dxa" w:w="2436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권고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권고: (c) 미진입 + 조건부 관전.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이유는 단일 요인이 아니라 </w:t>
      </w:r>
      <w:r>
        <w:rPr>
          <w:rFonts w:ascii="맑은 고딕" w:hAnsi="맑은 고딕" w:eastAsia="맑은 고딕" w:cs="맑은 고딕"/>
          <w:b/>
          <w:sz w:val="21"/>
        </w:rPr>
        <w:t>세 축의 동시 불일치</w:t>
      </w:r>
      <w:r>
        <w:rPr>
          <w:rFonts w:ascii="맑은 고딕" w:hAnsi="맑은 고딕" w:eastAsia="맑은 고딕" w:cs="맑은 고딕"/>
          <w:b w:val="0"/>
          <w:sz w:val="21"/>
        </w:rPr>
        <w:t>다. ① 시장 크기가 설비 투자 문턱 아래이고</w:t>
      </w:r>
    </w:p>
    <w:p>
      <w:pPr>
        <w:spacing w:after="120" w:line="324" w:lineRule="auto"/>
      </w:pPr>
      <w:r>
        <w:rPr>
          <w:sz w:val="19"/>
        </w:rPr>
        <w:t>[</w:t>
      </w:r>
      <w:hyperlink r:id="rId32">
        <w:r>
          <w:rPr>
            <w:rFonts w:ascii="D2Coding" w:hAnsi="D2Coding" w:eastAsia="D2Coding"/>
            <w:color w:val="1D4ED8"/>
            <w:sz w:val="19"/>
          </w:rPr>
          <w:t xml:space="preserve">R990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 xml:space="preserve">, ② LG화학 역량이 높은 칸(발효·효소)은 IP로 막혔거나 저마진이며 </w:t>
      </w:r>
      <w:r>
        <w:rPr>
          <w:sz w:val="19"/>
        </w:rPr>
        <w:t>[</w:t>
      </w:r>
      <w:hyperlink r:id="rId234">
        <w:r>
          <w:rPr>
            <w:rFonts w:ascii="D2Coding" w:hAnsi="D2Coding" w:eastAsia="D2Coding"/>
            <w:color w:val="1D4ED8"/>
            <w:sz w:val="19"/>
          </w:rPr>
          <w:t xml:space="preserve">R1240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36">
        <w:r>
          <w:rPr>
            <w:rFonts w:ascii="D2Coding" w:hAnsi="D2Coding" w:eastAsia="D2Coding"/>
            <w:color w:val="1D4ED8"/>
            <w:sz w:val="19"/>
          </w:rPr>
          <w:t xml:space="preserve">R971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,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③ 돈이 몰린 칸(QC·인건비 85%)은 역량이 맞지 않는다 </w:t>
      </w:r>
      <w:r>
        <w:rPr>
          <w:sz w:val="19"/>
        </w:rPr>
        <w:t>[</w:t>
      </w:r>
      <w:hyperlink r:id="rId28">
        <w:r>
          <w:rPr>
            <w:rFonts w:ascii="D2Coding" w:hAnsi="D2Coding" w:eastAsia="D2Coding"/>
            <w:color w:val="1D4ED8"/>
            <w:sz w:val="19"/>
          </w:rPr>
          <w:t xml:space="preserve">R961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49">
        <w:r>
          <w:rPr>
            <w:rFonts w:ascii="D2Coding" w:hAnsi="D2Coding" w:eastAsia="D2Coding"/>
            <w:color w:val="1D4ED8"/>
            <w:sz w:val="19"/>
          </w:rPr>
          <w:t xml:space="preserve">R989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여기에 이 모달리티 자체의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효능이 미검증 상태(3상 0건, 무작위 판독 2건 모두 실패)라는 상위 불확실성이 겹친다 </w:t>
      </w:r>
      <w:r>
        <w:rPr>
          <w:sz w:val="19"/>
        </w:rPr>
        <w:t>[</w:t>
      </w:r>
      <w:hyperlink r:id="rId10">
        <w:r>
          <w:rPr>
            <w:rFonts w:ascii="D2Coding" w:hAnsi="D2Coding" w:eastAsia="D2Coding"/>
            <w:color w:val="1D4ED8"/>
            <w:sz w:val="19"/>
          </w:rPr>
          <w:t xml:space="preserve">R545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2">
        <w:r>
          <w:rPr>
            <w:rFonts w:ascii="D2Coding" w:hAnsi="D2Coding" w:eastAsia="D2Coding"/>
            <w:color w:val="1D4ED8"/>
            <w:sz w:val="19"/>
          </w:rPr>
          <w:t xml:space="preserve">R224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4">
        <w:r>
          <w:rPr>
            <w:rFonts w:ascii="D2Coding" w:hAnsi="D2Coding" w:eastAsia="D2Coding"/>
            <w:color w:val="1D4ED8"/>
            <w:sz w:val="19"/>
          </w:rPr>
          <w:t xml:space="preserve">R217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재검토 트리거를 명시한다.</w:t>
      </w:r>
      <w:r>
        <w:rPr>
          <w:rFonts w:ascii="맑은 고딕" w:hAnsi="맑은 고딕" w:eastAsia="맑은 고딕" w:cs="맑은 고딕"/>
          <w:b w:val="0"/>
          <w:sz w:val="21"/>
        </w:rPr>
        <w:t xml:space="preserve"> 아래 중 </w:t>
      </w:r>
      <w:r>
        <w:rPr>
          <w:rFonts w:ascii="맑은 고딕" w:hAnsi="맑은 고딕" w:eastAsia="맑은 고딕" w:cs="맑은 고딕"/>
          <w:b/>
          <w:sz w:val="21"/>
        </w:rPr>
        <w:t>둘 이상</w:t>
      </w:r>
      <w:r>
        <w:rPr>
          <w:rFonts w:ascii="맑은 고딕" w:hAnsi="맑은 고딕" w:eastAsia="맑은 고딕" w:cs="맑은 고딕"/>
          <w:b w:val="0"/>
          <w:sz w:val="21"/>
        </w:rPr>
        <w:t>이 충족되면 (a)(b)안을 재평가한다.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 xml:space="preserve">BNT122-01 또는 INTerpath-001이 </w:t>
      </w:r>
      <w:r>
        <w:rPr>
          <w:rFonts w:ascii="맑은 고딕" w:hAnsi="맑은 고딕" w:eastAsia="맑은 고딕" w:cs="맑은 고딕"/>
          <w:b/>
          <w:sz w:val="21"/>
        </w:rPr>
        <w:t>OS를 포함한 양성 판독</w:t>
      </w:r>
      <w:r>
        <w:rPr>
          <w:rFonts w:ascii="맑은 고딕" w:hAnsi="맑은 고딕" w:eastAsia="맑은 고딕" w:cs="맑은 고딕"/>
          <w:b w:val="0"/>
          <w:sz w:val="21"/>
        </w:rPr>
        <w:t xml:space="preserve">을 낸다 </w:t>
      </w:r>
      <w:r>
        <w:rPr>
          <w:sz w:val="19"/>
        </w:rPr>
        <w:t>[</w:t>
      </w:r>
      <w:hyperlink r:id="rId15">
        <w:r>
          <w:rPr>
            <w:rFonts w:ascii="D2Coding" w:hAnsi="D2Coding" w:eastAsia="D2Coding"/>
            <w:color w:val="1D4ED8"/>
            <w:sz w:val="19"/>
          </w:rPr>
          <w:t xml:space="preserve">R001</w:t>
        </w:r>
      </w:hyperlink>
      <w:r>
        <w:rPr>
          <w:sz w:val="19"/>
        </w:rPr>
        <w:t>]</w:t>
      </w:r>
      <w:r>
        <w:rPr>
          <w:sz w:val="19"/>
        </w:rPr>
        <w:t>[</w:t>
      </w:r>
      <w:hyperlink r:id="rId24">
        <w:r>
          <w:rPr>
            <w:rFonts w:ascii="D2Coding" w:hAnsi="D2Coding" w:eastAsia="D2Coding"/>
            <w:color w:val="1D4ED8"/>
            <w:sz w:val="19"/>
          </w:rPr>
          <w:t xml:space="preserve">R217</w:t>
        </w:r>
      </w:hyperlink>
      <w:r>
        <w:rPr>
          <w:sz w:val="19"/>
        </w:rPr>
        <w:t>]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 xml:space="preserve">개발사 중 한 곳이 개인맞춤 제품에 </w:t>
      </w:r>
      <w:r>
        <w:rPr>
          <w:rFonts w:ascii="맑은 고딕" w:hAnsi="맑은 고딕" w:eastAsia="맑은 고딕" w:cs="맑은 고딕"/>
          <w:b/>
          <w:sz w:val="21"/>
        </w:rPr>
        <w:t>외부 CDMO를 사용한다고 공시</w:t>
      </w:r>
      <w:r>
        <w:rPr>
          <w:rFonts w:ascii="맑은 고딕" w:hAnsi="맑은 고딕" w:eastAsia="맑은 고딕" w:cs="맑은 고딕"/>
          <w:b w:val="0"/>
          <w:sz w:val="21"/>
        </w:rPr>
        <w:t xml:space="preserve">한다 </w:t>
      </w:r>
      <w:r>
        <w:rPr>
          <w:sz w:val="19"/>
        </w:rPr>
        <w:t>[</w:t>
      </w:r>
      <w:hyperlink r:id="rId40">
        <w:r>
          <w:rPr>
            <w:rFonts w:ascii="D2Coding" w:hAnsi="D2Coding" w:eastAsia="D2Coding"/>
            <w:color w:val="1D4ED8"/>
            <w:sz w:val="19"/>
          </w:rPr>
          <w:t xml:space="preserve">R889</w:t>
        </w:r>
      </w:hyperlink>
      <w:r>
        <w:rPr>
          <w:sz w:val="19"/>
        </w:rPr>
        <w:t>]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 xml:space="preserve">연간 처리 환자 수가 </w:t>
      </w:r>
      <w:r>
        <w:rPr>
          <w:rFonts w:ascii="맑은 고딕" w:hAnsi="맑은 고딕" w:eastAsia="맑은 고딕" w:cs="맑은 고딕"/>
          <w:b/>
          <w:sz w:val="21"/>
        </w:rPr>
        <w:t>1만 명을 넘는다</w:t>
      </w:r>
      <w:r>
        <w:rPr>
          <w:rFonts w:ascii="맑은 고딕" w:hAnsi="맑은 고딕" w:eastAsia="맑은 고딕" w:cs="맑은 고딕"/>
          <w:b w:val="0"/>
          <w:sz w:val="21"/>
        </w:rPr>
        <w:t xml:space="preserve">(BioNTech 신규 마인츠 설계값이 7,000–9,999명) </w:t>
      </w:r>
      <w:r>
        <w:rPr>
          <w:sz w:val="19"/>
        </w:rPr>
        <w:t>[</w:t>
      </w:r>
      <w:hyperlink r:id="rId351">
        <w:r>
          <w:rPr>
            <w:rFonts w:ascii="D2Coding" w:hAnsi="D2Coding" w:eastAsia="D2Coding"/>
            <w:color w:val="1D4ED8"/>
            <w:sz w:val="19"/>
          </w:rPr>
          <w:t xml:space="preserve">R848</w:t>
        </w:r>
      </w:hyperlink>
      <w:r>
        <w:rPr>
          <w:sz w:val="19"/>
        </w:rPr>
        <w:t>]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 xml:space="preserve">Moderna 조작 T7 변이체 출원이 </w:t>
      </w:r>
      <w:r>
        <w:rPr>
          <w:rFonts w:ascii="맑은 고딕" w:hAnsi="맑은 고딕" w:eastAsia="맑은 고딕" w:cs="맑은 고딕"/>
          <w:b/>
          <w:sz w:val="21"/>
        </w:rPr>
        <w:t>거절·포기</w:t>
      </w:r>
      <w:r>
        <w:rPr>
          <w:rFonts w:ascii="맑은 고딕" w:hAnsi="맑은 고딕" w:eastAsia="맑은 고딕" w:cs="맑은 고딕"/>
          <w:b w:val="0"/>
          <w:sz w:val="21"/>
        </w:rPr>
        <w:t xml:space="preserve">된다 </w:t>
      </w:r>
      <w:r>
        <w:rPr>
          <w:sz w:val="19"/>
        </w:rPr>
        <w:t>[</w:t>
      </w:r>
      <w:hyperlink r:id="rId234">
        <w:r>
          <w:rPr>
            <w:rFonts w:ascii="D2Coding" w:hAnsi="D2Coding" w:eastAsia="D2Coding"/>
            <w:color w:val="1D4ED8"/>
            <w:sz w:val="19"/>
          </w:rPr>
          <w:t xml:space="preserve">R1240</w:t>
        </w:r>
      </w:hyperlink>
      <w:r>
        <w:rPr>
          <w:sz w:val="19"/>
        </w:rPr>
        <w:t>]</w:t>
      </w:r>
    </w:p>
    <w:p>
      <w:pPr>
        <w:pStyle w:val="ListNumber"/>
        <w:spacing w:after="40"/>
        <w:ind w:left="340"/>
      </w:pPr>
      <w:r>
        <w:rPr>
          <w:rFonts w:ascii="맑은 고딕" w:hAnsi="맑은 고딕" w:eastAsia="맑은 고딕" w:cs="맑은 고딕"/>
          <w:b w:val="0"/>
          <w:sz w:val="21"/>
        </w:rPr>
        <w:t xml:space="preserve">국내에서 개인맞춤 신항원 백신 </w:t>
      </w:r>
      <w:r>
        <w:rPr>
          <w:rFonts w:ascii="맑은 고딕" w:hAnsi="맑은 고딕" w:eastAsia="맑은 고딕" w:cs="맑은 고딕"/>
          <w:b/>
          <w:sz w:val="21"/>
        </w:rPr>
        <w:t>IND가 실제로 제출</w:t>
      </w:r>
      <w:r>
        <w:rPr>
          <w:rFonts w:ascii="맑은 고딕" w:hAnsi="맑은 고딕" w:eastAsia="맑은 고딕" w:cs="맑은 고딕"/>
          <w:b w:val="0"/>
          <w:sz w:val="21"/>
        </w:rPr>
        <w:t xml:space="preserve">된다(현재 0건) </w:t>
      </w:r>
      <w:r>
        <w:rPr>
          <w:sz w:val="19"/>
        </w:rPr>
        <w:t>[</w:t>
      </w:r>
      <w:hyperlink r:id="rId154">
        <w:r>
          <w:rPr>
            <w:rFonts w:ascii="D2Coding" w:hAnsi="D2Coding" w:eastAsia="D2Coding"/>
            <w:color w:val="1D4ED8"/>
            <w:sz w:val="19"/>
          </w:rPr>
          <w:t xml:space="preserve">R419</w:t>
        </w:r>
      </w:hyperlink>
      <w:r>
        <w:rPr>
          <w:sz w:val="19"/>
        </w:rPr>
        <w:t>]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미진입 기간에도 유지할 최소 활동 3가지</w:t>
      </w:r>
      <w:r>
        <w:rPr>
          <w:rFonts w:ascii="맑은 고딕" w:hAnsi="맑은 고딕" w:eastAsia="맑은 고딕" w:cs="맑은 고딕"/>
          <w:b w:val="0"/>
          <w:sz w:val="21"/>
        </w:rPr>
        <w:t xml:space="preserve"> — 비용이 거의 들지 않으면서 옵션 가치를 보존한다.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① 위 5개 트리거의 분기 모니터링(등록정보·10-K/20-F·특허 심사경과). ② 국내 임상 사이트 32곳과의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관계 유지 — 한국은 이미 이 모달리티의 사이트 공급국이다 </w:t>
      </w:r>
      <w:r>
        <w:rPr>
          <w:sz w:val="19"/>
        </w:rPr>
        <w:t>[</w:t>
      </w:r>
      <w:hyperlink r:id="rId45">
        <w:r>
          <w:rPr>
            <w:rFonts w:ascii="D2Coding" w:hAnsi="D2Coding" w:eastAsia="D2Coding"/>
            <w:color w:val="1D4ED8"/>
            <w:sz w:val="19"/>
          </w:rPr>
          <w:t xml:space="preserve">R151</w:t>
        </w:r>
      </w:hyperlink>
      <w:r>
        <w:rPr>
          <w:sz w:val="19"/>
        </w:rPr>
        <w:t>]</w:t>
      </w:r>
      <w:r>
        <w:rPr>
          <w:rFonts w:ascii="맑은 고딕" w:hAnsi="맑은 고딕" w:eastAsia="맑은 고딕" w:cs="맑은 고딕"/>
          <w:b w:val="0"/>
          <w:sz w:val="21"/>
        </w:rPr>
        <w:t>. ③ **한국인 HLA 레퍼런스·검증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데이터**에 대한 관찰. HLA-DQB1 타이핑 오류율이 동아시아에서 11%를 초과한다는 사실은 </w:t>
      </w:r>
      <w:r>
        <w:rPr>
          <w:sz w:val="19"/>
        </w:rPr>
        <w:t>[</w:t>
      </w:r>
      <w:hyperlink r:id="rId79">
        <w:r>
          <w:rPr>
            <w:rFonts w:ascii="D2Coding" w:hAnsi="D2Coding" w:eastAsia="D2Coding"/>
            <w:color w:val="1D4ED8"/>
            <w:sz w:val="19"/>
          </w:rPr>
          <w:t xml:space="preserve">R627</w:t>
        </w:r>
      </w:hyperlink>
      <w:r>
        <w:rPr>
          <w:sz w:val="19"/>
        </w:rPr>
        <w:t>]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국내에서만 해결 가능한 기술 공백이며, 이 모달리티가 성공할 경우 국내 진입의 유일한 비대칭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자산이 될 수 있다. 단 현재로서는 이것이 사업이 될 근거가 없으므로 </w:t>
      </w:r>
      <w:r>
        <w:rPr>
          <w:rFonts w:ascii="맑은 고딕" w:hAnsi="맑은 고딕" w:eastAsia="맑은 고딕" w:cs="맑은 고딕"/>
          <w:b/>
          <w:sz w:val="21"/>
        </w:rPr>
        <w:t>투자가 아니라 관찰 대상</w:t>
      </w:r>
      <w:r>
        <w:rPr>
          <w:rFonts w:ascii="맑은 고딕" w:hAnsi="맑은 고딕" w:eastAsia="맑은 고딕" w:cs="맑은 고딕"/>
          <w:b w:val="0"/>
          <w:sz w:val="21"/>
        </w:rPr>
        <w:t>이다.</w:t>
      </w:r>
    </w:p>
    <w:p>
      <w:pPr>
        <w:pBdr>
          <w:bottom w:val="single" w:sz="6" w:color="DFE3E8"/>
        </w:pBdr>
      </w:pPr>
    </w:p>
    <w:p>
      <w:pPr>
        <w:keepNext/>
        <w:spacing w:before="280" w:after="80"/>
        <w:pBdr>
          <w:bottom w:val="single" w:sz="4" w:color="DFE3E8"/>
        </w:pBdr>
      </w:pPr>
      <w:r>
        <w:rPr>
          <w:rFonts w:ascii="맑은 고딕" w:hAnsi="맑은 고딕" w:eastAsia="맑은 고딕" w:cs="맑은 고딕"/>
          <w:b/>
          <w:color w:val="1D4ED8"/>
          <w:sz w:val="29"/>
        </w:rPr>
        <w:t>부록 A. 정지 조건 점검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조건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상태</w:t>
            </w:r>
          </w:p>
        </w:tc>
        <w:tc>
          <w:tcPr>
            <w:tcW w:type="dxa" w:w="3249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실측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Q1–Q4에 근거 기반 직접 답변 존재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충족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§7.1–7.5, 요약표는 Executive Summary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M2 표에 진행 프로그램 15건 이상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충족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pipeline_matrix.csv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100건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(진행·완료 53)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중단·실패 사례 3건 이상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충족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47건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(등록정보 기준 중단 23건 별도 분류)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모든 문장에 </w:t>
            </w:r>
            <w:r>
              <w:rPr>
                <w:rFonts w:ascii="D2Coding" w:hAnsi="D2Coding" w:eastAsia="D2Coding" w:cs="D2Coding"/>
                <w:color w:val="A32020"/>
                <w:sz w:val="16"/>
              </w:rPr>
              <w:t>[R###]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또는 </w:t>
            </w:r>
            <w:r>
              <w:rPr>
                <w:rFonts w:ascii="D2Coding" w:hAnsi="D2Coding" w:eastAsia="D2Coding" w:cs="D2Coding"/>
                <w:color w:val="A32020"/>
                <w:sz w:val="16"/>
              </w:rPr>
              <w:t>[EST]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부착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충족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본문 전체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R 에이전트 100% 등급화 + 상 등급 비중 명시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충족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999/999 = 100%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, 상 767 (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76.8%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) / 중 178 / 하 54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V 감사 반려 항목 0건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V_audit.md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참조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gaps.md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>에 항목별 시도 쿼리 3개 이상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충족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공백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74건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, 쿼리 3개 미만 </w:t>
            </w:r>
            <w:r>
              <w:rPr>
                <w:rFonts w:ascii="맑은 고딕" w:hAnsi="맑은 고딕" w:eastAsia="맑은 고딕" w:cs="맑은 고딕"/>
                <w:b/>
                <w:sz w:val="17"/>
              </w:rPr>
              <w:t>0건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INTX_evidence.html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렌더링 및 근거 카드 동작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충족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999건 카드, 등급·모듈·에이전트·출처유형 4중 필터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맑은 고딕" w:hAnsi="맑은 고딕" w:eastAsia="맑은 고딕" w:cs="맑은 고딕"/>
          <w:b/>
          <w:sz w:val="21"/>
        </w:rPr>
        <w:t>상 등급 비중 산출 근거</w:t>
      </w:r>
      <w:r>
        <w:rPr>
          <w:rFonts w:ascii="맑은 고딕" w:hAnsi="맑은 고딕" w:eastAsia="맑은 고딕" w:cs="맑은 고딕"/>
          <w:b w:val="0"/>
          <w:sz w:val="21"/>
        </w:rPr>
        <w:t xml:space="preserve"> — 분모 999(전 근거), 분자 767(상). 등급은 조사 에이전트의 자체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평가를 입력으로 쓰지 않고 출처 유형·발행처·URL 도달성만으로 재판정했다(</w:t>
      </w:r>
      <w:r>
        <w:rPr>
          <w:rFonts w:ascii="D2Coding" w:hAnsi="D2Coding" w:eastAsia="D2Coding" w:cs="D2Coding"/>
          <w:color w:val="A32020"/>
          <w:sz w:val="20"/>
        </w:rPr>
        <w:t>scripts/grade_reliability.py</w:t>
      </w:r>
      <w:r>
        <w:rPr>
          <w:rFonts w:ascii="맑은 고딕" w:hAnsi="맑은 고딕" w:eastAsia="맑은 고딕" w:cs="맑은 고딕"/>
          <w:b w:val="0"/>
          <w:sz w:val="21"/>
        </w:rPr>
        <w:t>).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 xml:space="preserve">이 과정에서 자체 산출 추정치 67건이 1차 출처로 오분류된 것을 적발해 </w:t>
      </w:r>
      <w:r>
        <w:rPr>
          <w:rFonts w:ascii="D2Coding" w:hAnsi="D2Coding" w:eastAsia="D2Coding" w:cs="D2Coding"/>
          <w:color w:val="A32020"/>
          <w:sz w:val="20"/>
        </w:rPr>
        <w:t>record_type=estimate</w:t>
      </w:r>
      <w:r>
        <w:rPr>
          <w:rFonts w:ascii="맑은 고딕" w:hAnsi="맑은 고딕" w:eastAsia="맑은 고딕" w:cs="맑은 고딕"/>
          <w:b w:val="0"/>
          <w:sz w:val="21"/>
        </w:rPr>
        <w:t>로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분리했고, 공시·규제문서의 언론 재인용 4건을 강등했으며, SEC 제출 보도자료(8-K Ex-99.1)는</w:t>
      </w:r>
    </w:p>
    <w:p>
      <w:pPr>
        <w:spacing w:after="120" w:line="324" w:lineRule="auto"/>
      </w:pPr>
      <w:r>
        <w:rPr>
          <w:rFonts w:ascii="맑은 고딕" w:hAnsi="맑은 고딕" w:eastAsia="맑은 고딕" w:cs="맑은 고딕"/>
          <w:b w:val="0"/>
          <w:sz w:val="21"/>
        </w:rPr>
        <w:t>제출 문서이므로 상향했다. 총 강등 60건.</w:t>
      </w:r>
    </w:p>
    <w:p>
      <w:pPr>
        <w:keepNext/>
        <w:spacing w:before="280" w:after="80"/>
        <w:pBdr>
          <w:bottom w:val="single" w:sz="4" w:color="DFE3E8"/>
        </w:pBdr>
      </w:pPr>
      <w:r>
        <w:rPr>
          <w:rFonts w:ascii="맑은 고딕" w:hAnsi="맑은 고딕" w:eastAsia="맑은 고딕" w:cs="맑은 고딕"/>
          <w:b/>
          <w:color w:val="1D4ED8"/>
          <w:sz w:val="29"/>
        </w:rPr>
        <w:t>부록 B. 산출물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파일</w:t>
            </w:r>
          </w:p>
        </w:tc>
        <w:tc>
          <w:tcPr>
            <w:tcW w:type="dxa" w:w="4873"/>
            <w:shd w:val="clear" w:fill="EDF0F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INTX_report.md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/ </w:t>
            </w:r>
            <w:r>
              <w:rPr>
                <w:rFonts w:ascii="D2Coding" w:hAnsi="D2Coding" w:eastAsia="D2Coding" w:cs="D2Coding"/>
                <w:color w:val="A32020"/>
                <w:sz w:val="16"/>
              </w:rPr>
              <w:t>.docx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본 보고서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INTX_evidence.html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근거 카드 UI — </w:t>
            </w:r>
            <w:r>
              <w:rPr>
                <w:rFonts w:ascii="D2Coding" w:hAnsi="D2Coding" w:eastAsia="D2Coding" w:cs="D2Coding"/>
                <w:color w:val="A32020"/>
                <w:sz w:val="16"/>
              </w:rPr>
              <w:t>[R###]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앵커 딥링크, 4중 필터, 전문 검색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pipeline_matrix.csv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임상 프로그램 100건 전수 표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cogs_model.csv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COGS 분해·밸류체인 진입점 95행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ip_landscape.csv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레이어별 특허 패밀리·만료시계 47행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evidence_ledger.jsonl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근거 원장 999건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reliability_ledger.jsonl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R 등급화 결과 999건 (100%)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V_audit.md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/ </w:t>
            </w:r>
            <w:r>
              <w:rPr>
                <w:rFonts w:ascii="D2Coding" w:hAnsi="D2Coding" w:eastAsia="D2Coding" w:cs="D2Coding"/>
                <w:color w:val="A32020"/>
                <w:sz w:val="16"/>
              </w:rPr>
              <w:t>conflicts.md</w:t>
            </w:r>
            <w:r>
              <w:rPr>
                <w:rFonts w:ascii="맑은 고딕" w:hAnsi="맑은 고딕" w:eastAsia="맑은 고딕" w:cs="맑은 고딕"/>
                <w:b w:val="0"/>
                <w:sz w:val="17"/>
              </w:rPr>
              <w:t xml:space="preserve"> / </w:t>
            </w:r>
            <w:r>
              <w:rPr>
                <w:rFonts w:ascii="D2Coding" w:hAnsi="D2Coding" w:eastAsia="D2Coding" w:cs="D2Coding"/>
                <w:color w:val="A32020"/>
                <w:sz w:val="16"/>
              </w:rPr>
              <w:t>gaps.md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감사 / 근거 충돌 / 미해결 공백 74건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findings_digest.md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에이전트별 발견 요약 (집필 소스)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raw/registry_snapshot.csv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ClinicalTrials.gov 전수 스냅샷 577건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raw/failure_taxonomy.md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중단 사유 분류 (Q4 1차 근거)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raw/patent_claims.md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특허 청구항 원문 (FTO 판단 근거)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D2Coding" w:hAnsi="D2Coding" w:eastAsia="D2Coding" w:cs="D2Coding"/>
                <w:color w:val="A32020"/>
                <w:sz w:val="16"/>
              </w:rPr>
              <w:t>run_state.json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맑은 고딕" w:hAnsi="맑은 고딕" w:eastAsia="맑은 고딕" w:cs="맑은 고딕"/>
                <w:b w:val="0"/>
                <w:sz w:val="17"/>
              </w:rPr>
              <w:t>실행 상태·검색 쿼리 로그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INTX_evidence.html#R545" TargetMode="External"/><Relationship Id="rId11" Type="http://schemas.openxmlformats.org/officeDocument/2006/relationships/hyperlink" Target="INTX_evidence.html#R142" TargetMode="External"/><Relationship Id="rId12" Type="http://schemas.openxmlformats.org/officeDocument/2006/relationships/hyperlink" Target="INTX_evidence.html#R564" TargetMode="External"/><Relationship Id="rId13" Type="http://schemas.openxmlformats.org/officeDocument/2006/relationships/hyperlink" Target="INTX_evidence.html#R003" TargetMode="External"/><Relationship Id="rId14" Type="http://schemas.openxmlformats.org/officeDocument/2006/relationships/hyperlink" Target="INTX_evidence.html#R100" TargetMode="External"/><Relationship Id="rId15" Type="http://schemas.openxmlformats.org/officeDocument/2006/relationships/hyperlink" Target="INTX_evidence.html#R001" TargetMode="External"/><Relationship Id="rId16" Type="http://schemas.openxmlformats.org/officeDocument/2006/relationships/hyperlink" Target="INTX_evidence.html#R126" TargetMode="External"/><Relationship Id="rId17" Type="http://schemas.openxmlformats.org/officeDocument/2006/relationships/hyperlink" Target="INTX_evidence.html#R002" TargetMode="External"/><Relationship Id="rId18" Type="http://schemas.openxmlformats.org/officeDocument/2006/relationships/hyperlink" Target="INTX_evidence.html#R124" TargetMode="External"/><Relationship Id="rId19" Type="http://schemas.openxmlformats.org/officeDocument/2006/relationships/hyperlink" Target="INTX_evidence.html#R013" TargetMode="External"/><Relationship Id="rId20" Type="http://schemas.openxmlformats.org/officeDocument/2006/relationships/hyperlink" Target="INTX_evidence.html#R235" TargetMode="External"/><Relationship Id="rId21" Type="http://schemas.openxmlformats.org/officeDocument/2006/relationships/hyperlink" Target="INTX_evidence.html#R232" TargetMode="External"/><Relationship Id="rId22" Type="http://schemas.openxmlformats.org/officeDocument/2006/relationships/hyperlink" Target="INTX_evidence.html#R224" TargetMode="External"/><Relationship Id="rId23" Type="http://schemas.openxmlformats.org/officeDocument/2006/relationships/hyperlink" Target="INTX_evidence.html#R225" TargetMode="External"/><Relationship Id="rId24" Type="http://schemas.openxmlformats.org/officeDocument/2006/relationships/hyperlink" Target="INTX_evidence.html#R217" TargetMode="External"/><Relationship Id="rId25" Type="http://schemas.openxmlformats.org/officeDocument/2006/relationships/hyperlink" Target="INTX_evidence.html#R218" TargetMode="External"/><Relationship Id="rId26" Type="http://schemas.openxmlformats.org/officeDocument/2006/relationships/hyperlink" Target="INTX_evidence.html#R216" TargetMode="External"/><Relationship Id="rId27" Type="http://schemas.openxmlformats.org/officeDocument/2006/relationships/hyperlink" Target="INTX_evidence.html#R960" TargetMode="External"/><Relationship Id="rId28" Type="http://schemas.openxmlformats.org/officeDocument/2006/relationships/hyperlink" Target="INTX_evidence.html#R961" TargetMode="External"/><Relationship Id="rId29" Type="http://schemas.openxmlformats.org/officeDocument/2006/relationships/hyperlink" Target="INTX_evidence.html#R964" TargetMode="External"/><Relationship Id="rId30" Type="http://schemas.openxmlformats.org/officeDocument/2006/relationships/hyperlink" Target="INTX_evidence.html#R966" TargetMode="External"/><Relationship Id="rId31" Type="http://schemas.openxmlformats.org/officeDocument/2006/relationships/hyperlink" Target="INTX_evidence.html#R967" TargetMode="External"/><Relationship Id="rId32" Type="http://schemas.openxmlformats.org/officeDocument/2006/relationships/hyperlink" Target="INTX_evidence.html#R990" TargetMode="External"/><Relationship Id="rId33" Type="http://schemas.openxmlformats.org/officeDocument/2006/relationships/hyperlink" Target="INTX_evidence.html#R900" TargetMode="External"/><Relationship Id="rId34" Type="http://schemas.openxmlformats.org/officeDocument/2006/relationships/hyperlink" Target="INTX_evidence.html#R902" TargetMode="External"/><Relationship Id="rId35" Type="http://schemas.openxmlformats.org/officeDocument/2006/relationships/hyperlink" Target="INTX_evidence.html#R903" TargetMode="External"/><Relationship Id="rId36" Type="http://schemas.openxmlformats.org/officeDocument/2006/relationships/hyperlink" Target="INTX_evidence.html#R971" TargetMode="External"/><Relationship Id="rId37" Type="http://schemas.openxmlformats.org/officeDocument/2006/relationships/hyperlink" Target="INTX_evidence.html#R936" TargetMode="External"/><Relationship Id="rId38" Type="http://schemas.openxmlformats.org/officeDocument/2006/relationships/hyperlink" Target="INTX_evidence.html#R945" TargetMode="External"/><Relationship Id="rId39" Type="http://schemas.openxmlformats.org/officeDocument/2006/relationships/hyperlink" Target="INTX_evidence.html#R835" TargetMode="External"/><Relationship Id="rId40" Type="http://schemas.openxmlformats.org/officeDocument/2006/relationships/hyperlink" Target="INTX_evidence.html#R889" TargetMode="External"/><Relationship Id="rId41" Type="http://schemas.openxmlformats.org/officeDocument/2006/relationships/hyperlink" Target="INTX_evidence.html#R988" TargetMode="External"/><Relationship Id="rId42" Type="http://schemas.openxmlformats.org/officeDocument/2006/relationships/hyperlink" Target="INTX_evidence.html#R1243" TargetMode="External"/><Relationship Id="rId43" Type="http://schemas.openxmlformats.org/officeDocument/2006/relationships/hyperlink" Target="INTX_evidence.html#R1244" TargetMode="External"/><Relationship Id="rId44" Type="http://schemas.openxmlformats.org/officeDocument/2006/relationships/hyperlink" Target="INTX_evidence.html#R012" TargetMode="External"/><Relationship Id="rId45" Type="http://schemas.openxmlformats.org/officeDocument/2006/relationships/hyperlink" Target="INTX_evidence.html#R151" TargetMode="External"/><Relationship Id="rId46" Type="http://schemas.openxmlformats.org/officeDocument/2006/relationships/hyperlink" Target="INTX_evidence.html#R1017" TargetMode="External"/><Relationship Id="rId47" Type="http://schemas.openxmlformats.org/officeDocument/2006/relationships/hyperlink" Target="INTX_evidence.html#R1035" TargetMode="External"/><Relationship Id="rId48" Type="http://schemas.openxmlformats.org/officeDocument/2006/relationships/hyperlink" Target="INTX_evidence.html#R1037" TargetMode="External"/><Relationship Id="rId49" Type="http://schemas.openxmlformats.org/officeDocument/2006/relationships/hyperlink" Target="INTX_evidence.html#R989" TargetMode="External"/><Relationship Id="rId50" Type="http://schemas.openxmlformats.org/officeDocument/2006/relationships/hyperlink" Target="INTX_evidence.html#R540" TargetMode="External"/><Relationship Id="rId51" Type="http://schemas.openxmlformats.org/officeDocument/2006/relationships/hyperlink" Target="INTX_evidence.html#R635" TargetMode="External"/><Relationship Id="rId52" Type="http://schemas.openxmlformats.org/officeDocument/2006/relationships/hyperlink" Target="INTX_evidence.html#R542" TargetMode="External"/><Relationship Id="rId53" Type="http://schemas.openxmlformats.org/officeDocument/2006/relationships/hyperlink" Target="INTX_evidence.html#R211" TargetMode="External"/><Relationship Id="rId54" Type="http://schemas.openxmlformats.org/officeDocument/2006/relationships/hyperlink" Target="INTX_evidence.html#R562" TargetMode="External"/><Relationship Id="rId55" Type="http://schemas.openxmlformats.org/officeDocument/2006/relationships/hyperlink" Target="INTX_evidence.html#R109" TargetMode="External"/><Relationship Id="rId56" Type="http://schemas.openxmlformats.org/officeDocument/2006/relationships/hyperlink" Target="INTX_evidence.html#R651" TargetMode="External"/><Relationship Id="rId57" Type="http://schemas.openxmlformats.org/officeDocument/2006/relationships/hyperlink" Target="INTX_evidence.html#R501" TargetMode="External"/><Relationship Id="rId58" Type="http://schemas.openxmlformats.org/officeDocument/2006/relationships/hyperlink" Target="INTX_evidence.html#R431" TargetMode="External"/><Relationship Id="rId59" Type="http://schemas.openxmlformats.org/officeDocument/2006/relationships/hyperlink" Target="INTX_evidence.html#R435" TargetMode="External"/><Relationship Id="rId60" Type="http://schemas.openxmlformats.org/officeDocument/2006/relationships/hyperlink" Target="INTX_evidence.html#R436" TargetMode="External"/><Relationship Id="rId61" Type="http://schemas.openxmlformats.org/officeDocument/2006/relationships/hyperlink" Target="INTX_evidence.html#R434" TargetMode="External"/><Relationship Id="rId62" Type="http://schemas.openxmlformats.org/officeDocument/2006/relationships/hyperlink" Target="INTX_evidence.html#R450" TargetMode="External"/><Relationship Id="rId63" Type="http://schemas.openxmlformats.org/officeDocument/2006/relationships/hyperlink" Target="INTX_evidence.html#R802" TargetMode="External"/><Relationship Id="rId64" Type="http://schemas.openxmlformats.org/officeDocument/2006/relationships/hyperlink" Target="INTX_evidence.html#R803" TargetMode="External"/><Relationship Id="rId65" Type="http://schemas.openxmlformats.org/officeDocument/2006/relationships/hyperlink" Target="INTX_evidence.html#R602" TargetMode="External"/><Relationship Id="rId66" Type="http://schemas.openxmlformats.org/officeDocument/2006/relationships/hyperlink" Target="INTX_evidence.html#R620" TargetMode="External"/><Relationship Id="rId67" Type="http://schemas.openxmlformats.org/officeDocument/2006/relationships/hyperlink" Target="INTX_evidence.html#R869" TargetMode="External"/><Relationship Id="rId68" Type="http://schemas.openxmlformats.org/officeDocument/2006/relationships/hyperlink" Target="INTX_evidence.html#R631" TargetMode="External"/><Relationship Id="rId69" Type="http://schemas.openxmlformats.org/officeDocument/2006/relationships/hyperlink" Target="INTX_evidence.html#R629" TargetMode="External"/><Relationship Id="rId70" Type="http://schemas.openxmlformats.org/officeDocument/2006/relationships/hyperlink" Target="INTX_evidence.html#R634" TargetMode="External"/><Relationship Id="rId71" Type="http://schemas.openxmlformats.org/officeDocument/2006/relationships/hyperlink" Target="INTX_evidence.html#R008" TargetMode="External"/><Relationship Id="rId72" Type="http://schemas.openxmlformats.org/officeDocument/2006/relationships/hyperlink" Target="INTX_evidence.html#R608" TargetMode="External"/><Relationship Id="rId73" Type="http://schemas.openxmlformats.org/officeDocument/2006/relationships/hyperlink" Target="INTX_evidence.html#R661" TargetMode="External"/><Relationship Id="rId74" Type="http://schemas.openxmlformats.org/officeDocument/2006/relationships/hyperlink" Target="INTX_evidence.html#R637" TargetMode="External"/><Relationship Id="rId75" Type="http://schemas.openxmlformats.org/officeDocument/2006/relationships/hyperlink" Target="INTX_evidence.html#R638" TargetMode="External"/><Relationship Id="rId76" Type="http://schemas.openxmlformats.org/officeDocument/2006/relationships/hyperlink" Target="INTX_evidence.html#R642" TargetMode="External"/><Relationship Id="rId77" Type="http://schemas.openxmlformats.org/officeDocument/2006/relationships/hyperlink" Target="INTX_evidence.html#R644" TargetMode="External"/><Relationship Id="rId78" Type="http://schemas.openxmlformats.org/officeDocument/2006/relationships/hyperlink" Target="INTX_evidence.html#R645" TargetMode="External"/><Relationship Id="rId79" Type="http://schemas.openxmlformats.org/officeDocument/2006/relationships/hyperlink" Target="INTX_evidence.html#R627" TargetMode="External"/><Relationship Id="rId80" Type="http://schemas.openxmlformats.org/officeDocument/2006/relationships/hyperlink" Target="INTX_evidence.html#R660" TargetMode="External"/><Relationship Id="rId81" Type="http://schemas.openxmlformats.org/officeDocument/2006/relationships/hyperlink" Target="INTX_evidence.html#R662" TargetMode="External"/><Relationship Id="rId82" Type="http://schemas.openxmlformats.org/officeDocument/2006/relationships/hyperlink" Target="INTX_evidence.html#R636" TargetMode="External"/><Relationship Id="rId83" Type="http://schemas.openxmlformats.org/officeDocument/2006/relationships/hyperlink" Target="INTX_evidence.html#R665" TargetMode="External"/><Relationship Id="rId84" Type="http://schemas.openxmlformats.org/officeDocument/2006/relationships/hyperlink" Target="INTX_evidence.html#R653" TargetMode="External"/><Relationship Id="rId85" Type="http://schemas.openxmlformats.org/officeDocument/2006/relationships/hyperlink" Target="INTX_evidence.html#R722" TargetMode="External"/><Relationship Id="rId86" Type="http://schemas.openxmlformats.org/officeDocument/2006/relationships/hyperlink" Target="INTX_evidence.html#R730" TargetMode="External"/><Relationship Id="rId87" Type="http://schemas.openxmlformats.org/officeDocument/2006/relationships/hyperlink" Target="INTX_evidence.html#R746" TargetMode="External"/><Relationship Id="rId88" Type="http://schemas.openxmlformats.org/officeDocument/2006/relationships/hyperlink" Target="INTX_evidence.html#R723" TargetMode="External"/><Relationship Id="rId89" Type="http://schemas.openxmlformats.org/officeDocument/2006/relationships/hyperlink" Target="INTX_evidence.html#R817" TargetMode="External"/><Relationship Id="rId90" Type="http://schemas.openxmlformats.org/officeDocument/2006/relationships/hyperlink" Target="INTX_evidence.html#R006" TargetMode="External"/><Relationship Id="rId91" Type="http://schemas.openxmlformats.org/officeDocument/2006/relationships/hyperlink" Target="INTX_evidence.html#R818" TargetMode="External"/><Relationship Id="rId92" Type="http://schemas.openxmlformats.org/officeDocument/2006/relationships/hyperlink" Target="INTX_evidence.html#R731" TargetMode="External"/><Relationship Id="rId93" Type="http://schemas.openxmlformats.org/officeDocument/2006/relationships/hyperlink" Target="INTX_evidence.html#R891" TargetMode="External"/><Relationship Id="rId94" Type="http://schemas.openxmlformats.org/officeDocument/2006/relationships/hyperlink" Target="INTX_evidence.html#R756" TargetMode="External"/><Relationship Id="rId95" Type="http://schemas.openxmlformats.org/officeDocument/2006/relationships/hyperlink" Target="INTX_evidence.html#R755" TargetMode="External"/><Relationship Id="rId96" Type="http://schemas.openxmlformats.org/officeDocument/2006/relationships/hyperlink" Target="INTX_evidence.html#R741" TargetMode="External"/><Relationship Id="rId97" Type="http://schemas.openxmlformats.org/officeDocument/2006/relationships/hyperlink" Target="INTX_evidence.html#R742" TargetMode="External"/><Relationship Id="rId98" Type="http://schemas.openxmlformats.org/officeDocument/2006/relationships/hyperlink" Target="INTX_evidence.html#R748" TargetMode="External"/><Relationship Id="rId99" Type="http://schemas.openxmlformats.org/officeDocument/2006/relationships/hyperlink" Target="INTX_evidence.html#R749" TargetMode="External"/><Relationship Id="rId100" Type="http://schemas.openxmlformats.org/officeDocument/2006/relationships/hyperlink" Target="INTX_evidence.html#R763" TargetMode="External"/><Relationship Id="rId101" Type="http://schemas.openxmlformats.org/officeDocument/2006/relationships/hyperlink" Target="INTX_evidence.html#R128" TargetMode="External"/><Relationship Id="rId102" Type="http://schemas.openxmlformats.org/officeDocument/2006/relationships/hyperlink" Target="INTX_evidence.html#R116" TargetMode="External"/><Relationship Id="rId103" Type="http://schemas.openxmlformats.org/officeDocument/2006/relationships/hyperlink" Target="INTX_evidence.html#R103" TargetMode="External"/><Relationship Id="rId104" Type="http://schemas.openxmlformats.org/officeDocument/2006/relationships/hyperlink" Target="INTX_evidence.html#R005" TargetMode="External"/><Relationship Id="rId105" Type="http://schemas.openxmlformats.org/officeDocument/2006/relationships/hyperlink" Target="INTX_evidence.html#R175" TargetMode="External"/><Relationship Id="rId106" Type="http://schemas.openxmlformats.org/officeDocument/2006/relationships/hyperlink" Target="INTX_evidence.html#R156" TargetMode="External"/><Relationship Id="rId107" Type="http://schemas.openxmlformats.org/officeDocument/2006/relationships/hyperlink" Target="INTX_evidence.html#R004" TargetMode="External"/><Relationship Id="rId108" Type="http://schemas.openxmlformats.org/officeDocument/2006/relationships/hyperlink" Target="INTX_evidence.html#R123" TargetMode="External"/><Relationship Id="rId109" Type="http://schemas.openxmlformats.org/officeDocument/2006/relationships/hyperlink" Target="INTX_evidence.html#R007" TargetMode="External"/><Relationship Id="rId110" Type="http://schemas.openxmlformats.org/officeDocument/2006/relationships/hyperlink" Target="INTX_evidence.html#R131" TargetMode="External"/><Relationship Id="rId111" Type="http://schemas.openxmlformats.org/officeDocument/2006/relationships/hyperlink" Target="INTX_evidence.html#R108" TargetMode="External"/><Relationship Id="rId112" Type="http://schemas.openxmlformats.org/officeDocument/2006/relationships/hyperlink" Target="INTX_evidence.html#R172" TargetMode="External"/><Relationship Id="rId113" Type="http://schemas.openxmlformats.org/officeDocument/2006/relationships/hyperlink" Target="INTX_evidence.html#R121" TargetMode="External"/><Relationship Id="rId114" Type="http://schemas.openxmlformats.org/officeDocument/2006/relationships/hyperlink" Target="INTX_evidence.html#R107" TargetMode="External"/><Relationship Id="rId115" Type="http://schemas.openxmlformats.org/officeDocument/2006/relationships/hyperlink" Target="INTX_evidence.html#R226" TargetMode="External"/><Relationship Id="rId116" Type="http://schemas.openxmlformats.org/officeDocument/2006/relationships/hyperlink" Target="INTX_evidence.html#R264" TargetMode="External"/><Relationship Id="rId117" Type="http://schemas.openxmlformats.org/officeDocument/2006/relationships/hyperlink" Target="INTX_evidence.html#R219" TargetMode="External"/><Relationship Id="rId118" Type="http://schemas.openxmlformats.org/officeDocument/2006/relationships/hyperlink" Target="INTX_evidence.html#R222" TargetMode="External"/><Relationship Id="rId119" Type="http://schemas.openxmlformats.org/officeDocument/2006/relationships/hyperlink" Target="INTX_evidence.html#R223" TargetMode="External"/><Relationship Id="rId120" Type="http://schemas.openxmlformats.org/officeDocument/2006/relationships/hyperlink" Target="INTX_evidence.html#R220" TargetMode="External"/><Relationship Id="rId121" Type="http://schemas.openxmlformats.org/officeDocument/2006/relationships/hyperlink" Target="INTX_evidence.html#R538" TargetMode="External"/><Relationship Id="rId122" Type="http://schemas.openxmlformats.org/officeDocument/2006/relationships/hyperlink" Target="INTX_evidence.html#R233" TargetMode="External"/><Relationship Id="rId123" Type="http://schemas.openxmlformats.org/officeDocument/2006/relationships/hyperlink" Target="INTX_evidence.html#R239" TargetMode="External"/><Relationship Id="rId124" Type="http://schemas.openxmlformats.org/officeDocument/2006/relationships/hyperlink" Target="INTX_evidence.html#R672" TargetMode="External"/><Relationship Id="rId125" Type="http://schemas.openxmlformats.org/officeDocument/2006/relationships/hyperlink" Target="INTX_evidence.html#R200" TargetMode="External"/><Relationship Id="rId126" Type="http://schemas.openxmlformats.org/officeDocument/2006/relationships/hyperlink" Target="INTX_evidence.html#R201" TargetMode="External"/><Relationship Id="rId127" Type="http://schemas.openxmlformats.org/officeDocument/2006/relationships/hyperlink" Target="INTX_evidence.html#R203" TargetMode="External"/><Relationship Id="rId128" Type="http://schemas.openxmlformats.org/officeDocument/2006/relationships/hyperlink" Target="INTX_evidence.html#R202" TargetMode="External"/><Relationship Id="rId129" Type="http://schemas.openxmlformats.org/officeDocument/2006/relationships/hyperlink" Target="INTX_evidence.html#R539" TargetMode="External"/><Relationship Id="rId130" Type="http://schemas.openxmlformats.org/officeDocument/2006/relationships/hyperlink" Target="INTX_evidence.html#R208" TargetMode="External"/><Relationship Id="rId131" Type="http://schemas.openxmlformats.org/officeDocument/2006/relationships/hyperlink" Target="INTX_evidence.html#R528" TargetMode="External"/><Relationship Id="rId132" Type="http://schemas.openxmlformats.org/officeDocument/2006/relationships/hyperlink" Target="INTX_evidence.html#R531" TargetMode="External"/><Relationship Id="rId133" Type="http://schemas.openxmlformats.org/officeDocument/2006/relationships/hyperlink" Target="INTX_evidence.html#R530" TargetMode="External"/><Relationship Id="rId134" Type="http://schemas.openxmlformats.org/officeDocument/2006/relationships/hyperlink" Target="INTX_evidence.html#R529" TargetMode="External"/><Relationship Id="rId135" Type="http://schemas.openxmlformats.org/officeDocument/2006/relationships/hyperlink" Target="INTX_evidence.html#R533" TargetMode="External"/><Relationship Id="rId136" Type="http://schemas.openxmlformats.org/officeDocument/2006/relationships/hyperlink" Target="INTX_evidence.html#R532" TargetMode="External"/><Relationship Id="rId137" Type="http://schemas.openxmlformats.org/officeDocument/2006/relationships/hyperlink" Target="INTX_evidence.html#R534" TargetMode="External"/><Relationship Id="rId138" Type="http://schemas.openxmlformats.org/officeDocument/2006/relationships/hyperlink" Target="INTX_evidence.html#R526" TargetMode="External"/><Relationship Id="rId139" Type="http://schemas.openxmlformats.org/officeDocument/2006/relationships/hyperlink" Target="INTX_evidence.html#R014" TargetMode="External"/><Relationship Id="rId140" Type="http://schemas.openxmlformats.org/officeDocument/2006/relationships/hyperlink" Target="INTX_evidence.html#R512" TargetMode="External"/><Relationship Id="rId141" Type="http://schemas.openxmlformats.org/officeDocument/2006/relationships/hyperlink" Target="INTX_evidence.html#R015" TargetMode="External"/><Relationship Id="rId142" Type="http://schemas.openxmlformats.org/officeDocument/2006/relationships/hyperlink" Target="INTX_evidence.html#R241" TargetMode="External"/><Relationship Id="rId143" Type="http://schemas.openxmlformats.org/officeDocument/2006/relationships/hyperlink" Target="INTX_evidence.html#R245" TargetMode="External"/><Relationship Id="rId144" Type="http://schemas.openxmlformats.org/officeDocument/2006/relationships/hyperlink" Target="INTX_evidence.html#R519" TargetMode="External"/><Relationship Id="rId145" Type="http://schemas.openxmlformats.org/officeDocument/2006/relationships/hyperlink" Target="INTX_evidence.html#R517" TargetMode="External"/><Relationship Id="rId146" Type="http://schemas.openxmlformats.org/officeDocument/2006/relationships/hyperlink" Target="INTX_evidence.html#R518" TargetMode="External"/><Relationship Id="rId147" Type="http://schemas.openxmlformats.org/officeDocument/2006/relationships/hyperlink" Target="INTX_evidence.html#R1133" TargetMode="External"/><Relationship Id="rId148" Type="http://schemas.openxmlformats.org/officeDocument/2006/relationships/hyperlink" Target="INTX_evidence.html#R521" TargetMode="External"/><Relationship Id="rId149" Type="http://schemas.openxmlformats.org/officeDocument/2006/relationships/hyperlink" Target="INTX_evidence.html#R522" TargetMode="External"/><Relationship Id="rId150" Type="http://schemas.openxmlformats.org/officeDocument/2006/relationships/hyperlink" Target="INTX_evidence.html#R565" TargetMode="External"/><Relationship Id="rId151" Type="http://schemas.openxmlformats.org/officeDocument/2006/relationships/hyperlink" Target="INTX_evidence.html#R523" TargetMode="External"/><Relationship Id="rId152" Type="http://schemas.openxmlformats.org/officeDocument/2006/relationships/hyperlink" Target="INTX_evidence.html#R504" TargetMode="External"/><Relationship Id="rId153" Type="http://schemas.openxmlformats.org/officeDocument/2006/relationships/hyperlink" Target="INTX_evidence.html#R553" TargetMode="External"/><Relationship Id="rId154" Type="http://schemas.openxmlformats.org/officeDocument/2006/relationships/hyperlink" Target="INTX_evidence.html#R419" TargetMode="External"/><Relationship Id="rId155" Type="http://schemas.openxmlformats.org/officeDocument/2006/relationships/hyperlink" Target="INTX_evidence.html#R152" TargetMode="External"/><Relationship Id="rId156" Type="http://schemas.openxmlformats.org/officeDocument/2006/relationships/hyperlink" Target="INTX_evidence.html#R153" TargetMode="External"/><Relationship Id="rId157" Type="http://schemas.openxmlformats.org/officeDocument/2006/relationships/hyperlink" Target="INTX_evidence.html#R400" TargetMode="External"/><Relationship Id="rId158" Type="http://schemas.openxmlformats.org/officeDocument/2006/relationships/hyperlink" Target="INTX_evidence.html#R403" TargetMode="External"/><Relationship Id="rId159" Type="http://schemas.openxmlformats.org/officeDocument/2006/relationships/hyperlink" Target="INTX_evidence.html#R401" TargetMode="External"/><Relationship Id="rId160" Type="http://schemas.openxmlformats.org/officeDocument/2006/relationships/hyperlink" Target="INTX_evidence.html#R402" TargetMode="External"/><Relationship Id="rId161" Type="http://schemas.openxmlformats.org/officeDocument/2006/relationships/hyperlink" Target="INTX_evidence.html#R405" TargetMode="External"/><Relationship Id="rId162" Type="http://schemas.openxmlformats.org/officeDocument/2006/relationships/hyperlink" Target="INTX_evidence.html#R408" TargetMode="External"/><Relationship Id="rId163" Type="http://schemas.openxmlformats.org/officeDocument/2006/relationships/hyperlink" Target="INTX_evidence.html#R414" TargetMode="External"/><Relationship Id="rId164" Type="http://schemas.openxmlformats.org/officeDocument/2006/relationships/hyperlink" Target="INTX_evidence.html#R411" TargetMode="External"/><Relationship Id="rId165" Type="http://schemas.openxmlformats.org/officeDocument/2006/relationships/hyperlink" Target="INTX_evidence.html#R413" TargetMode="External"/><Relationship Id="rId166" Type="http://schemas.openxmlformats.org/officeDocument/2006/relationships/hyperlink" Target="INTX_evidence.html#R409" TargetMode="External"/><Relationship Id="rId167" Type="http://schemas.openxmlformats.org/officeDocument/2006/relationships/hyperlink" Target="INTX_evidence.html#R410" TargetMode="External"/><Relationship Id="rId168" Type="http://schemas.openxmlformats.org/officeDocument/2006/relationships/hyperlink" Target="INTX_evidence.html#R423" TargetMode="External"/><Relationship Id="rId169" Type="http://schemas.openxmlformats.org/officeDocument/2006/relationships/hyperlink" Target="INTX_evidence.html#R425" TargetMode="External"/><Relationship Id="rId170" Type="http://schemas.openxmlformats.org/officeDocument/2006/relationships/hyperlink" Target="INTX_evidence.html#R424" TargetMode="External"/><Relationship Id="rId171" Type="http://schemas.openxmlformats.org/officeDocument/2006/relationships/hyperlink" Target="INTX_evidence.html#R426" TargetMode="External"/><Relationship Id="rId172" Type="http://schemas.openxmlformats.org/officeDocument/2006/relationships/hyperlink" Target="INTX_evidence.html#R427" TargetMode="External"/><Relationship Id="rId173" Type="http://schemas.openxmlformats.org/officeDocument/2006/relationships/hyperlink" Target="INTX_evidence.html#R429" TargetMode="External"/><Relationship Id="rId174" Type="http://schemas.openxmlformats.org/officeDocument/2006/relationships/hyperlink" Target="INTX_evidence.html#R430" TargetMode="External"/><Relationship Id="rId175" Type="http://schemas.openxmlformats.org/officeDocument/2006/relationships/hyperlink" Target="INTX_evidence.html#R444" TargetMode="External"/><Relationship Id="rId176" Type="http://schemas.openxmlformats.org/officeDocument/2006/relationships/hyperlink" Target="INTX_evidence.html#R463" TargetMode="External"/><Relationship Id="rId177" Type="http://schemas.openxmlformats.org/officeDocument/2006/relationships/hyperlink" Target="INTX_evidence.html#R443" TargetMode="External"/><Relationship Id="rId178" Type="http://schemas.openxmlformats.org/officeDocument/2006/relationships/hyperlink" Target="INTX_evidence.html#R447" TargetMode="External"/><Relationship Id="rId179" Type="http://schemas.openxmlformats.org/officeDocument/2006/relationships/hyperlink" Target="INTX_evidence.html#R845" TargetMode="External"/><Relationship Id="rId180" Type="http://schemas.openxmlformats.org/officeDocument/2006/relationships/hyperlink" Target="INTX_evidence.html#R934" TargetMode="External"/><Relationship Id="rId181" Type="http://schemas.openxmlformats.org/officeDocument/2006/relationships/hyperlink" Target="INTX_evidence.html#R885" TargetMode="External"/><Relationship Id="rId182" Type="http://schemas.openxmlformats.org/officeDocument/2006/relationships/hyperlink" Target="INTX_evidence.html#R890" TargetMode="External"/><Relationship Id="rId183" Type="http://schemas.openxmlformats.org/officeDocument/2006/relationships/hyperlink" Target="INTX_evidence.html#R984" TargetMode="External"/><Relationship Id="rId184" Type="http://schemas.openxmlformats.org/officeDocument/2006/relationships/hyperlink" Target="INTX_evidence.html#R914" TargetMode="External"/><Relationship Id="rId185" Type="http://schemas.openxmlformats.org/officeDocument/2006/relationships/hyperlink" Target="INTX_evidence.html#R938" TargetMode="External"/><Relationship Id="rId186" Type="http://schemas.openxmlformats.org/officeDocument/2006/relationships/hyperlink" Target="INTX_evidence.html#R959" TargetMode="External"/><Relationship Id="rId187" Type="http://schemas.openxmlformats.org/officeDocument/2006/relationships/hyperlink" Target="INTX_evidence.html#R948" TargetMode="External"/><Relationship Id="rId188" Type="http://schemas.openxmlformats.org/officeDocument/2006/relationships/hyperlink" Target="INTX_evidence.html#R968" TargetMode="External"/><Relationship Id="rId189" Type="http://schemas.openxmlformats.org/officeDocument/2006/relationships/hyperlink" Target="INTX_evidence.html#R814" TargetMode="External"/><Relationship Id="rId190" Type="http://schemas.openxmlformats.org/officeDocument/2006/relationships/hyperlink" Target="INTX_evidence.html#R878" TargetMode="External"/><Relationship Id="rId191" Type="http://schemas.openxmlformats.org/officeDocument/2006/relationships/hyperlink" Target="INTX_evidence.html#R816" TargetMode="External"/><Relationship Id="rId192" Type="http://schemas.openxmlformats.org/officeDocument/2006/relationships/hyperlink" Target="INTX_evidence.html#R877" TargetMode="External"/><Relationship Id="rId193" Type="http://schemas.openxmlformats.org/officeDocument/2006/relationships/hyperlink" Target="INTX_evidence.html#R823" TargetMode="External"/><Relationship Id="rId194" Type="http://schemas.openxmlformats.org/officeDocument/2006/relationships/hyperlink" Target="INTX_evidence.html#R824" TargetMode="External"/><Relationship Id="rId195" Type="http://schemas.openxmlformats.org/officeDocument/2006/relationships/hyperlink" Target="INTX_evidence.html#R819" TargetMode="External"/><Relationship Id="rId196" Type="http://schemas.openxmlformats.org/officeDocument/2006/relationships/hyperlink" Target="INTX_evidence.html#R821" TargetMode="External"/><Relationship Id="rId197" Type="http://schemas.openxmlformats.org/officeDocument/2006/relationships/hyperlink" Target="INTX_evidence.html#R836" TargetMode="External"/><Relationship Id="rId198" Type="http://schemas.openxmlformats.org/officeDocument/2006/relationships/hyperlink" Target="INTX_evidence.html#R838" TargetMode="External"/><Relationship Id="rId199" Type="http://schemas.openxmlformats.org/officeDocument/2006/relationships/hyperlink" Target="INTX_evidence.html#R841" TargetMode="External"/><Relationship Id="rId200" Type="http://schemas.openxmlformats.org/officeDocument/2006/relationships/hyperlink" Target="INTX_evidence.html#R840" TargetMode="External"/><Relationship Id="rId201" Type="http://schemas.openxmlformats.org/officeDocument/2006/relationships/hyperlink" Target="INTX_evidence.html#R839" TargetMode="External"/><Relationship Id="rId202" Type="http://schemas.openxmlformats.org/officeDocument/2006/relationships/hyperlink" Target="INTX_evidence.html#R822" TargetMode="External"/><Relationship Id="rId203" Type="http://schemas.openxmlformats.org/officeDocument/2006/relationships/hyperlink" Target="INTX_evidence.html#R820" TargetMode="External"/><Relationship Id="rId204" Type="http://schemas.openxmlformats.org/officeDocument/2006/relationships/hyperlink" Target="INTX_evidence.html#R831" TargetMode="External"/><Relationship Id="rId205" Type="http://schemas.openxmlformats.org/officeDocument/2006/relationships/hyperlink" Target="INTX_evidence.html#R932" TargetMode="External"/><Relationship Id="rId206" Type="http://schemas.openxmlformats.org/officeDocument/2006/relationships/hyperlink" Target="INTX_evidence.html#R164" TargetMode="External"/><Relationship Id="rId207" Type="http://schemas.openxmlformats.org/officeDocument/2006/relationships/hyperlink" Target="INTX_evidence.html#R834" TargetMode="External"/><Relationship Id="rId208" Type="http://schemas.openxmlformats.org/officeDocument/2006/relationships/hyperlink" Target="INTX_evidence.html#R866" TargetMode="External"/><Relationship Id="rId209" Type="http://schemas.openxmlformats.org/officeDocument/2006/relationships/hyperlink" Target="INTX_evidence.html#R930" TargetMode="External"/><Relationship Id="rId210" Type="http://schemas.openxmlformats.org/officeDocument/2006/relationships/hyperlink" Target="INTX_evidence.html#R805" TargetMode="External"/><Relationship Id="rId211" Type="http://schemas.openxmlformats.org/officeDocument/2006/relationships/hyperlink" Target="INTX_evidence.html#R806" TargetMode="External"/><Relationship Id="rId212" Type="http://schemas.openxmlformats.org/officeDocument/2006/relationships/hyperlink" Target="INTX_evidence.html#R248" TargetMode="External"/><Relationship Id="rId213" Type="http://schemas.openxmlformats.org/officeDocument/2006/relationships/hyperlink" Target="INTX_evidence.html#R887" TargetMode="External"/><Relationship Id="rId214" Type="http://schemas.openxmlformats.org/officeDocument/2006/relationships/hyperlink" Target="INTX_evidence.html#R804" TargetMode="External"/><Relationship Id="rId215" Type="http://schemas.openxmlformats.org/officeDocument/2006/relationships/hyperlink" Target="INTX_evidence.html#R807" TargetMode="External"/><Relationship Id="rId216" Type="http://schemas.openxmlformats.org/officeDocument/2006/relationships/hyperlink" Target="INTX_evidence.html#R812" TargetMode="External"/><Relationship Id="rId217" Type="http://schemas.openxmlformats.org/officeDocument/2006/relationships/hyperlink" Target="INTX_evidence.html#R125" TargetMode="External"/><Relationship Id="rId218" Type="http://schemas.openxmlformats.org/officeDocument/2006/relationships/hyperlink" Target="INTX_evidence.html#R828" TargetMode="External"/><Relationship Id="rId219" Type="http://schemas.openxmlformats.org/officeDocument/2006/relationships/hyperlink" Target="INTX_evidence.html#R868" TargetMode="External"/><Relationship Id="rId220" Type="http://schemas.openxmlformats.org/officeDocument/2006/relationships/hyperlink" Target="INTX_evidence.html#R020" TargetMode="External"/><Relationship Id="rId221" Type="http://schemas.openxmlformats.org/officeDocument/2006/relationships/hyperlink" Target="INTX_evidence.html#R1103" TargetMode="External"/><Relationship Id="rId222" Type="http://schemas.openxmlformats.org/officeDocument/2006/relationships/hyperlink" Target="INTX_evidence.html#R1104" TargetMode="External"/><Relationship Id="rId223" Type="http://schemas.openxmlformats.org/officeDocument/2006/relationships/hyperlink" Target="INTX_evidence.html#R1105" TargetMode="External"/><Relationship Id="rId224" Type="http://schemas.openxmlformats.org/officeDocument/2006/relationships/hyperlink" Target="INTX_evidence.html#R019" TargetMode="External"/><Relationship Id="rId225" Type="http://schemas.openxmlformats.org/officeDocument/2006/relationships/hyperlink" Target="INTX_evidence.html#R1101" TargetMode="External"/><Relationship Id="rId226" Type="http://schemas.openxmlformats.org/officeDocument/2006/relationships/hyperlink" Target="INTX_evidence.html#R1216" TargetMode="External"/><Relationship Id="rId227" Type="http://schemas.openxmlformats.org/officeDocument/2006/relationships/hyperlink" Target="INTX_evidence.html#R1118" TargetMode="External"/><Relationship Id="rId228" Type="http://schemas.openxmlformats.org/officeDocument/2006/relationships/hyperlink" Target="INTX_evidence.html#R1137" TargetMode="External"/><Relationship Id="rId229" Type="http://schemas.openxmlformats.org/officeDocument/2006/relationships/hyperlink" Target="INTX_evidence.html#R1241" TargetMode="External"/><Relationship Id="rId230" Type="http://schemas.openxmlformats.org/officeDocument/2006/relationships/hyperlink" Target="INTX_evidence.html#R1226" TargetMode="External"/><Relationship Id="rId231" Type="http://schemas.openxmlformats.org/officeDocument/2006/relationships/hyperlink" Target="INTX_evidence.html#R1284" TargetMode="External"/><Relationship Id="rId232" Type="http://schemas.openxmlformats.org/officeDocument/2006/relationships/hyperlink" Target="INTX_evidence.html#R1148" TargetMode="External"/><Relationship Id="rId233" Type="http://schemas.openxmlformats.org/officeDocument/2006/relationships/hyperlink" Target="INTX_evidence.html#R1239" TargetMode="External"/><Relationship Id="rId234" Type="http://schemas.openxmlformats.org/officeDocument/2006/relationships/hyperlink" Target="INTX_evidence.html#R1240" TargetMode="External"/><Relationship Id="rId235" Type="http://schemas.openxmlformats.org/officeDocument/2006/relationships/hyperlink" Target="INTX_evidence.html#R1126" TargetMode="External"/><Relationship Id="rId236" Type="http://schemas.openxmlformats.org/officeDocument/2006/relationships/hyperlink" Target="INTX_evidence.html#R1289" TargetMode="External"/><Relationship Id="rId237" Type="http://schemas.openxmlformats.org/officeDocument/2006/relationships/hyperlink" Target="INTX_evidence.html#R022" TargetMode="External"/><Relationship Id="rId238" Type="http://schemas.openxmlformats.org/officeDocument/2006/relationships/hyperlink" Target="INTX_evidence.html#R1100" TargetMode="External"/><Relationship Id="rId239" Type="http://schemas.openxmlformats.org/officeDocument/2006/relationships/hyperlink" Target="INTX_evidence.html#R021" TargetMode="External"/><Relationship Id="rId240" Type="http://schemas.openxmlformats.org/officeDocument/2006/relationships/hyperlink" Target="INTX_evidence.html#R1155" TargetMode="External"/><Relationship Id="rId241" Type="http://schemas.openxmlformats.org/officeDocument/2006/relationships/hyperlink" Target="INTX_evidence.html#R1154" TargetMode="External"/><Relationship Id="rId242" Type="http://schemas.openxmlformats.org/officeDocument/2006/relationships/hyperlink" Target="INTX_evidence.html#R1206" TargetMode="External"/><Relationship Id="rId243" Type="http://schemas.openxmlformats.org/officeDocument/2006/relationships/hyperlink" Target="INTX_evidence.html#R1238" TargetMode="External"/><Relationship Id="rId244" Type="http://schemas.openxmlformats.org/officeDocument/2006/relationships/hyperlink" Target="INTX_evidence.html#R1139" TargetMode="External"/><Relationship Id="rId245" Type="http://schemas.openxmlformats.org/officeDocument/2006/relationships/hyperlink" Target="INTX_evidence.html#R1290" TargetMode="External"/><Relationship Id="rId246" Type="http://schemas.openxmlformats.org/officeDocument/2006/relationships/hyperlink" Target="INTX_evidence.html#R1272" TargetMode="External"/><Relationship Id="rId247" Type="http://schemas.openxmlformats.org/officeDocument/2006/relationships/hyperlink" Target="INTX_evidence.html#R1274" TargetMode="External"/><Relationship Id="rId248" Type="http://schemas.openxmlformats.org/officeDocument/2006/relationships/hyperlink" Target="INTX_evidence.html#R1217" TargetMode="External"/><Relationship Id="rId249" Type="http://schemas.openxmlformats.org/officeDocument/2006/relationships/hyperlink" Target="INTX_evidence.html#R1218" TargetMode="External"/><Relationship Id="rId250" Type="http://schemas.openxmlformats.org/officeDocument/2006/relationships/hyperlink" Target="INTX_evidence.html#R1223" TargetMode="External"/><Relationship Id="rId251" Type="http://schemas.openxmlformats.org/officeDocument/2006/relationships/hyperlink" Target="INTX_evidence.html#R1264" TargetMode="External"/><Relationship Id="rId252" Type="http://schemas.openxmlformats.org/officeDocument/2006/relationships/hyperlink" Target="INTX_evidence.html#R1120" TargetMode="External"/><Relationship Id="rId253" Type="http://schemas.openxmlformats.org/officeDocument/2006/relationships/hyperlink" Target="INTX_evidence.html#R1256" TargetMode="External"/><Relationship Id="rId254" Type="http://schemas.openxmlformats.org/officeDocument/2006/relationships/hyperlink" Target="INTX_evidence.html#R1122" TargetMode="External"/><Relationship Id="rId255" Type="http://schemas.openxmlformats.org/officeDocument/2006/relationships/hyperlink" Target="INTX_evidence.html#R1222" TargetMode="External"/><Relationship Id="rId256" Type="http://schemas.openxmlformats.org/officeDocument/2006/relationships/hyperlink" Target="INTX_evidence.html#R1275" TargetMode="External"/><Relationship Id="rId257" Type="http://schemas.openxmlformats.org/officeDocument/2006/relationships/hyperlink" Target="INTX_evidence.html#R1147" TargetMode="External"/><Relationship Id="rId258" Type="http://schemas.openxmlformats.org/officeDocument/2006/relationships/hyperlink" Target="INTX_evidence.html#R1261" TargetMode="External"/><Relationship Id="rId259" Type="http://schemas.openxmlformats.org/officeDocument/2006/relationships/hyperlink" Target="INTX_evidence.html#R1259" TargetMode="External"/><Relationship Id="rId260" Type="http://schemas.openxmlformats.org/officeDocument/2006/relationships/hyperlink" Target="INTX_evidence.html#R1140" TargetMode="External"/><Relationship Id="rId261" Type="http://schemas.openxmlformats.org/officeDocument/2006/relationships/hyperlink" Target="INTX_evidence.html#R1129" TargetMode="External"/><Relationship Id="rId262" Type="http://schemas.openxmlformats.org/officeDocument/2006/relationships/hyperlink" Target="INTX_evidence.html#R1127" TargetMode="External"/><Relationship Id="rId263" Type="http://schemas.openxmlformats.org/officeDocument/2006/relationships/hyperlink" Target="INTX_evidence.html#R1130" TargetMode="External"/><Relationship Id="rId264" Type="http://schemas.openxmlformats.org/officeDocument/2006/relationships/hyperlink" Target="INTX_evidence.html#R1141" TargetMode="External"/><Relationship Id="rId265" Type="http://schemas.openxmlformats.org/officeDocument/2006/relationships/hyperlink" Target="INTX_evidence.html#R1142" TargetMode="External"/><Relationship Id="rId266" Type="http://schemas.openxmlformats.org/officeDocument/2006/relationships/hyperlink" Target="INTX_evidence.html#R1281" TargetMode="External"/><Relationship Id="rId267" Type="http://schemas.openxmlformats.org/officeDocument/2006/relationships/hyperlink" Target="INTX_evidence.html#R1211" TargetMode="External"/><Relationship Id="rId268" Type="http://schemas.openxmlformats.org/officeDocument/2006/relationships/hyperlink" Target="INTX_evidence.html#R1235" TargetMode="External"/><Relationship Id="rId269" Type="http://schemas.openxmlformats.org/officeDocument/2006/relationships/hyperlink" Target="INTX_evidence.html#R1151" TargetMode="External"/><Relationship Id="rId270" Type="http://schemas.openxmlformats.org/officeDocument/2006/relationships/hyperlink" Target="INTX_evidence.html#R1203" TargetMode="External"/><Relationship Id="rId271" Type="http://schemas.openxmlformats.org/officeDocument/2006/relationships/hyperlink" Target="INTX_evidence.html#R1204" TargetMode="External"/><Relationship Id="rId272" Type="http://schemas.openxmlformats.org/officeDocument/2006/relationships/hyperlink" Target="INTX_evidence.html#R1277" TargetMode="External"/><Relationship Id="rId273" Type="http://schemas.openxmlformats.org/officeDocument/2006/relationships/hyperlink" Target="INTX_evidence.html#R1144" TargetMode="External"/><Relationship Id="rId274" Type="http://schemas.openxmlformats.org/officeDocument/2006/relationships/hyperlink" Target="INTX_evidence.html#R1038" TargetMode="External"/><Relationship Id="rId275" Type="http://schemas.openxmlformats.org/officeDocument/2006/relationships/hyperlink" Target="INTX_evidence.html#R1039" TargetMode="External"/><Relationship Id="rId276" Type="http://schemas.openxmlformats.org/officeDocument/2006/relationships/hyperlink" Target="INTX_evidence.html#R1040" TargetMode="External"/><Relationship Id="rId277" Type="http://schemas.openxmlformats.org/officeDocument/2006/relationships/hyperlink" Target="INTX_evidence.html#R1071" TargetMode="External"/><Relationship Id="rId278" Type="http://schemas.openxmlformats.org/officeDocument/2006/relationships/hyperlink" Target="INTX_evidence.html#R1041" TargetMode="External"/><Relationship Id="rId279" Type="http://schemas.openxmlformats.org/officeDocument/2006/relationships/hyperlink" Target="INTX_evidence.html#R1069" TargetMode="External"/><Relationship Id="rId280" Type="http://schemas.openxmlformats.org/officeDocument/2006/relationships/hyperlink" Target="INTX_evidence.html#R1000" TargetMode="External"/><Relationship Id="rId281" Type="http://schemas.openxmlformats.org/officeDocument/2006/relationships/hyperlink" Target="INTX_evidence.html#R1001" TargetMode="External"/><Relationship Id="rId282" Type="http://schemas.openxmlformats.org/officeDocument/2006/relationships/hyperlink" Target="INTX_evidence.html#R1042" TargetMode="External"/><Relationship Id="rId283" Type="http://schemas.openxmlformats.org/officeDocument/2006/relationships/hyperlink" Target="INTX_evidence.html#R1018" TargetMode="External"/><Relationship Id="rId284" Type="http://schemas.openxmlformats.org/officeDocument/2006/relationships/hyperlink" Target="INTX_evidence.html#R1088" TargetMode="External"/><Relationship Id="rId285" Type="http://schemas.openxmlformats.org/officeDocument/2006/relationships/hyperlink" Target="INTX_evidence.html#R1034" TargetMode="External"/><Relationship Id="rId286" Type="http://schemas.openxmlformats.org/officeDocument/2006/relationships/hyperlink" Target="INTX_evidence.html#R1036" TargetMode="External"/><Relationship Id="rId287" Type="http://schemas.openxmlformats.org/officeDocument/2006/relationships/hyperlink" Target="INTX_evidence.html#R1076" TargetMode="External"/><Relationship Id="rId288" Type="http://schemas.openxmlformats.org/officeDocument/2006/relationships/hyperlink" Target="INTX_evidence.html#R1030" TargetMode="External"/><Relationship Id="rId289" Type="http://schemas.openxmlformats.org/officeDocument/2006/relationships/hyperlink" Target="INTX_evidence.html#R1031" TargetMode="External"/><Relationship Id="rId290" Type="http://schemas.openxmlformats.org/officeDocument/2006/relationships/hyperlink" Target="INTX_evidence.html#R1065" TargetMode="External"/><Relationship Id="rId291" Type="http://schemas.openxmlformats.org/officeDocument/2006/relationships/hyperlink" Target="INTX_evidence.html#R1028" TargetMode="External"/><Relationship Id="rId292" Type="http://schemas.openxmlformats.org/officeDocument/2006/relationships/hyperlink" Target="INTX_evidence.html#R1080" TargetMode="External"/><Relationship Id="rId293" Type="http://schemas.openxmlformats.org/officeDocument/2006/relationships/hyperlink" Target="INTX_evidence.html#R1013" TargetMode="External"/><Relationship Id="rId294" Type="http://schemas.openxmlformats.org/officeDocument/2006/relationships/hyperlink" Target="INTX_evidence.html#R1086" TargetMode="External"/><Relationship Id="rId295" Type="http://schemas.openxmlformats.org/officeDocument/2006/relationships/hyperlink" Target="INTX_evidence.html#R1025" TargetMode="External"/><Relationship Id="rId296" Type="http://schemas.openxmlformats.org/officeDocument/2006/relationships/hyperlink" Target="INTX_evidence.html#R1026" TargetMode="External"/><Relationship Id="rId297" Type="http://schemas.openxmlformats.org/officeDocument/2006/relationships/hyperlink" Target="INTX_evidence.html#R1027" TargetMode="External"/><Relationship Id="rId298" Type="http://schemas.openxmlformats.org/officeDocument/2006/relationships/hyperlink" Target="INTX_evidence.html#R1024" TargetMode="External"/><Relationship Id="rId299" Type="http://schemas.openxmlformats.org/officeDocument/2006/relationships/hyperlink" Target="INTX_evidence.html#R1063" TargetMode="External"/><Relationship Id="rId300" Type="http://schemas.openxmlformats.org/officeDocument/2006/relationships/hyperlink" Target="INTX_evidence.html#R1091" TargetMode="External"/><Relationship Id="rId301" Type="http://schemas.openxmlformats.org/officeDocument/2006/relationships/hyperlink" Target="INTX_evidence.html#R1072" TargetMode="External"/><Relationship Id="rId302" Type="http://schemas.openxmlformats.org/officeDocument/2006/relationships/hyperlink" Target="INTX_evidence.html#R1058" TargetMode="External"/><Relationship Id="rId303" Type="http://schemas.openxmlformats.org/officeDocument/2006/relationships/hyperlink" Target="INTX_evidence.html#R1057" TargetMode="External"/><Relationship Id="rId304" Type="http://schemas.openxmlformats.org/officeDocument/2006/relationships/hyperlink" Target="INTX_evidence.html#R1051" TargetMode="External"/><Relationship Id="rId305" Type="http://schemas.openxmlformats.org/officeDocument/2006/relationships/hyperlink" Target="INTX_evidence.html#R1054" TargetMode="External"/><Relationship Id="rId306" Type="http://schemas.openxmlformats.org/officeDocument/2006/relationships/hyperlink" Target="INTX_evidence.html#R1053" TargetMode="External"/><Relationship Id="rId307" Type="http://schemas.openxmlformats.org/officeDocument/2006/relationships/hyperlink" Target="INTX_evidence.html#R1081" TargetMode="External"/><Relationship Id="rId308" Type="http://schemas.openxmlformats.org/officeDocument/2006/relationships/hyperlink" Target="INTX_evidence.html#R1019" TargetMode="External"/><Relationship Id="rId309" Type="http://schemas.openxmlformats.org/officeDocument/2006/relationships/hyperlink" Target="INTX_evidence.html#R1087" TargetMode="External"/><Relationship Id="rId310" Type="http://schemas.openxmlformats.org/officeDocument/2006/relationships/hyperlink" Target="INTX_evidence.html#R1055" TargetMode="External"/><Relationship Id="rId311" Type="http://schemas.openxmlformats.org/officeDocument/2006/relationships/hyperlink" Target="INTX_evidence.html#R1056" TargetMode="External"/><Relationship Id="rId312" Type="http://schemas.openxmlformats.org/officeDocument/2006/relationships/hyperlink" Target="INTX_evidence.html#R1095" TargetMode="External"/><Relationship Id="rId313" Type="http://schemas.openxmlformats.org/officeDocument/2006/relationships/hyperlink" Target="INTX_evidence.html#R1096" TargetMode="External"/><Relationship Id="rId314" Type="http://schemas.openxmlformats.org/officeDocument/2006/relationships/hyperlink" Target="INTX_evidence.html#R1044" TargetMode="External"/><Relationship Id="rId315" Type="http://schemas.openxmlformats.org/officeDocument/2006/relationships/hyperlink" Target="INTX_evidence.html#R1079" TargetMode="External"/><Relationship Id="rId316" Type="http://schemas.openxmlformats.org/officeDocument/2006/relationships/hyperlink" Target="INTX_evidence.html#R554" TargetMode="External"/><Relationship Id="rId317" Type="http://schemas.openxmlformats.org/officeDocument/2006/relationships/hyperlink" Target="INTX_evidence.html#R555" TargetMode="External"/><Relationship Id="rId318" Type="http://schemas.openxmlformats.org/officeDocument/2006/relationships/hyperlink" Target="INTX_evidence.html#R445" TargetMode="External"/><Relationship Id="rId319" Type="http://schemas.openxmlformats.org/officeDocument/2006/relationships/hyperlink" Target="INTX_evidence.html#R453" TargetMode="External"/><Relationship Id="rId320" Type="http://schemas.openxmlformats.org/officeDocument/2006/relationships/hyperlink" Target="INTX_evidence.html#R017" TargetMode="External"/><Relationship Id="rId321" Type="http://schemas.openxmlformats.org/officeDocument/2006/relationships/hyperlink" Target="INTX_evidence.html#R973" TargetMode="External"/><Relationship Id="rId322" Type="http://schemas.openxmlformats.org/officeDocument/2006/relationships/hyperlink" Target="INTX_evidence.html#R551" TargetMode="External"/><Relationship Id="rId323" Type="http://schemas.openxmlformats.org/officeDocument/2006/relationships/hyperlink" Target="INTX_evidence.html#R552" TargetMode="External"/><Relationship Id="rId324" Type="http://schemas.openxmlformats.org/officeDocument/2006/relationships/hyperlink" Target="INTX_evidence.html#R018" TargetMode="External"/><Relationship Id="rId325" Type="http://schemas.openxmlformats.org/officeDocument/2006/relationships/hyperlink" Target="INTX_evidence.html#R251" TargetMode="External"/><Relationship Id="rId326" Type="http://schemas.openxmlformats.org/officeDocument/2006/relationships/hyperlink" Target="INTX_evidence.html#R016" TargetMode="External"/><Relationship Id="rId327" Type="http://schemas.openxmlformats.org/officeDocument/2006/relationships/hyperlink" Target="INTX_evidence.html#R160" TargetMode="External"/><Relationship Id="rId328" Type="http://schemas.openxmlformats.org/officeDocument/2006/relationships/hyperlink" Target="INTX_evidence.html#R161" TargetMode="External"/><Relationship Id="rId329" Type="http://schemas.openxmlformats.org/officeDocument/2006/relationships/hyperlink" Target="INTX_evidence.html#R158" TargetMode="External"/><Relationship Id="rId330" Type="http://schemas.openxmlformats.org/officeDocument/2006/relationships/hyperlink" Target="INTX_evidence.html#R159" TargetMode="External"/><Relationship Id="rId331" Type="http://schemas.openxmlformats.org/officeDocument/2006/relationships/hyperlink" Target="INTX_evidence.html#R253" TargetMode="External"/><Relationship Id="rId332" Type="http://schemas.openxmlformats.org/officeDocument/2006/relationships/hyperlink" Target="INTX_evidence.html#R246" TargetMode="External"/><Relationship Id="rId333" Type="http://schemas.openxmlformats.org/officeDocument/2006/relationships/hyperlink" Target="INTX_evidence.html#R254" TargetMode="External"/><Relationship Id="rId334" Type="http://schemas.openxmlformats.org/officeDocument/2006/relationships/hyperlink" Target="INTX_evidence.html#R252" TargetMode="External"/><Relationship Id="rId335" Type="http://schemas.openxmlformats.org/officeDocument/2006/relationships/hyperlink" Target="INTX_evidence.html#R843" TargetMode="External"/><Relationship Id="rId336" Type="http://schemas.openxmlformats.org/officeDocument/2006/relationships/hyperlink" Target="INTX_evidence.html#R166" TargetMode="External"/><Relationship Id="rId337" Type="http://schemas.openxmlformats.org/officeDocument/2006/relationships/hyperlink" Target="INTX_evidence.html#R130" TargetMode="External"/><Relationship Id="rId338" Type="http://schemas.openxmlformats.org/officeDocument/2006/relationships/hyperlink" Target="INTX_evidence.html#R009" TargetMode="External"/><Relationship Id="rId339" Type="http://schemas.openxmlformats.org/officeDocument/2006/relationships/hyperlink" Target="INTX_evidence.html#R135" TargetMode="External"/><Relationship Id="rId340" Type="http://schemas.openxmlformats.org/officeDocument/2006/relationships/hyperlink" Target="INTX_evidence.html#R881" TargetMode="External"/><Relationship Id="rId341" Type="http://schemas.openxmlformats.org/officeDocument/2006/relationships/hyperlink" Target="INTX_evidence.html#R987" TargetMode="External"/><Relationship Id="rId342" Type="http://schemas.openxmlformats.org/officeDocument/2006/relationships/hyperlink" Target="INTX_evidence.html#R884" TargetMode="External"/><Relationship Id="rId343" Type="http://schemas.openxmlformats.org/officeDocument/2006/relationships/hyperlink" Target="INTX_evidence.html#R965" TargetMode="External"/><Relationship Id="rId344" Type="http://schemas.openxmlformats.org/officeDocument/2006/relationships/hyperlink" Target="INTX_evidence.html#R969" TargetMode="External"/><Relationship Id="rId345" Type="http://schemas.openxmlformats.org/officeDocument/2006/relationships/hyperlink" Target="INTX_evidence.html#R670" TargetMode="External"/><Relationship Id="rId346" Type="http://schemas.openxmlformats.org/officeDocument/2006/relationships/hyperlink" Target="INTX_evidence.html#R1132" TargetMode="External"/><Relationship Id="rId347" Type="http://schemas.openxmlformats.org/officeDocument/2006/relationships/hyperlink" Target="INTX_evidence.html#R143" TargetMode="External"/><Relationship Id="rId348" Type="http://schemas.openxmlformats.org/officeDocument/2006/relationships/hyperlink" Target="INTX_evidence.html#R146" TargetMode="External"/><Relationship Id="rId349" Type="http://schemas.openxmlformats.org/officeDocument/2006/relationships/hyperlink" Target="INTX_evidence.html#R262" TargetMode="External"/><Relationship Id="rId350" Type="http://schemas.openxmlformats.org/officeDocument/2006/relationships/hyperlink" Target="INTX_evidence.html#R255" TargetMode="External"/><Relationship Id="rId351" Type="http://schemas.openxmlformats.org/officeDocument/2006/relationships/hyperlink" Target="INTX_evidence.html#R8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