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Book Chapter Reflection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Selected book chapter (only for Book Chapter Reflection): Napoleon’s Buttons (Chapter 12; p.223-245)</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rPr>
          <w:b/>
          <w:b/>
          <w:sz w:val="24"/>
          <w:szCs w:val="24"/>
          <w:lang w:val="en-US"/>
        </w:rPr>
      </w:pPr>
      <w:r>
        <w:rPr>
          <w:b/>
          <w:sz w:val="24"/>
          <w:szCs w:val="24"/>
          <w:lang w:val="en-US"/>
        </w:rPr>
        <w:t>Reflection</w:t>
      </w:r>
    </w:p>
    <w:p>
      <w:pPr>
        <w:pStyle w:val="Normal"/>
        <w:rPr>
          <w:sz w:val="24"/>
          <w:szCs w:val="24"/>
          <w:lang w:val="en-US"/>
        </w:rPr>
      </w:pPr>
      <w:r>
        <w:rPr>
          <w:sz w:val="24"/>
          <w:szCs w:val="24"/>
          <w:lang w:val="en-US"/>
        </w:rPr>
        <w:t>The author uses description and exemplification to inform and engage the reader.</w:t>
      </w:r>
    </w:p>
    <w:p>
      <w:pPr>
        <w:pStyle w:val="Normal"/>
        <w:rPr>
          <w:sz w:val="24"/>
          <w:szCs w:val="24"/>
          <w:lang w:val="en-US"/>
        </w:rPr>
      </w:pPr>
      <w:r>
        <w:rPr>
          <w:sz w:val="24"/>
          <w:szCs w:val="24"/>
          <w:lang w:val="en-US"/>
        </w:rPr>
        <w:t xml:space="preserve">In p.229 section 2, the author gives a brief description of the structures of the various cardiac glycoside molecules as mentioned in the previous two paragraphs. The molecules are described as having “the same structural feature” and “five-membered lactone ring” as well as “an extra OH” which gives rise to the “cardiac effect”. This description is </w:t>
      </w:r>
      <w:r>
        <w:rPr>
          <w:sz w:val="24"/>
          <w:szCs w:val="24"/>
          <w:lang w:val="en-US"/>
        </w:rPr>
        <w:t>effective in</w:t>
      </w:r>
      <w:r>
        <w:rPr>
          <w:sz w:val="24"/>
          <w:szCs w:val="24"/>
          <w:lang w:val="en-US"/>
        </w:rPr>
        <w:t xml:space="preserve"> informing the reader that molecules that have the same structures and chemical properties have largely similar effects. </w:t>
      </w:r>
      <w:r>
        <w:rPr>
          <w:sz w:val="24"/>
          <w:szCs w:val="24"/>
          <w:lang w:val="en-US"/>
        </w:rPr>
        <w:t>This also allows the reader to imagine molecules as objects with shapes much like real world objects, rather than imagining them as abstract concepts.</w:t>
      </w:r>
    </w:p>
    <w:p>
      <w:pPr>
        <w:pStyle w:val="Normal"/>
        <w:rPr>
          <w:sz w:val="24"/>
          <w:szCs w:val="24"/>
          <w:lang w:val="en-US"/>
        </w:rPr>
      </w:pPr>
      <w:r>
        <w:rPr>
          <w:sz w:val="24"/>
          <w:szCs w:val="24"/>
          <w:lang w:val="en-US"/>
        </w:rPr>
        <w:t>In p.231 section 3, the author gives specific examples of physiological effects that are “often welcomed by humans” of the different members of alkaloids. These range from acrecaidine which is used as a stimulant, to reserpine which is used to treat high blood pressure. This strategy is largely effective in engaging the reader as they can clearly grasp the concept of beneficial physiological effects of alkaloids through the examples, as well as appreciate the molecules’ far-reaching impacts as they are still in use as medicine even today. However, there are technical terms that might not be understood even by an educated reader such as “decongestant” and “bronchodilator”, and thus these effects are not really clear. Overall, this strategy is still effective as other well-known examples such as Vitamin B and blood pressure treatment can still illustrate alkaloids’ beneficial effects.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(2</w:t>
      </w:r>
      <w:r>
        <w:rPr>
          <w:sz w:val="24"/>
          <w:szCs w:val="24"/>
          <w:lang w:val="en-US"/>
        </w:rPr>
        <w:t>50</w:t>
      </w:r>
      <w:r>
        <w:rPr>
          <w:sz w:val="24"/>
          <w:szCs w:val="24"/>
          <w:lang w:val="en-US"/>
        </w:rPr>
        <w:t xml:space="preserve"> words)</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References (including the book chapter):</w:t>
      </w:r>
    </w:p>
    <w:p>
      <w:pPr>
        <w:pStyle w:val="Normal"/>
        <w:widowControl/>
        <w:bidi w:val="0"/>
        <w:spacing w:lineRule="auto" w:line="259" w:before="0" w:after="160"/>
        <w:ind w:left="269" w:right="0" w:hanging="269"/>
        <w:jc w:val="left"/>
        <w:rPr>
          <w:sz w:val="24"/>
          <w:szCs w:val="24"/>
          <w:lang w:val="en-US"/>
        </w:rPr>
      </w:pPr>
      <w:r>
        <w:rPr>
          <w:sz w:val="24"/>
          <w:szCs w:val="24"/>
          <w:lang w:val="en-US"/>
        </w:rPr>
        <w:t xml:space="preserve">Couteur, L. P., &amp; Burreson, J. (2014). Molecules of Witchcraft. In Napoleon's buttons: 17 molecules that changed history (pp. 223–245). Jeremy P. Tarcher/Penguin. </w:t>
      </w:r>
    </w:p>
    <w:p>
      <w:pPr>
        <w:pStyle w:val="Normal"/>
        <w:rPr>
          <w:b/>
          <w:b/>
          <w:bCs/>
          <w:sz w:val="24"/>
          <w:szCs w:val="24"/>
          <w:lang w:val="en-US"/>
        </w:rPr>
      </w:pPr>
      <w:r>
        <w:rPr>
          <w:b/>
          <w:bCs/>
          <w:sz w:val="24"/>
          <w:szCs w:val="24"/>
          <w:lang w:val="en-US"/>
        </w:rPr>
      </w:r>
    </w:p>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LibreOffice/7.3.5.2$Linux_X86_64 LibreOffice_project/30$Build-2</Application>
  <AppVersion>15.0000</AppVersion>
  <Pages>2</Pages>
  <Words>330</Words>
  <Characters>1895</Characters>
  <CharactersWithSpaces>2208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2022-09-04T14:16:39Z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