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mg-underwriting-model-skill"/>
      </w:pPr>
      <w:bookmarkStart w:id="0" w:name="tmg_underwriting_model_skill"/>
      <w:r>
        <w:t>TMG Underwriting Model Skill</w:t>
      </w:r>
      <w:bookmarkEnd w:id="0"/>
    </w:p>
    <w:p>
      <w:pPr>
        <w:pStyle w:val="Heading2"/>
        <ck:id v="what-this-skill-produces"/>
      </w:pPr>
      <w:bookmarkStart w:id="1" w:name="what_this_skill_produces"/>
      <w:r>
        <w:t>What this skill produces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The completed underwriting model (.xlsx) — named </w:t>
      </w:r>
      <w:r>
        <w:rPr>
          <w:b/>
        </w:rPr>
        <w:t>" -  -  - Final.xlsx"</w:t>
      </w:r>
      <w:r>
        <w:t xml:space="preserve"> — populated directly with openpyxl and recalculated/verified in LibreOffice. There is </w:t>
      </w:r>
      <w:r>
        <w:rPr>
          <w:b/>
        </w:rPr>
        <w:t>no separate "surgery" build anymore</w:t>
      </w:r>
      <w:r>
        <w:t xml:space="preserve">: we run the deliverable in LibreOffice, which cannot refresh Power Query in any case, so the openpyxl-saved workbook IS the deliverable. A worked example of the finished product is bundled at </w:t>
      </w:r>
      <w:r>
        <w:rPr>
          <w:rStyle w:val="CkCode"/>
        </w:rPr>
        <w:t>references/Initials - Property Name - Date - Final.xlsx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A PDF of the </w:t>
      </w:r>
      <w:r>
        <w:rPr>
          <w:b/>
        </w:rPr>
        <w:t>PDF Output - F&amp;C</w:t>
      </w:r>
      <w:r>
        <w:t xml:space="preserve"> tab only (landscape, fit-to-width), exported with the bundled </w:t>
      </w:r>
      <w:r>
        <w:rPr>
          <w:rStyle w:val="CkCode"/>
        </w:rPr>
        <w:t>scripts/export_pdf.py</w:t>
      </w:r>
      <w:r>
        <w:t>.</w:t>
      </w:r>
    </w:p>
    <w:p>
      <w:r>
        <w:t xml:space="preserve">Read </w:t>
      </w:r>
      <w:r>
        <w:rPr>
          <w:rStyle w:val="CkCode"/>
        </w:rPr>
        <w:t>references/model-map.md</w:t>
      </w:r>
      <w:r>
        <w:t xml:space="preserve"> for the exact cell map before touching the workbook, and </w:t>
      </w:r>
      <w:r>
        <w:rPr>
          <w:rStyle w:val="CkCode"/>
        </w:rPr>
        <w:t>references/technical-notes.md</w:t>
      </w:r>
      <w:r>
        <w:t xml:space="preserve"> for the openpyxl/LibreOffice gotchas — several are load-bearing (external defined names, array formulas, row-capacity limits).</w:t>
      </w:r>
    </w:p>
    <w:p>
      <w:pPr>
        <w:pStyle w:val="Heading2"/>
        <ck:id v="libreoffice-first-ground-rules"/>
      </w:pPr>
      <w:bookmarkStart w:id="2" w:name="libreoffice_first_ground_rules"/>
      <w:r>
        <w:t>LibreOffice-first ground rules</w:t>
      </w:r>
      <w:bookmarkEnd w:id="2"/>
    </w:p>
    <w:p>
      <w:r>
        <w:t xml:space="preserve">The model is authored, recalculated, and consumed in </w:t>
      </w:r>
      <w:r>
        <w:rPr>
          <w:b/>
        </w:rPr>
        <w:t>LibreOffice</w:t>
      </w:r>
      <w:r>
        <w:t xml:space="preserve"> — not Excel. Keep the workbook inside LibreOffice's comfort zone:</w:t>
      </w:r>
    </w:p>
    <w:p>
      <w:pPr>
        <w:pStyle w:val="ListParagraph"/>
        <w:numPr>
          <w:ilvl w:val="0"/>
          <w:numId w:val="2"/>
        </w:numPr>
      </w:pPr>
      <w:r>
        <w:t>Do not rely on, add, or try to preserve Power Query / DataMashup, workbook connections, query-table refresh, or pivot-cache refresh. An openpyxl or LibreOffice save strips them; nothing downstream needs them.</w:t>
      </w:r>
    </w:p>
    <w:p>
      <w:pPr>
        <w:pStyle w:val="ListParagraph"/>
        <w:numPr>
          <w:ilvl w:val="0"/>
          <w:numId w:val="2"/>
        </w:numPr>
      </w:pPr>
      <w:r>
        <w:t>No Excel-only or "clever" functionality in anything you write into the workbook: no dynamic arrays / spill functions (XLOOKUP, FILTER, LET, LAMBDA), no volatile whole-column tricks, no new external links, no new structured-table formulas. Plain cell references and the functions the template already uses are the ceiling.</w:t>
      </w:r>
    </w:p>
    <w:p>
      <w:pPr>
        <w:pStyle w:val="ListParagraph"/>
        <w:numPr>
          <w:ilvl w:val="0"/>
          <w:numId w:val="2"/>
        </w:numPr>
      </w:pPr>
      <w:r>
        <w:t>Values beat formulas: where a block only reports data (comp tables, Raw Rents mirrors, anything LibreOffice mangles per technical-notes §1–3), write literal values.</w:t>
      </w:r>
    </w:p>
    <w:p>
      <w:pPr>
        <w:pStyle w:val="ListParagraph"/>
        <w:numPr>
          <w:ilvl w:val="0"/>
          <w:numId w:val="2"/>
        </w:numPr>
      </w:pPr>
      <w:r>
        <w:t xml:space="preserve">Recalc and PDF export happen through LibreOffice headless (xlsx skill </w:t>
      </w:r>
      <w:r>
        <w:rPr>
          <w:rStyle w:val="CkCode"/>
        </w:rPr>
        <w:t>recalc.py</w:t>
      </w:r>
      <w:r>
        <w:t xml:space="preserve">, </w:t>
      </w:r>
      <w:r>
        <w:rPr>
          <w:rStyle w:val="CkCode"/>
        </w:rPr>
        <w:t>scripts/export_pdf.py</w:t>
      </w:r>
      <w:r>
        <w:t>); expect the template's ~380 pre-existing error cells and require zero NEW errors.</w:t>
      </w:r>
    </w:p>
    <w:p>
      <w:pPr>
        <w:pStyle w:val="Heading2"/>
        <ck:id v="inputs-to-collect"/>
      </w:pPr>
      <w:bookmarkStart w:id="3" w:name="inputs_to_collect"/>
      <w:r>
        <w:t>Inputs to collect</w:t>
      </w:r>
      <w:bookmarkEnd w:id="3"/>
    </w:p>
    <w:p>
      <w:pPr>
        <w:pStyle w:val="ListParagraph"/>
        <w:numPr>
          <w:ilvl w:val="0"/>
          <w:numId w:val="3"/>
        </w:numPr>
      </w:pPr>
      <w:r>
        <w:t xml:space="preserve">The model workbook. If the user attaches one ("Initials  Property Name Date …xlsx"), use it — and if two copies are attached, use the one containing a </w:t>
      </w:r>
      <w:r>
        <w:rPr>
          <w:rStyle w:val="CkCode"/>
        </w:rPr>
        <w:t>FinalRR</w:t>
      </w:r>
      <w:r>
        <w:t xml:space="preserve"> sheet. If none is attached, start from the bundled blank template at </w:t>
      </w:r>
      <w:r>
        <w:rPr>
          <w:rStyle w:val="CkCode"/>
        </w:rPr>
        <w:t>references/Template Model.xlsx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Rent roll workbook (redIQ export: </w:t>
      </w:r>
      <w:r>
        <w:rPr>
          <w:rStyle w:val="CkCode"/>
        </w:rPr>
        <w:t>Rent Roll</w:t>
      </w:r>
      <w:r>
        <w:t xml:space="preserve"> + </w:t>
      </w:r>
      <w:r>
        <w:rPr>
          <w:rStyle w:val="CkCode"/>
        </w:rPr>
        <w:t>Floor Plan Summary</w:t>
      </w:r>
      <w:r>
        <w:t xml:space="preserve"> sheets).</w:t>
      </w:r>
    </w:p>
    <w:p>
      <w:pPr>
        <w:pStyle w:val="ListParagraph"/>
        <w:numPr>
          <w:ilvl w:val="0"/>
          <w:numId w:val="3"/>
        </w:numPr>
      </w:pPr>
      <w:r>
        <w:t>T-12 workbook (</w:t>
      </w:r>
      <w:r>
        <w:rPr>
          <w:rStyle w:val="CkCode"/>
        </w:rPr>
        <w:t>Trailing 12 Month Statement</w:t>
      </w:r>
      <w:r>
        <w:t xml:space="preserve"> sheet with code column: r, ll, v, nr, bd, rw, rt, ro, oi, cs, rm, ad, m, pr, w, tr, e, o, mf, i, tx).</w:t>
      </w:r>
    </w:p>
    <w:p>
      <w:pPr>
        <w:pStyle w:val="ListParagraph"/>
        <w:numPr>
          <w:ilvl w:val="0"/>
          <w:numId w:val="3"/>
        </w:numPr>
      </w:pPr>
      <w:r>
        <w:t>Rent Data market workbook (</w:t>
      </w:r>
      <w:r>
        <w:rPr>
          <w:rStyle w:val="CkCode"/>
        </w:rPr>
        <w:t>Rent Comps</w:t>
      </w:r>
      <w:r>
        <w:t xml:space="preserve">, </w:t>
      </w:r>
      <w:r>
        <w:rPr>
          <w:rStyle w:val="CkCode"/>
        </w:rPr>
        <w:t>Unit-Level Data</w:t>
      </w:r>
      <w:r>
        <w:t xml:space="preserve">, </w:t>
      </w:r>
      <w:r>
        <w:rPr>
          <w:rStyle w:val="CkCode"/>
        </w:rPr>
        <w:t>Reviews Analysis</w:t>
      </w:r>
      <w:r>
        <w:t xml:space="preserve">, </w:t>
      </w:r>
      <w:r>
        <w:rPr>
          <w:rStyle w:val="CkCode"/>
        </w:rPr>
        <w:t>Specials</w:t>
      </w:r>
      <w:r>
        <w:t xml:space="preserve">, </w:t>
      </w:r>
      <w:r>
        <w:rPr>
          <w:rStyle w:val="CkCode"/>
        </w:rPr>
        <w:t>Fees &amp; Amenities</w:t>
      </w:r>
      <w:r>
        <w:t xml:space="preserve"> sheets).</w:t>
      </w:r>
    </w:p>
    <w:p>
      <w:pPr>
        <w:pStyle w:val="ListParagraph"/>
        <w:numPr>
          <w:ilvl w:val="0"/>
          <w:numId w:val="3"/>
        </w:numPr>
      </w:pPr>
      <w:r>
        <w:t>County appraisal district card (property values, taxing units, year built, land SF). Verify any tax bill actually matches the subject property — billing numbers can coincide with unrelated parcels; the CAD card is the authority for tax rates and assessed value.</w:t>
      </w:r>
    </w:p>
    <w:p>
      <w:pPr>
        <w:pStyle w:val="Heading2"/>
        <ck:id v="workflow"/>
      </w:pPr>
      <w:bookmarkStart w:id="4" w:name="workflow"/>
      <w:r>
        <w:t>Workflow</w:t>
      </w:r>
      <w:bookmarkEnd w:id="4"/>
    </w:p>
    <w:p>
      <w:r>
        <w:rPr>
          <w:b/>
        </w:rPr>
        <w:t>Phase A — value the deal in Python (</w:t>
      </w:r>
      <w:r>
        <w:rPr>
          <w:rStyle w:val="CkCode"/>
          <w:b/>
        </w:rPr>
        <w:t>scripts/tmg_valuation.py</w:t>
      </w:r>
      <w:r>
        <w:rPr>
          <w:b/>
        </w:rPr>
        <w:t>).</w:t>
      </w:r>
      <w:r>
        <w:t xml:space="preserve"> All assumption tuning happens here; iteration is instant instead of a ~2-min LibreOffice recalc per pass.</w:t>
      </w:r>
    </w:p>
    <w:p>
      <w:pPr>
        <w:pStyle w:val="ListParagraph"/>
        <w:numPr>
          <w:ilvl w:val="0"/>
          <w:numId w:val="4"/>
        </w:numPr>
      </w:pPr>
      <w:r>
        <w:t xml:space="preserve">Copy </w:t>
      </w:r>
      <w:r>
        <w:rPr>
          <w:rStyle w:val="CkCode"/>
        </w:rPr>
        <w:t>scripts/tmg_valuation.py</w:t>
      </w:r>
      <w:r>
        <w:t xml:space="preserve"> into the job folder and fill its config blocks from the source documents — they mirror the model tab-for-tab:</w:t>
      </w:r>
    </w:p>
    <w:p>
      <w:pPr>
        <w:pStyle w:val="ListParagraph"/>
        <w:numPr>
          <w:ilvl w:val="1"/>
          <w:numId w:val="5"/>
        </w:numPr>
      </w:pPr>
      <w:r>
        <w:rPr>
          <w:rStyle w:val="CkCode"/>
        </w:rPr>
        <w:t>PROPERTY</w:t>
      </w:r>
      <w:r>
        <w:t xml:space="preserve"> — units, rentable SF, market rent/unit, total tax rate from the CAD card (Master-tab facts).</w:t>
      </w:r>
    </w:p>
    <w:p>
      <w:pPr>
        <w:pStyle w:val="ListParagraph"/>
        <w:numPr>
          <w:ilvl w:val="1"/>
          <w:numId w:val="5"/>
        </w:numPr>
      </w:pPr>
      <w:r>
        <w:rPr>
          <w:rStyle w:val="CkCode"/>
        </w:rPr>
        <w:t>T12_MONTHLY</w:t>
      </w:r>
      <w:r>
        <w:t xml:space="preserve"> — monthly income and expense series aggregated from the T-12 statement by code (same lines as Final_T_12), oldest → newest.</w:t>
      </w:r>
    </w:p>
    <w:p>
      <w:pPr>
        <w:pStyle w:val="ListParagraph"/>
        <w:numPr>
          <w:ilvl w:val="1"/>
          <w:numId w:val="5"/>
        </w:numPr>
      </w:pPr>
      <w:r>
        <w:rPr>
          <w:rStyle w:val="CkCode"/>
        </w:rPr>
        <w:t>ASSUMPTIONS</w:t>
      </w:r>
      <w:r>
        <w:t xml:space="preserve"> — the Assumptions-tab blue cells (Year-1 operating inputs, expense overrides / "agency" benchmark flags, growth rates, price, debt terms, syndication terms).</w:t>
      </w:r>
    </w:p>
    <w:p>
      <w:pPr>
        <w:pStyle w:val="ListParagraph"/>
        <w:numPr>
          <w:ilvl w:val="1"/>
          <w:numId w:val="5"/>
        </w:numPr>
      </w:pPr>
      <w:r>
        <w:rPr>
          <w:rStyle w:val="CkCode"/>
        </w:rPr>
        <w:t>VALUE_ADD_ITEMS</w:t>
      </w:r>
      <w:r>
        <w:t xml:space="preserve"> — include-flags for the Value-Add programs (top 3 per category count, exactly like the tab). A 2018+ build gets no interior renovation program.</w:t>
      </w:r>
    </w:p>
    <w:p>
      <w:pPr>
        <w:pStyle w:val="ListParagraph"/>
        <w:numPr>
          <w:ilvl w:val="1"/>
          <w:numId w:val="5"/>
        </w:numPr>
      </w:pPr>
      <w:r>
        <w:rPr>
          <w:rStyle w:val="CkCode"/>
        </w:rPr>
        <w:t>FACTORS</w:t>
      </w:r>
      <w:r>
        <w:t xml:space="preserve"> — sale-comp cap rate plus cap-rate risk adjustments in bps (keep custom adjustments 25–75 bps and defensible).</w:t>
      </w:r>
    </w:p>
    <w:p>
      <w:pPr>
        <w:pStyle w:val="ListParagraph"/>
        <w:numPr>
          <w:ilvl w:val="0"/>
          <w:numId w:val="4"/>
        </w:numPr>
      </w:pPr>
      <w:r>
        <w:t xml:space="preserve">Research the property (reviews, specials, amenities; Rent Data </w:t>
      </w:r>
      <w:r>
        <w:rPr>
          <w:rStyle w:val="CkCode"/>
        </w:rPr>
        <w:t>Reviews Analysis</w:t>
      </w:r>
      <w:r>
        <w:t xml:space="preserve"> sentiment vs the T-12) to justify Value-Add selections and risk factors before flipping flags.</w:t>
      </w:r>
    </w:p>
    <w:p>
      <w:pPr>
        <w:pStyle w:val="ListParagraph"/>
        <w:numPr>
          <w:ilvl w:val="0"/>
          <w:numId w:val="4"/>
        </w:numPr>
      </w:pPr>
      <w:r>
        <w:t xml:space="preserve">Run the script and tune purchase price / LTV / assumptions against the house rules below. The script prints the full proforma, Project IRR, Avg Cash-on-Cash, T-3 DSCR, and a validation table; </w:t>
      </w:r>
      <w:r>
        <w:rPr>
          <w:rStyle w:val="CkCode"/>
        </w:rPr>
        <w:t>solve_price_for_irr()</w:t>
      </w:r>
      <w:r>
        <w:t xml:space="preserve"> goal-seeks the pricing band.</w:t>
      </w:r>
    </w:p>
    <w:p>
      <w:r>
        <w:rPr>
          <w:b/>
        </w:rPr>
        <w:t>Phase B — populate the deliverable model.</w:t>
      </w:r>
      <w:r>
        <w:t xml:space="preserve"> Work on the actual deliverable copy from the start; no disposable working copy and no zip-surgery rebuild afterward.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Master tab</w:t>
      </w:r>
      <w:r>
        <w:t xml:space="preserve"> — property info in B1:B19 (+ C3 state, D3 zip). Tax rates B11:B17 from the CAD card's taxing-units table; total must reproduce the card's aggregate rate. Full market value = current-year net appraised. Date of rent roll = the "as of" date inside the rent roll file, not its filename.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FinalRR + Final_T_12</w:t>
      </w:r>
      <w:r>
        <w:t xml:space="preserve"> — paste rent roll rows into FinalRR C9:Y…, floor plan summary into FinalRR BA9:BZ… and the </w:t>
      </w:r>
      <w:r>
        <w:rPr>
          <w:rStyle w:val="CkCode"/>
        </w:rPr>
        <w:t>Final_RR_Floor_Plan</w:t>
      </w:r>
      <w:r>
        <w:t xml:space="preserve"> table; aggregate the T-12 statement by code into Final_T_12 (fold </w:t>
      </w:r>
      <w:r>
        <w:rPr>
          <w:rStyle w:val="CkCode"/>
        </w:rPr>
        <w:t>rt</w:t>
      </w:r>
      <w:r>
        <w:t xml:space="preserve"> into the </w:t>
      </w:r>
      <w:r>
        <w:rPr>
          <w:rStyle w:val="CkCode"/>
        </w:rPr>
        <w:t>ro</w:t>
      </w:r>
      <w:r>
        <w:t xml:space="preserve"> row; set the month dates in row 2; column O = row totals). Cross-check rev/exp/NOI against the statement's own </w:t>
      </w:r>
      <w:r>
        <w:rPr>
          <w:rStyle w:val="CkCode"/>
        </w:rPr>
        <w:t>rev</w:t>
      </w:r>
      <w:r>
        <w:t>/</w:t>
      </w:r>
      <w:r>
        <w:rPr>
          <w:rStyle w:val="CkCode"/>
        </w:rPr>
        <w:t>exp</w:t>
      </w:r>
      <w:r>
        <w:t>/</w:t>
      </w:r>
      <w:r>
        <w:rPr>
          <w:rStyle w:val="CkCode"/>
        </w:rPr>
        <w:t>noi</w:t>
      </w:r>
      <w:r>
        <w:t xml:space="preserve"> rows — these must be the same numbers already loaded into </w:t>
      </w:r>
      <w:r>
        <w:rPr>
          <w:rStyle w:val="CkCode"/>
        </w:rPr>
        <w:t>T12_MONTHLY</w:t>
      </w:r>
      <w:r>
        <w:t xml:space="preserve"> in Phase 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Comp tables</w:t>
      </w:r>
      <w:r>
        <w:t xml:space="preserve"> — TableRecentLeases from Unit-Level Data (comps only, exclude the subject; filter to leases in the last 12 months + active listings; cap total rows at 996 — see technical notes); TablePropertyData from the Rent Comps sheet (subject row, "Comp Average" row, then comps, with address split into street/city/state/zip). Then value-fill the Raw Rents mirror columns (see model map).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Rent comp selection</w:t>
      </w:r>
      <w:r>
        <w:t xml:space="preserve"> — recalc, then "x" in Rent Comparison column AK for the best 4–5 comps: highest-renting cluster, dropping low-rent outliers and any single comp priced far above the pack. The PDF summary table only shows the first four selected; a fifth still feeds the averages.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Transcribe the settled valuation</w:t>
      </w:r>
      <w:r>
        <w:t xml:space="preserve"> — copy the final Phase-A inputs into the model verbatim: Assumptions-tab blue cells (including strike price and loan terms), Value-Add column-C "x" flags, and Factors column-J flags plus any custom rows 24–25. Do not re-tune in the spreadsheet; the Python run is the source of truth.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Verify + deliver</w:t>
      </w:r>
      <w:r>
        <w:t xml:space="preserve"> — LibreOffice recalc, then read F5 (IRR), F7 (CoC), I8 (T-3 DSCR) with </w:t>
      </w:r>
      <w:r>
        <w:rPr>
          <w:rStyle w:val="CkCode"/>
        </w:rPr>
        <w:t>data_only=True</w:t>
      </w:r>
      <w:r>
        <w:t xml:space="preserve"> and confirm they match the Python outputs within ±2% (they normally match to rounding; a bigger gap means a transcription error — find it, don't shrug). Zero new formula errors. Export the PDF Output - F&amp;C tab with </w:t>
      </w:r>
      <w:r>
        <w:rPr>
          <w:rStyle w:val="CkCode"/>
        </w:rPr>
        <w:t>scripts/export_pdf.py</w:t>
      </w:r>
      <w:r>
        <w:t>, verify page 1 visually, name the workbook " -  -  - Final.xlsx", and send both files.</w:t>
      </w:r>
    </w:p>
    <w:p>
      <w:pPr>
        <w:pStyle w:val="Heading2"/>
        <ck:id v="house-rules-green-thresholds"/>
      </w:pPr>
      <w:bookmarkStart w:id="5" w:name="house_rules_green_thresholds"/>
      <w:r>
        <w:t>House rules (green thresholds)</w:t>
      </w:r>
      <w:bookmarkEnd w:id="5"/>
    </w:p>
    <w:p>
      <w:pPr>
        <w:pStyle w:val="ListParagraph"/>
        <w:numPr>
          <w:ilvl w:val="0"/>
          <w:numId w:val="7"/>
        </w:numPr>
      </w:pPr>
      <w:r>
        <w:rPr>
          <w:b/>
        </w:rPr>
        <w:t>Target IRR: 25%</w:t>
      </w:r>
      <w:r>
        <w:t xml:space="preserve"> (set Assumptions F48:H48 = 0.25). Green requires Project IRR (F5) &gt; target — land it with a 2–4 point cushion.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Avg cash-on-cash (F7) &gt; 10%.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T-3 DSCR (I8) &gt; 1.25 — UNLESS the deal is distressed.</w:t>
      </w:r>
      <w:r>
        <w:t xml:space="preserve"> Distress test: T-3 economic loss = T-3 vacancy % + concessions % + bad debt % (UW - F&amp;C AC8+AC9+AC10). If </w:t>
      </w:r>
      <w:r>
        <w:rPr>
          <w:b/>
        </w:rPr>
        <w:t>&gt; 30%</w:t>
      </w:r>
      <w:r>
        <w:t xml:space="preserve">, assume the deal goes to bridge financing and </w:t>
      </w:r>
      <w:r>
        <w:rPr>
          <w:b/>
        </w:rPr>
        <w:t>ignore the DSCR test entirely</w:t>
      </w:r>
      <w:r>
        <w:t xml:space="preserve"> — tune only IRR and CoC, and leverage may go to 65–75% LTV. If ≤ 30%, DSCR must be green, which usually forces lower leverage (45–55% LTV) on weak trailing NOI.</w:t>
      </w:r>
    </w:p>
    <w:p>
      <w:pPr>
        <w:pStyle w:val="ListParagraph"/>
        <w:numPr>
          <w:ilvl w:val="0"/>
          <w:numId w:val="7"/>
        </w:numPr>
      </w:pPr>
      <w:r>
        <w:t>Price aggressively for the listing pitch: push the strike toward the upper half of the model's own supported band (Assumptions F50/H50) while keeping every required metric green with cushion.</w:t>
      </w:r>
    </w:p>
    <w:p>
      <w:pPr>
        <w:pStyle w:val="ListParagraph"/>
        <w:numPr>
          <w:ilvl w:val="0"/>
          <w:numId w:val="7"/>
        </w:numPr>
      </w:pPr>
      <w:r>
        <w:t>RE tax assessment factor: 100% of purchase price (F&amp;C), tax rate from the CAD card. Leave interest rate blank to use the average agency quote unless the deal story says otherwise.</w:t>
      </w:r>
    </w:p>
    <w:p>
      <w:pPr>
        <w:pStyle w:val="Heading2"/>
        <ck:id v="presentation-rules"/>
      </w:pPr>
      <w:bookmarkStart w:id="6" w:name="presentation_rules"/>
      <w:r>
        <w:t>Presentation rules</w:t>
      </w:r>
      <w:bookmarkEnd w:id="6"/>
    </w:p>
    <w:p>
      <w:pPr>
        <w:pStyle w:val="ListParagraph"/>
        <w:numPr>
          <w:ilvl w:val="0"/>
          <w:numId w:val="8"/>
        </w:numPr>
      </w:pPr>
      <w:r>
        <w:t>Remove the "black box": the PDF Output - F&amp;C sheet has a conditional format on the floor-plan block (≈ B52:J77) that fills empty rows black. Delete that rule before exporting.</w:t>
      </w:r>
    </w:p>
    <w:p>
      <w:pPr>
        <w:pStyle w:val="ListParagraph"/>
        <w:numPr>
          <w:ilvl w:val="0"/>
          <w:numId w:val="8"/>
        </w:numPr>
      </w:pPr>
      <w:r>
        <w:t xml:space="preserve">Zero </w:t>
      </w:r>
      <w:r>
        <w:rPr>
          <w:i/>
        </w:rPr>
        <w:t>new</w:t>
      </w:r>
      <w:r>
        <w:t xml:space="preserve"> formula errors after recalc (compare against the template's pre-existing error set; the template ships with known #REF!/#VALUE! artifacts on Validation, Tax Assessment, Yields, and unused Value-Add rows).</w:t>
      </w:r>
    </w:p>
    <w:p>
      <w:pPr>
        <w:pStyle w:val="ListParagraph"/>
        <w:numPr>
          <w:ilvl w:val="0"/>
          <w:numId w:val="8"/>
        </w:numPr>
      </w:pPr>
      <w:r>
        <w:t>Flag anything you could not refresh (sale-comp pages, agency datasets) in the summary to the user — never present stale prior-deal comps silently.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1"/>
  </w:num>
  <w:num w:numId="6">
    <w:abstractNumId w:val="2"/>
    <w:lvlOverride w:ilvl="0">
      <w:startOverride w:val="4"/>
    </w:lvlOverride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description>&gt;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{"kv":{"name":"underwriting"},"v":1}</vt:lpwstr>
  </property>
</Properties>
</file>