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Prototipo funcional real en</w:t>
      </w:r>
      <w:r>
        <w:t xml:space="preserve"> </w:t>
      </w:r>
      <w:r>
        <w:rPr>
          <w:rStyle w:val="VerbatimChar"/>
        </w:rPr>
        <w:t xml:space="preserve">product/02c-high-fidelity-prototype/</w:t>
      </w:r>
      <w:r>
        <w:t xml:space="preserve">.</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el backlog del producto define desde el principio, antes de cualquier prueba con usuarios, la barra de éxito exacta:</w:t>
      </w:r>
      <w:r>
        <w:t xml:space="preserve"> </w:t>
      </w:r>
      <w:r>
        <w:rPr>
          <w:b/>
          <w:bCs/>
        </w:rPr>
        <w:t xml:space="preserve">90% o más de las ventas registradas, en menos de 3 segundos por registro</w:t>
      </w:r>
      <w:r>
        <w:t xml:space="preserve"> </w:t>
      </w:r>
      <w:r>
        <w:t xml:space="preserve">(</w:t>
      </w:r>
      <w:r>
        <w:rPr>
          <w:rStyle w:val="VerbatimChar"/>
        </w:rPr>
        <w:t xml:space="preserve">company/backlog.md</w:t>
      </w:r>
      <w:r>
        <w:t xml:space="preserve"> </w:t>
      </w:r>
      <w:r>
        <w:t xml:space="preserve">#1). 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pPr>
        <w:pStyle w:val="BodyText"/>
      </w:pPr>
      <w:r>
        <w:rPr>
          <w:b/>
          <w:bCs/>
        </w:rPr>
        <w:t xml:space="preserve">Límite de esta validación:</w:t>
      </w:r>
      <w:r>
        <w:t xml:space="preserve"> </w:t>
      </w:r>
      <w:r>
        <w:t xml:space="preserve">toda la experiencia de uso real hasta hoy viene de una sola persona, observada de cerca por mí y mi equipo. Es evidencia real, pero de un solo caso, no de una comunidad.</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bajo investigación activa. Web NFC cubre Android/Chrome pero no iOS Safari, y el requisito real de negocio, que Ana nunca necesite comprar un lector aparte, todavía no tiene solución confirmada.</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todavía no lo puedo calcular de forma defendible. No existe una cifra de precio decidida (</w:t>
      </w:r>
      <w:r>
        <w:rPr>
          <w:rStyle w:val="VerbatimChar"/>
        </w:rPr>
        <w:t xml:space="preserve">company/business-decisions.md</w:t>
      </w:r>
      <w:r>
        <w:t xml:space="preserve">), solo principios (sin comisión por transacción, precio fijo o estacional).</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w:t>
      </w:r>
      <w:r>
        <w:t xml:space="preserve"> </w:t>
      </w:r>
      <w:r>
        <w:t xml:space="preserve">“se decide en el pasillo”</w:t>
      </w:r>
      <w:r>
        <w:t xml:space="preserve">) funcionando en un caso real. El roster completo de agentes y cómo se gobiernan está en el Anexo A.</w:t>
      </w:r>
    </w:p>
    <w:p>
      <w:pPr>
        <w:pStyle w:val="BodyText"/>
      </w:pPr>
      <w:r>
        <w:rPr>
          <w:b/>
          <w:bCs/>
        </w:rPr>
        <w:t xml:space="preserve">Cada cuándo se revisa:</w:t>
      </w:r>
      <w:r>
        <w:t xml:space="preserve"> </w:t>
      </w:r>
      <w:r>
        <w:t xml:space="preserve">no tengo todavía una cadencia fija. Las decisiones de negocio abiertas las reviso cuando hay espacio, no en una fecha calendarizada. Es la brecha de gobernanza más clara que tengo hoy.</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A quién le cambia el trabajo:</w:t>
      </w:r>
      <w:r>
        <w:t xml:space="preserve"> </w:t>
      </w:r>
      <w:r>
        <w:t xml:space="preserve">Nahui no se despliega dentro de una empresa con empleados existentes que puedan ver su puesto amenazado. El cambio real de trabajo es el mío, de operar sola a dirigir un equipo de agentes de IA especializados, cada uno con autoridad real y no solo instrucciones. Para Ana y futuras comerciantes piloto, el trabajo no se reemplaza, cambia en que el registro deja de competir con atender al cliente.</w:t>
      </w:r>
    </w:p>
    <w:p>
      <w:pPr>
        <w:pStyle w:val="BodyText"/>
      </w:pPr>
      <w:r>
        <w:rPr>
          <w:b/>
          <w:bCs/>
        </w:rPr>
        <w:t xml:space="preserve">A quién podría ver esto como amenaza:</w:t>
      </w:r>
      <w:r>
        <w:t xml:space="preserve"> </w:t>
      </w:r>
      <w:r>
        <w:t xml:space="preserve">Ana ya me dijo, en otra conversación, que no quiere que la metan a plataformas tipo Amazon o Mercado Pago por las comisiones que cobran. Nahui explícitamente no cobra comisión por transacción, decisión de diseño ya tomada, justo para no replicar ese modelo de intermediario.</w:t>
      </w:r>
    </w:p>
    <w:p>
      <w:pPr>
        <w:pStyle w:val="BodyText"/>
      </w:pPr>
      <w:r>
        <w:rPr>
          <w:b/>
          <w:bCs/>
        </w:rPr>
        <w:t xml:space="preserve">Capacitación:</w:t>
      </w:r>
      <w:r>
        <w:t xml:space="preserve"> </w:t>
      </w:r>
      <w:r>
        <w:t xml:space="preserve">una pantalla de bienvenida (ya construida,</w:t>
      </w:r>
      <w:r>
        <w:t xml:space="preserve"> </w:t>
      </w:r>
      <w:r>
        <w:rPr>
          <w:rStyle w:val="VerbatimChar"/>
        </w:rPr>
        <w:t xml:space="preserve">demo-mode.md</w:t>
      </w:r>
      <w:r>
        <w:t xml:space="preserve">) que le dice a la comerciante piloto qué es real y qué no antes de que toque nada. No un manual largo, una orientación de menos de 15 segundos.</w:t>
      </w:r>
    </w:p>
    <w:p>
      <w:pPr>
        <w:pStyle w:val="BodyText"/>
      </w:pPr>
      <w:r>
        <w:rPr>
          <w:b/>
          <w:bCs/>
        </w:rPr>
        <w:t xml:space="preserve">Primeros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Responsable</w:t>
            </w:r>
          </w:p>
        </w:tc>
        <w:tc>
          <w:tcPr/>
          <w:p>
            <w:pPr>
              <w:pStyle w:val="Compact"/>
            </w:pPr>
            <w:r>
              <w:t xml:space="preserve">Fecha</w:t>
            </w:r>
          </w:p>
        </w:tc>
      </w:tr>
      <w:tr>
        <w:tc>
          <w:tcPr/>
          <w:p>
            <w:pPr>
              <w:pStyle w:val="Compact"/>
            </w:pPr>
            <w:r>
              <w:t xml:space="preserve">Piloto Concierge/DM, diagnosticar causa real de no adopción</w:t>
            </w:r>
          </w:p>
        </w:tc>
        <w:tc>
          <w:tcPr/>
          <w:p>
            <w:pPr>
              <w:pStyle w:val="Compact"/>
            </w:pPr>
            <w:r>
              <w:t xml:space="preserve">Claudia Falcón, Fundadora / Product Owner</w:t>
            </w:r>
          </w:p>
        </w:tc>
        <w:tc>
          <w:tcPr/>
          <w:p>
            <w:pPr>
              <w:pStyle w:val="Compact"/>
            </w:pPr>
            <w:r>
              <w:t xml:space="preserve">Próximas 2 semanas</w:t>
            </w:r>
          </w:p>
        </w:tc>
      </w:tr>
      <w:tr>
        <w:tc>
          <w:tcPr/>
          <w:p>
            <w:pPr>
              <w:pStyle w:val="Compact"/>
            </w:pPr>
            <w:r>
              <w:t xml:space="preserve">Decisión de precio (Business Decision)</w:t>
            </w:r>
          </w:p>
        </w:tc>
        <w:tc>
          <w:tcPr/>
          <w:p>
            <w:pPr>
              <w:pStyle w:val="Compact"/>
            </w:pPr>
            <w:r>
              <w:t xml:space="preserve">Claudia Falcón, Fundadora / Product Owner</w:t>
            </w:r>
          </w:p>
        </w:tc>
        <w:tc>
          <w:tcPr/>
          <w:p>
            <w:pPr>
              <w:pStyle w:val="Compact"/>
            </w:pPr>
            <w:r>
              <w:t xml:space="preserve">Antes de la siguiente ola de adquisición</w:t>
            </w:r>
          </w:p>
        </w:tc>
      </w:tr>
      <w:tr>
        <w:tc>
          <w:tcPr/>
          <w:p>
            <w:pPr>
              <w:pStyle w:val="Compact"/>
            </w:pPr>
            <w:r>
              <w:t xml:space="preserve">Resolución de la solución técnica NFC</w:t>
            </w:r>
          </w:p>
        </w:tc>
        <w:tc>
          <w:tcPr/>
          <w:p>
            <w:pPr>
              <w:pStyle w:val="Compact"/>
            </w:pPr>
            <w:r>
              <w:t xml:space="preserve">Agente</w:t>
            </w:r>
            <w:r>
              <w:t xml:space="preserve"> </w:t>
            </w:r>
            <w:r>
              <w:rPr>
                <w:rStyle w:val="VerbatimChar"/>
              </w:rPr>
              <w:t xml:space="preserve">architect</w:t>
            </w:r>
            <w:r>
              <w:t xml:space="preserve"> </w:t>
            </w:r>
            <w:r>
              <w:t xml:space="preserve">+</w:t>
            </w:r>
            <w:r>
              <w:t xml:space="preserve"> </w:t>
            </w:r>
            <w:r>
              <w:rPr>
                <w:rStyle w:val="VerbatimChar"/>
              </w:rPr>
              <w:t xml:space="preserve">knowledge-mentor</w:t>
            </w:r>
            <w:r>
              <w:t xml:space="preserve">, ya despachado</w:t>
            </w:r>
          </w:p>
        </w:tc>
        <w:tc>
          <w:tcPr/>
          <w:p>
            <w:pPr>
              <w:pStyle w:val="Compact"/>
            </w:pPr>
            <w:r>
              <w:t xml:space="preserve">En curso</w:t>
            </w:r>
          </w:p>
        </w:tc>
      </w:tr>
      <w:tr>
        <w:tc>
          <w:tcPr/>
          <w:p>
            <w:pPr>
              <w:pStyle w:val="Compact"/>
            </w:pPr>
            <w:r>
              <w:t xml:space="preserve">Cadencia fija de revisión de decisiones abiertas</w:t>
            </w:r>
          </w:p>
        </w:tc>
        <w:tc>
          <w:tcPr/>
          <w:p>
            <w:pPr>
              <w:pStyle w:val="Compact"/>
            </w:pPr>
            <w:r>
              <w:t xml:space="preserve">Claudia Falcón, Fundadora / Product Owner</w:t>
            </w:r>
          </w:p>
        </w:tc>
        <w:tc>
          <w:tcPr/>
          <w:p>
            <w:pPr>
              <w:pStyle w:val="Compact"/>
            </w:pPr>
            <w:r>
              <w:t xml:space="preserve">Por definir</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Es exactamente lo que me deja algo real que presentar hoy, en vez de una historia bonita que no hubiera sobrevivido una pregunta difícil del panel.</w:t>
      </w:r>
    </w:p>
    <w:p>
      <w:r>
        <w:pict>
          <v:rect style="width:0;height:1.5pt" o:hralign="center" o:hrstd="t" o:hr="t"/>
        </w:pict>
      </w:r>
    </w:p>
    <w:bookmarkEnd w:id="15"/>
    <w:bookmarkStart w:id="20" w:name="X1079421895635caf77f1384fa6084c0be475877"/>
    <w:p>
      <w:pPr>
        <w:pStyle w:val="Heading2"/>
      </w:pPr>
      <w:r>
        <w:t xml:space="preserve">Anexo A: Arquitectura de gobernanza multi-agente</w:t>
      </w:r>
    </w:p>
    <w:p>
      <w:pPr>
        <w:pStyle w:val="FirstParagraph"/>
      </w:pPr>
      <w:r>
        <w:rPr>
          <w:i/>
          <w:iCs/>
        </w:rPr>
        <w:t xml:space="preserve">(Anexo, no cuenta contra el límite de 7 páginas.)</w:t>
      </w:r>
    </w:p>
    <w:bookmarkStart w:id="16" w:name="X15126714b4fa16c45fe24244a4cab857f5991b7"/>
    <w:p>
      <w:pPr>
        <w:pStyle w:val="Heading3"/>
      </w:pPr>
      <w:r>
        <w:t xml:space="preserve">A.1 El roster de agentes y qué autoridad tiene cada uno</w:t>
      </w:r>
    </w:p>
    <w:p>
      <w:pPr>
        <w:pStyle w:val="FirstParagraph"/>
      </w:pPr>
      <w:r>
        <w:t xml:space="preserve">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Agente</w:t>
            </w:r>
          </w:p>
        </w:tc>
        <w:tc>
          <w:tcPr/>
          <w:p>
            <w:pPr>
              <w:pStyle w:val="Compact"/>
            </w:pPr>
            <w:r>
              <w:t xml:space="preserve">Qué hace</w:t>
            </w:r>
          </w:p>
        </w:tc>
        <w:tc>
          <w:tcPr/>
          <w:p>
            <w:pPr>
              <w:pStyle w:val="Compact"/>
            </w:pPr>
            <w:r>
              <w:t xml:space="preserve">Qué autoridad tiene</w:t>
            </w:r>
          </w:p>
        </w:tc>
      </w:tr>
      <w:tr>
        <w:tc>
          <w:tcPr/>
          <w:p>
            <w:pPr>
              <w:pStyle w:val="Compact"/>
            </w:pPr>
            <w:r>
              <w:rPr>
                <w:rStyle w:val="VerbatimChar"/>
              </w:rPr>
              <w:t xml:space="preserve">architect</w:t>
            </w:r>
          </w:p>
        </w:tc>
        <w:tc>
          <w:tcPr/>
          <w:p>
            <w:pPr>
              <w:pStyle w:val="Compact"/>
            </w:pPr>
            <w:r>
              <w:t xml:space="preserve">Revisa cualquier propuesta nueva contra el modelo de dominio congelado antes de que se planee o construya</w:t>
            </w:r>
          </w:p>
        </w:tc>
        <w:tc>
          <w:tcPr/>
          <w:p>
            <w:pPr>
              <w:pStyle w:val="Compact"/>
            </w:pPr>
            <w:r>
              <w:t xml:space="preserve">Solo lectura, nunca escribe código ni especificaciones</w:t>
            </w:r>
          </w:p>
        </w:tc>
      </w:tr>
      <w:tr>
        <w:tc>
          <w:tcPr/>
          <w:p>
            <w:pPr>
              <w:pStyle w:val="Compact"/>
            </w:pPr>
            <w:r>
              <w:rPr>
                <w:rStyle w:val="VerbatimChar"/>
              </w:rPr>
              <w:t xml:space="preserve">ux-designer</w:t>
            </w:r>
          </w:p>
        </w:tc>
        <w:tc>
          <w:tcPr/>
          <w:p>
            <w:pPr>
              <w:pStyle w:val="Compact"/>
            </w:pPr>
            <w:r>
              <w:t xml:space="preserve">Produce especificaciones de Baja Fidelidad (comportamiento, flujos, wireframes de texto)</w:t>
            </w:r>
          </w:p>
        </w:tc>
        <w:tc>
          <w:tcPr/>
          <w:p>
            <w:pPr>
              <w:pStyle w:val="Compact"/>
            </w:pPr>
            <w:r>
              <w:t xml:space="preserve">Define comportamiento, nunca construye la interfaz real</w:t>
            </w:r>
          </w:p>
        </w:tc>
      </w:tr>
      <w:tr>
        <w:tc>
          <w:tcPr/>
          <w:p>
            <w:pPr>
              <w:pStyle w:val="Compact"/>
            </w:pPr>
            <w:r>
              <w:rPr>
                <w:rStyle w:val="VerbatimChar"/>
              </w:rPr>
              <w:t xml:space="preserve">ui-designer</w:t>
            </w:r>
          </w:p>
        </w:tc>
        <w:tc>
          <w:tcPr/>
          <w:p>
            <w:pPr>
              <w:pStyle w:val="Compact"/>
            </w:pPr>
            <w:r>
              <w:t xml:space="preserve">Traduce una especificación ya aprobada a interfaz real (hoy en React/TypeScript)</w:t>
            </w:r>
          </w:p>
        </w:tc>
        <w:tc>
          <w:tcPr/>
          <w:p>
            <w:pPr>
              <w:pStyle w:val="Compact"/>
            </w:pPr>
            <w:r>
              <w:t xml:space="preserve">Solo puede escribir dentro de las rutas específicas que se le autorizan, nada fuera de eso</w:t>
            </w:r>
          </w:p>
        </w:tc>
      </w:tr>
      <w:tr>
        <w:tc>
          <w:tcPr/>
          <w:p>
            <w:pPr>
              <w:pStyle w:val="Compact"/>
            </w:pPr>
            <w:r>
              <w:rPr>
                <w:rStyle w:val="VerbatimChar"/>
              </w:rPr>
              <w:t xml:space="preserve">ux-critic</w:t>
            </w:r>
          </w:p>
        </w:tc>
        <w:tc>
          <w:tcPr/>
          <w:p>
            <w:pPr>
              <w:pStyle w:val="Compact"/>
            </w:pPr>
            <w:r>
              <w:t xml:space="preserve">Revisa de forma independiente la calidad de UX de lo que producen</w:t>
            </w:r>
            <w:r>
              <w:t xml:space="preserve"> </w:t>
            </w:r>
            <w:r>
              <w:rPr>
                <w:rStyle w:val="VerbatimChar"/>
              </w:rPr>
              <w:t xml:space="preserve">ux-designer</w:t>
            </w:r>
            <w:r>
              <w:t xml:space="preserve"> </w:t>
            </w:r>
            <w:r>
              <w:t xml:space="preserve">y</w:t>
            </w:r>
            <w:r>
              <w:t xml:space="preserve"> </w:t>
            </w:r>
            <w:r>
              <w:rPr>
                <w:rStyle w:val="VerbatimChar"/>
              </w:rPr>
              <w:t xml:space="preserve">ui-designer</w:t>
            </w:r>
          </w:p>
        </w:tc>
        <w:tc>
          <w:tcPr/>
          <w:p>
            <w:pPr>
              <w:pStyle w:val="Compact"/>
            </w:pPr>
            <w:r>
              <w:t xml:space="preserve">Solo lectura, clasifica hallazgos, nunca corrige directamente</w:t>
            </w:r>
          </w:p>
        </w:tc>
      </w:tr>
      <w:tr>
        <w:tc>
          <w:tcPr/>
          <w:p>
            <w:pPr>
              <w:pStyle w:val="Compact"/>
            </w:pPr>
            <w:r>
              <w:rPr>
                <w:rStyle w:val="VerbatimChar"/>
              </w:rPr>
              <w:t xml:space="preserve">reviewer</w:t>
            </w:r>
          </w:p>
        </w:tc>
        <w:tc>
          <w:tcPr/>
          <w:p>
            <w:pPr>
              <w:pStyle w:val="Compact"/>
            </w:pPr>
            <w:r>
              <w:t xml:space="preserve">Revisa consistencia contra la Foundation (lenguaje, duplicación de responsabilidad, complejidad innecesaria)</w:t>
            </w:r>
          </w:p>
        </w:tc>
        <w:tc>
          <w:tcPr/>
          <w:p>
            <w:pPr>
              <w:pStyle w:val="Compact"/>
            </w:pPr>
            <w:r>
              <w:t xml:space="preserve">Solo lectura, última revisión antes de dar algo por terminado</w:t>
            </w:r>
          </w:p>
        </w:tc>
      </w:tr>
      <w:tr>
        <w:tc>
          <w:tcPr/>
          <w:p>
            <w:pPr>
              <w:pStyle w:val="Compact"/>
            </w:pPr>
            <w:r>
              <w:rPr>
                <w:rStyle w:val="VerbatimChar"/>
              </w:rPr>
              <w:t xml:space="preserve">brand-guardian</w:t>
            </w:r>
          </w:p>
        </w:tc>
        <w:tc>
          <w:tcPr/>
          <w:p>
            <w:pPr>
              <w:pStyle w:val="Compact"/>
            </w:pPr>
            <w:r>
              <w:t xml:space="preserve">Guardián de largo plazo de la identidad de Nahui (voz, tono, personalidad), dueño de la carpeta</w:t>
            </w:r>
            <w:r>
              <w:t xml:space="preserve"> </w:t>
            </w:r>
            <w:r>
              <w:rPr>
                <w:rStyle w:val="VerbatimChar"/>
              </w:rPr>
              <w:t xml:space="preserve">/brand</w:t>
            </w:r>
          </w:p>
        </w:tc>
        <w:tc>
          <w:tcPr/>
          <w:p>
            <w:pPr>
              <w:pStyle w:val="Compact"/>
            </w:pPr>
            <w:r>
              <w:t xml:space="preserve">Puede escribir dentro de</w:t>
            </w:r>
            <w:r>
              <w:t xml:space="preserve"> </w:t>
            </w:r>
            <w:r>
              <w:rPr>
                <w:rStyle w:val="VerbatimChar"/>
              </w:rPr>
              <w:t xml:space="preserve">/brand</w:t>
            </w:r>
            <w:r>
              <w:t xml:space="preserve">, revisa cualquier copy de cara al comerciante</w:t>
            </w:r>
          </w:p>
        </w:tc>
      </w:tr>
      <w:tr>
        <w:tc>
          <w:tcPr/>
          <w:p>
            <w:pPr>
              <w:pStyle w:val="Compact"/>
            </w:pPr>
            <w:r>
              <w:rPr>
                <w:rStyle w:val="VerbatimChar"/>
              </w:rPr>
              <w:t xml:space="preserve">marketing</w:t>
            </w:r>
          </w:p>
        </w:tc>
        <w:tc>
          <w:tcPr/>
          <w:p>
            <w:pPr>
              <w:pStyle w:val="Compact"/>
            </w:pPr>
            <w:r>
              <w:t xml:space="preserve">Validación de mercado y preparación de salida al mercado</w:t>
            </w:r>
          </w:p>
        </w:tc>
        <w:tc>
          <w:tcPr/>
          <w:p>
            <w:pPr>
              <w:pStyle w:val="Compact"/>
            </w:pPr>
            <w:r>
              <w:t xml:space="preserve">No puede publicar ni contactar a nadie externo sin mi aprobación explícita</w:t>
            </w:r>
          </w:p>
        </w:tc>
      </w:tr>
      <w:tr>
        <w:tc>
          <w:tcPr/>
          <w:p>
            <w:pPr>
              <w:pStyle w:val="Compact"/>
            </w:pPr>
            <w:r>
              <w:rPr>
                <w:rStyle w:val="VerbatimChar"/>
              </w:rPr>
              <w:t xml:space="preserve">knowledge-mentor</w:t>
            </w:r>
          </w:p>
        </w:tc>
        <w:tc>
          <w:tcPr/>
          <w:p>
            <w:pPr>
              <w:pStyle w:val="Compact"/>
            </w:pPr>
            <w:r>
              <w:t xml:space="preserve">Capa de conocimiento compartido, consultada por otros agentes cuando necesitan evidencia externa o metodología</w:t>
            </w:r>
          </w:p>
        </w:tc>
        <w:tc>
          <w:tcPr/>
          <w:p>
            <w:pPr>
              <w:pStyle w:val="Compact"/>
            </w:pPr>
            <w:r>
              <w:t xml:space="preserve">Nunca decide nada por sí sola, solo entrega evidencia etiquetada por su origen</w:t>
            </w:r>
          </w:p>
        </w:tc>
      </w:tr>
      <w:tr>
        <w:tc>
          <w:tcPr/>
          <w:p>
            <w:pPr>
              <w:pStyle w:val="Compact"/>
            </w:pPr>
            <w:r>
              <w:rPr>
                <w:rStyle w:val="VerbatimChar"/>
              </w:rPr>
              <w:t xml:space="preserve">merchant-user-tester</w:t>
            </w:r>
          </w:p>
        </w:tc>
        <w:tc>
          <w:tcPr/>
          <w:p>
            <w:pPr>
              <w:pStyle w:val="Compact"/>
            </w:pPr>
            <w:r>
              <w:t xml:space="preserve">Camina el prototipo real como si fuera Ana, una comerciante usándolo por primera vez</w:t>
            </w:r>
          </w:p>
        </w:tc>
        <w:tc>
          <w:tcPr/>
          <w:p>
            <w:pPr>
              <w:pStyle w:val="Compact"/>
            </w:pPr>
            <w:r>
              <w:t xml:space="preserve">No tiene acceso a leer ningún archivo del proyecto, solo puede navegar el producto ya construido. Este aislamiento es la parte más importante de su diseño, existe para que su reacción sea genuina y no una que ya sabe cómo se construyó todo por dentro</w:t>
            </w:r>
          </w:p>
        </w:tc>
      </w:tr>
      <w:tr>
        <w:tc>
          <w:tcPr/>
          <w:p>
            <w:pPr>
              <w:pStyle w:val="Compact"/>
            </w:pPr>
            <w:r>
              <w:rPr>
                <w:rStyle w:val="VerbatimChar"/>
              </w:rPr>
              <w:t xml:space="preserve">builder</w:t>
            </w:r>
          </w:p>
        </w:tc>
        <w:tc>
          <w:tcPr/>
          <w:p>
            <w:pPr>
              <w:pStyle w:val="Compact"/>
            </w:pPr>
            <w:r>
              <w:t xml:space="preserve">Implementa código de producción una vez que algo pasa de prototipo a build real</w:t>
            </w:r>
          </w:p>
        </w:tc>
        <w:tc>
          <w:tcPr/>
          <w:p>
            <w:pPr>
              <w:pStyle w:val="Compact"/>
            </w:pPr>
            <w:r>
              <w:t xml:space="preserve">Sin uso todavía, esta etapa del proyecto no ha llegado</w:t>
            </w:r>
          </w:p>
        </w:tc>
      </w:tr>
    </w:tbl>
    <w:bookmarkEnd w:id="16"/>
    <w:bookmarkStart w:id="17" w:name="Xdb846736018409aa0ec342d51fd606da216433f"/>
    <w:p>
      <w:pPr>
        <w:pStyle w:val="Heading3"/>
      </w:pPr>
      <w:r>
        <w:t xml:space="preserve">A.2 Los documentos que gobiernan el sistema</w:t>
      </w:r>
    </w:p>
    <w:p>
      <w:pPr>
        <w:pStyle w:val="FirstParagraph"/>
      </w:pPr>
      <w:r>
        <w:t xml:space="preserve">Cada carpeta principal del proyecto tiene su propio archivo</w:t>
      </w:r>
      <w:r>
        <w:t xml:space="preserve"> </w:t>
      </w:r>
      <w:r>
        <w:rPr>
          <w:rStyle w:val="VerbatimChar"/>
        </w:rPr>
        <w:t xml:space="preserve">CLAUDE.md</w:t>
      </w:r>
      <w:r>
        <w:t xml:space="preserve"> </w:t>
      </w:r>
      <w:r>
        <w:t xml:space="preserve">que define las reglas de esa área específica, y ningún agente puede escribir fuera del área que le corresponde sin autorización explícita:</w:t>
      </w:r>
    </w:p>
    <w:p>
      <w:pPr>
        <w:pStyle w:val="Compact"/>
        <w:numPr>
          <w:ilvl w:val="0"/>
          <w:numId w:val="1002"/>
        </w:numPr>
      </w:pPr>
      <w:r>
        <w:rPr>
          <w:rStyle w:val="VerbatimChar"/>
        </w:rPr>
        <w:t xml:space="preserve">company/CLAUDE.md</w:t>
      </w:r>
      <w:r>
        <w:t xml:space="preserve">: quiénes somos, cómo opera el equipo de agentes, quién decide qué.</w:t>
      </w:r>
    </w:p>
    <w:p>
      <w:pPr>
        <w:pStyle w:val="Compact"/>
        <w:numPr>
          <w:ilvl w:val="0"/>
          <w:numId w:val="1002"/>
        </w:numPr>
      </w:pPr>
      <w:r>
        <w:rPr>
          <w:rStyle w:val="VerbatimChar"/>
        </w:rPr>
        <w:t xml:space="preserve">product/00-foundation/CLAUDE.md</w:t>
      </w:r>
      <w:r>
        <w:t xml:space="preserve">: el modelo de dominio congelado y los principios que no cambian sin pasar por un proceso formal.</w:t>
      </w:r>
    </w:p>
    <w:p>
      <w:pPr>
        <w:pStyle w:val="Compact"/>
        <w:numPr>
          <w:ilvl w:val="0"/>
          <w:numId w:val="1002"/>
        </w:numPr>
      </w:pPr>
      <w:r>
        <w:rPr>
          <w:rStyle w:val="VerbatimChar"/>
        </w:rPr>
        <w:t xml:space="preserve">product/02-ux/CLAUDE.md</w:t>
      </w:r>
      <w:r>
        <w:t xml:space="preserve">: las reglas de cómo se escriben las especificaciones de Baja Fidelidad.</w:t>
      </w:r>
    </w:p>
    <w:p>
      <w:pPr>
        <w:pStyle w:val="Compact"/>
        <w:numPr>
          <w:ilvl w:val="0"/>
          <w:numId w:val="1002"/>
        </w:numPr>
      </w:pPr>
      <w:r>
        <w:rPr>
          <w:rStyle w:val="VerbatimChar"/>
        </w:rPr>
        <w:t xml:space="preserve">brand/CLAUDE.md</w:t>
      </w:r>
      <w:r>
        <w:t xml:space="preserve">: la identidad de marca de largo plazo.</w:t>
      </w:r>
    </w:p>
    <w:p>
      <w:pPr>
        <w:pStyle w:val="FirstParagraph"/>
      </w:pPr>
      <w:r>
        <w:t xml:space="preserve">Esta separación no es solo organización de carpetas, es la forma concreta en la que</w:t>
      </w:r>
      <w:r>
        <w:t xml:space="preserve"> </w:t>
      </w:r>
      <w:r>
        <w:t xml:space="preserve">“quién decide qué”</w:t>
      </w:r>
      <w:r>
        <w:t xml:space="preserve"> </w:t>
      </w:r>
      <w:r>
        <w:t xml:space="preserve">deja de ser una frase bonita y se vuelve algo que un agente puede verificar antes de actuar.</w:t>
      </w:r>
    </w:p>
    <w:bookmarkEnd w:id="17"/>
    <w:bookmarkStart w:id="18" w:name="Xaa351fa038628add65a4d7cabfa59197fade2f7"/>
    <w:p>
      <w:pPr>
        <w:pStyle w:val="Heading3"/>
      </w:pPr>
      <w:r>
        <w:t xml:space="preserve">A.3 Cuándo migré partes de la gobernanza a Skills, y por qué</w:t>
      </w:r>
    </w:p>
    <w:p>
      <w:pPr>
        <w:pStyle w:val="FirstParagraph"/>
      </w:pPr>
      <w: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w:t>
      </w:r>
      <w:r>
        <w:t xml:space="preserve"> </w:t>
      </w:r>
      <w:r>
        <w:rPr>
          <w:rStyle w:val="VerbatimChar"/>
        </w:rPr>
        <w:t xml:space="preserve">ui-designer</w:t>
      </w:r>
      <w:r>
        <w:t xml:space="preserve"> </w:t>
      </w:r>
      <w:r>
        <w:t xml:space="preserve">una y otra vez, por ejemplo, la prueba para decidir si un elemento de diseño se debe clonar o compartir entre pantallas.</w:t>
      </w:r>
    </w:p>
    <w:p>
      <w:pPr>
        <w:pStyle w:val="BodyText"/>
      </w:pPr>
      <w: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w:t>
      </w:r>
      <w:r>
        <w:t xml:space="preserve"> </w:t>
      </w:r>
      <w:r>
        <w:rPr>
          <w:rStyle w:val="VerbatimChar"/>
        </w:rPr>
        <w:t xml:space="preserve">planner</w:t>
      </w:r>
      <w:r>
        <w:t xml:space="preserve">,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bookmarkEnd w:id="18"/>
    <w:bookmarkStart w:id="19" w:name="Xb834cd0d95350f98be29d5ff6854109458c31ee"/>
    <w:p>
      <w:pPr>
        <w:pStyle w:val="Heading3"/>
      </w:pPr>
      <w:r>
        <w:t xml:space="preserve">A.4 Cuándo le di a Main autoridad para hacer push sin pedirme permiso</w:t>
      </w:r>
    </w:p>
    <w:p>
      <w:pPr>
        <w:pStyle w:val="FirstParagraph"/>
      </w:pPr>
      <w:r>
        <w:t xml:space="preserve">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pPr>
        <w:pStyle w:val="BodyText"/>
      </w:pPr>
      <w:r>
        <w:t xml:space="preserve">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r>
        <w:pict>
          <v:rect style="width:0;height:1.5pt" o:hralign="center" o:hrstd="t" o:hr="t"/>
        </w:pict>
      </w:r>
    </w:p>
    <w:bookmarkEnd w:id="19"/>
    <w:bookmarkEnd w:id="20"/>
    <w:bookmarkStart w:id="33" w:name="Xcbbf8a2b96aa8c272121ea2cc76d90ad916722f"/>
    <w:p>
      <w:pPr>
        <w:pStyle w:val="Heading2"/>
      </w:pPr>
      <w:r>
        <w:t xml:space="preserve">Anexo B: evidencia visual de la arquitectura</w:t>
      </w:r>
    </w:p>
    <w:p>
      <w:pPr>
        <w:pStyle w:val="FirstParagraph"/>
      </w:pPr>
      <w:r>
        <w:rPr>
          <w:i/>
          <w:iCs/>
        </w:rPr>
        <w:t xml:space="preserve">(Anexo, no cuenta contra el límite de 7 páginas.)</w:t>
      </w:r>
    </w:p>
    <w:p>
      <w:pPr>
        <w:pStyle w:val="BodyText"/>
      </w:pPr>
      <w:r>
        <w:t xml:space="preserve">Cada diagrama respalda algo dicho en el Anexo A. Es evidencia, no lectura adicional.</w:t>
      </w:r>
    </w:p>
    <w:p>
      <w:pPr>
        <w:pStyle w:val="CaptionedFigure"/>
      </w:pPr>
      <w:r>
        <w:drawing>
          <wp:inline>
            <wp:extent cx="5334000" cy="1630480"/>
            <wp:effectExtent b="0" l="0" r="0" t="0"/>
            <wp:docPr descr="Roster de agentes especializados" title="" id="22" name="Picture"/>
            <a:graphic>
              <a:graphicData uri="http://schemas.openxmlformats.org/drawingml/2006/picture">
                <pic:pic>
                  <pic:nvPicPr>
                    <pic:cNvPr descr="images/anexo-1-agentes.png" id="23" name="Picture"/>
                    <pic:cNvPicPr>
                      <a:picLocks noChangeArrowheads="1" noChangeAspect="1"/>
                    </pic:cNvPicPr>
                  </pic:nvPicPr>
                  <pic:blipFill>
                    <a:blip r:embed="rId21"/>
                    <a:stretch>
                      <a:fillRect/>
                    </a:stretch>
                  </pic:blipFill>
                  <pic:spPr bwMode="auto">
                    <a:xfrm>
                      <a:off x="0" y="0"/>
                      <a:ext cx="5334000" cy="1630480"/>
                    </a:xfrm>
                    <a:prstGeom prst="rect">
                      <a:avLst/>
                    </a:prstGeom>
                    <a:noFill/>
                    <a:ln w="9525">
                      <a:noFill/>
                      <a:headEnd/>
                      <a:tailEnd/>
                    </a:ln>
                  </pic:spPr>
                </pic:pic>
              </a:graphicData>
            </a:graphic>
          </wp:inline>
        </w:drawing>
      </w:r>
    </w:p>
    <w:p>
      <w:pPr>
        <w:pStyle w:val="ImageCaption"/>
      </w:pPr>
      <w:r>
        <w:t xml:space="preserve">Roster de agentes especializados</w:t>
      </w:r>
    </w:p>
    <w:p>
      <w:pPr>
        <w:pStyle w:val="CaptionedFigure"/>
      </w:pPr>
      <w:r>
        <w:drawing>
          <wp:inline>
            <wp:extent cx="5334000" cy="978288"/>
            <wp:effectExtent b="0" l="0" r="0" t="0"/>
            <wp:docPr descr="Cómo se relacionan los documentos que gobiernan el proyecto" title="" id="25" name="Picture"/>
            <a:graphic>
              <a:graphicData uri="http://schemas.openxmlformats.org/drawingml/2006/picture">
                <pic:pic>
                  <pic:nvPicPr>
                    <pic:cNvPr descr="images/anexo-2-documentos.png" id="26" name="Picture"/>
                    <pic:cNvPicPr>
                      <a:picLocks noChangeArrowheads="1" noChangeAspect="1"/>
                    </pic:cNvPicPr>
                  </pic:nvPicPr>
                  <pic:blipFill>
                    <a:blip r:embed="rId24"/>
                    <a:stretch>
                      <a:fillRect/>
                    </a:stretch>
                  </pic:blipFill>
                  <pic:spPr bwMode="auto">
                    <a:xfrm>
                      <a:off x="0" y="0"/>
                      <a:ext cx="5334000" cy="978288"/>
                    </a:xfrm>
                    <a:prstGeom prst="rect">
                      <a:avLst/>
                    </a:prstGeom>
                    <a:noFill/>
                    <a:ln w="9525">
                      <a:noFill/>
                      <a:headEnd/>
                      <a:tailEnd/>
                    </a:ln>
                  </pic:spPr>
                </pic:pic>
              </a:graphicData>
            </a:graphic>
          </wp:inline>
        </w:drawing>
      </w:r>
    </w:p>
    <w:p>
      <w:pPr>
        <w:pStyle w:val="ImageCaption"/>
      </w:pPr>
      <w:r>
        <w:t xml:space="preserve">Cómo se relacionan los documentos que gobiernan el proyecto</w:t>
      </w:r>
    </w:p>
    <w:p>
      <w:pPr>
        <w:pStyle w:val="CaptionedFigure"/>
      </w:pPr>
      <w:r>
        <w:drawing>
          <wp:inline>
            <wp:extent cx="5334000" cy="1222860"/>
            <wp:effectExtent b="0" l="0" r="0" t="0"/>
            <wp:docPr descr="El ciclo de validación" title="" id="28" name="Picture"/>
            <a:graphic>
              <a:graphicData uri="http://schemas.openxmlformats.org/drawingml/2006/picture">
                <pic:pic>
                  <pic:nvPicPr>
                    <pic:cNvPr descr="images/anexo-3-ciclo.png" id="29" name="Picture"/>
                    <pic:cNvPicPr>
                      <a:picLocks noChangeArrowheads="1" noChangeAspect="1"/>
                    </pic:cNvPicPr>
                  </pic:nvPicPr>
                  <pic:blipFill>
                    <a:blip r:embed="rId27"/>
                    <a:stretch>
                      <a:fillRect/>
                    </a:stretch>
                  </pic:blipFill>
                  <pic:spPr bwMode="auto">
                    <a:xfrm>
                      <a:off x="0" y="0"/>
                      <a:ext cx="5334000" cy="1222860"/>
                    </a:xfrm>
                    <a:prstGeom prst="rect">
                      <a:avLst/>
                    </a:prstGeom>
                    <a:noFill/>
                    <a:ln w="9525">
                      <a:noFill/>
                      <a:headEnd/>
                      <a:tailEnd/>
                    </a:ln>
                  </pic:spPr>
                </pic:pic>
              </a:graphicData>
            </a:graphic>
          </wp:inline>
        </w:drawing>
      </w:r>
    </w:p>
    <w:p>
      <w:pPr>
        <w:pStyle w:val="ImageCaption"/>
      </w:pPr>
      <w:r>
        <w:t xml:space="preserve">El ciclo de validación</w:t>
      </w:r>
    </w:p>
    <w:p>
      <w:pPr>
        <w:pStyle w:val="CaptionedFigure"/>
      </w:pPr>
      <w:r>
        <w:drawing>
          <wp:inline>
            <wp:extent cx="5334000" cy="1548956"/>
            <wp:effectExtent b="0" l="0" r="0" t="0"/>
            <wp:docPr descr="Causa y efecto a lo largo del proyecto" title="" id="31" name="Picture"/>
            <a:graphic>
              <a:graphicData uri="http://schemas.openxmlformats.org/drawingml/2006/picture">
                <pic:pic>
                  <pic:nvPicPr>
                    <pic:cNvPr descr="images/anexo-4-timeline.png" id="32" name="Picture"/>
                    <pic:cNvPicPr>
                      <a:picLocks noChangeArrowheads="1" noChangeAspect="1"/>
                    </pic:cNvPicPr>
                  </pic:nvPicPr>
                  <pic:blipFill>
                    <a:blip r:embed="rId30"/>
                    <a:stretch>
                      <a:fillRect/>
                    </a:stretch>
                  </pic:blipFill>
                  <pic:spPr bwMode="auto">
                    <a:xfrm>
                      <a:off x="0" y="0"/>
                      <a:ext cx="5334000" cy="1548956"/>
                    </a:xfrm>
                    <a:prstGeom prst="rect">
                      <a:avLst/>
                    </a:prstGeom>
                    <a:noFill/>
                    <a:ln w="9525">
                      <a:noFill/>
                      <a:headEnd/>
                      <a:tailEnd/>
                    </a:ln>
                  </pic:spPr>
                </pic:pic>
              </a:graphicData>
            </a:graphic>
          </wp:inline>
        </w:drawing>
      </w:r>
    </w:p>
    <w:p>
      <w:pPr>
        <w:pStyle w:val="ImageCaption"/>
      </w:pPr>
      <w:r>
        <w:t xml:space="preserve">Causa y efecto a lo largo del proyecto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hAnsi="Inter"/>
      <w:color w:val="141413"/>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Fredoka" w:asciiTheme="majorHAnsi" w:cs="Fredoka" w:cstheme="majorBidi" w:eastAsiaTheme="majorEastAsia" w:hAnsi="Fredoka" w:hAnsiTheme="majorHAnsi"/>
      <w:b/>
      <w:color w:val="C13F26"/>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Fredoka" w:asciiTheme="majorHAnsi" w:cs="Fredoka" w:cstheme="majorBidi" w:eastAsiaTheme="majorEastAsia" w:hAnsi="Fredoka" w:hAnsiTheme="majorHAnsi"/>
      <w:b/>
      <w:color w:val="C13F26"/>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Fredoka" w:asciiTheme="majorHAnsi" w:cs="Fredoka" w:cstheme="majorBidi" w:eastAsiaTheme="majorEastAsia" w:hAnsi="Fredoka" w:hAnsiTheme="majorHAnsi"/>
      <w:b/>
      <w:color w:val="C13F26"/>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Fredoka" w:cs="Fredoka" w:cstheme="majorBidi" w:eastAsiaTheme="majorEastAsia" w:hAnsi="Fredoka"/>
      <w:b/>
      <w:color w:val="141413"/>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2026-08-23T02:46:52Z</dcterms:created>
  <dcterms:modified xsi:type="dcterms:W3CDTF">2026-08-23T02:46:52Z</dcterms:modified>
</cp:coreProperties>
</file>

<file path=docProps/custom.xml><?xml version="1.0" encoding="utf-8"?>
<Properties xmlns="http://schemas.openxmlformats.org/officeDocument/2006/custom-properties" xmlns:vt="http://schemas.openxmlformats.org/officeDocument/2006/docPropsVTypes"/>
</file>