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7777777" w:rsidR="00DA625D" w:rsidRPr="00DA625D" w:rsidRDefault="00DA625D" w:rsidP="00DA625D">
      <w:pPr>
        <w:spacing w:line="480" w:lineRule="auto"/>
        <w:rPr>
          <w:rFonts w:ascii="Arial" w:eastAsia="CMBX12" w:hAnsi="Arial" w:cs="Arial"/>
          <w:sz w:val="44"/>
          <w:szCs w:val="44"/>
          <w:lang w:val="en-GB"/>
        </w:rPr>
      </w:pPr>
      <w:r w:rsidRPr="00DA625D">
        <w:rPr>
          <w:rFonts w:ascii="Arial" w:eastAsia="CMBX12" w:hAnsi="Arial" w:cs="Arial"/>
          <w:sz w:val="44"/>
          <w:szCs w:val="44"/>
          <w:lang w:val="en-GB"/>
        </w:rPr>
        <w:t>Literature Review</w:t>
      </w:r>
    </w:p>
    <w:p w14:paraId="4E49E2E9" w14:textId="6443BDC4" w:rsidR="00504B74" w:rsidRDefault="00DA625D" w:rsidP="000E5951">
      <w:pPr>
        <w:spacing w:line="480" w:lineRule="auto"/>
        <w:jc w:val="both"/>
        <w:rPr>
          <w:rFonts w:ascii="Arial" w:hAnsi="Arial" w:cs="Arial"/>
          <w:lang w:val="en-GB"/>
        </w:rPr>
      </w:pPr>
      <w:r>
        <w:rPr>
          <w:rFonts w:ascii="Arial" w:hAnsi="Arial" w:cs="Arial"/>
          <w:lang w:val="en-GB"/>
        </w:rPr>
        <w:t>In recent years, scholars have increasingly paid attention to public opinion about environmental issues</w:t>
      </w:r>
      <w:r w:rsidR="001D5641">
        <w:rPr>
          <w:rFonts w:ascii="Arial" w:hAnsi="Arial" w:cs="Arial"/>
          <w:lang w:val="en-GB"/>
        </w:rPr>
        <w:t xml:space="preserve"> in the United States</w:t>
      </w:r>
      <w:r w:rsidR="00B559F7">
        <w:rPr>
          <w:rFonts w:ascii="Arial" w:hAnsi="Arial" w:cs="Arial"/>
          <w:lang w:val="en-GB"/>
        </w:rPr>
        <w:t xml:space="preserve"> </w:t>
      </w:r>
      <w:r w:rsidR="00B559F7">
        <w:rPr>
          <w:rFonts w:ascii="Arial" w:hAnsi="Arial" w:cs="Arial"/>
          <w:lang w:val="en-GB"/>
        </w:rPr>
        <w:fldChar w:fldCharType="begin"/>
      </w:r>
      <w:r w:rsidR="001D5641">
        <w:rPr>
          <w:rFonts w:ascii="Arial" w:hAnsi="Arial" w:cs="Arial"/>
          <w:lang w:val="en-GB"/>
        </w:rPr>
        <w:instrText xml:space="preserve"> ADDIN ZOTERO_ITEM CSL_CITATION {"citationID":"j4GKDzcd","properties":{"formattedCitation":"(Brulle et al., 2012; Driscoll, 2019; Egan &amp; Mullin, 2017; O\\uc0\\u8217{}Connor et al., 1999; Shwom et al., 2015)","plainCitation":"(Brulle et al., 2012; Driscoll, 2019; Egan &amp; Mullin, 2017; O’Connor et al., 1999; Shwom et al., 2015)","noteIndex":0},"citationItems":[{"id":86,"uris":["http://zotero.org/users/local/pE4cGXV6/items/78FCACJ8"],"uri":["http://zotero.org/users/local/pE4cGXV6/items/78FCACJ8"],"itemData":{"id":86,"type":"article-journal","abstract":"This paper conducts an empirical analysis of the factors affecting U.S. public concern about the threat of climate change between January 2002 and December 2010. Utilizing Stimson’s method of constructing aggregate opinion measures, data from 74 separate surveys over a 9-year period are used to construct quarterly measures of public concern over global climate change. We examine five factors that should account for changes in levels of concern: 1) extreme weather events, 2) public access to accurate scientific information, 3) media coverage, 4) elite cues, and 5) movement/countermovement advocacy. A time-series analysis indicates that elite cues and structural economic factors have the largest effect on the level of public concern about climate change. While media coverage exerts an important influence, this coverage is itself largely a function of elite cues and economic factors. Weather extremes have no effect on aggregate public opinion. Promulgation of scientific information to the public on climate change has a minimal effect. The implication would seem to be that information-based science advocacy has had only a minor effect on public concern, while political mobilization by elites and advocacy groups is critical in influencing climate change concern.","container-title":"Climatic Change","language":"en","page":"21","source":"Zotero","title":"Shifting public opinion on climate change: an empirical assessment of factors influencing concern over climate change in the U.S., 2002–2010","author":[{"family":"Brulle","given":"Robert J"},{"family":"Carmichael","given":"Jason"},{"family":"Jenkins","given":"J Craig"}],"issued":{"date-parts":[["2012"]]}}},{"id":93,"uris":["http://zotero.org/users/local/pE4cGXV6/items/ATTH8AG9"],"uri":["http://zotero.org/users/local/pE4cGXV6/items/ATTH8AG9"],"itemData":{"id":93,"type":"article-journal","container-title":"Social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Pr>
          <w:rFonts w:ascii="Arial" w:hAnsi="Arial" w:cs="Arial"/>
          <w:lang w:val="en-GB"/>
        </w:rPr>
        <w:fldChar w:fldCharType="separate"/>
      </w:r>
      <w:r w:rsidR="001D5641" w:rsidRPr="001D5641">
        <w:rPr>
          <w:rFonts w:ascii="Arial" w:hAnsi="Arial" w:cs="Arial"/>
          <w:szCs w:val="24"/>
          <w:lang w:val="en-GB"/>
        </w:rPr>
        <w:t>(</w:t>
      </w:r>
      <w:proofErr w:type="spellStart"/>
      <w:r w:rsidR="001D5641" w:rsidRPr="001D5641">
        <w:rPr>
          <w:rFonts w:ascii="Arial" w:hAnsi="Arial" w:cs="Arial"/>
          <w:szCs w:val="24"/>
          <w:lang w:val="en-GB"/>
        </w:rPr>
        <w:t>Brulle</w:t>
      </w:r>
      <w:proofErr w:type="spellEnd"/>
      <w:r w:rsidR="001D5641" w:rsidRPr="001D5641">
        <w:rPr>
          <w:rFonts w:ascii="Arial" w:hAnsi="Arial" w:cs="Arial"/>
          <w:szCs w:val="24"/>
          <w:lang w:val="en-GB"/>
        </w:rPr>
        <w:t xml:space="preserve"> et al., 2012; Driscoll, 2019; Egan &amp; Mullin, 2017; O’Connor et al., 1999; </w:t>
      </w:r>
      <w:proofErr w:type="spellStart"/>
      <w:r w:rsidR="001D5641" w:rsidRPr="001D5641">
        <w:rPr>
          <w:rFonts w:ascii="Arial" w:hAnsi="Arial" w:cs="Arial"/>
          <w:szCs w:val="24"/>
          <w:lang w:val="en-GB"/>
        </w:rPr>
        <w:t>Shwom</w:t>
      </w:r>
      <w:proofErr w:type="spellEnd"/>
      <w:r w:rsidR="001D5641" w:rsidRPr="001D5641">
        <w:rPr>
          <w:rFonts w:ascii="Arial" w:hAnsi="Arial" w:cs="Arial"/>
          <w:szCs w:val="24"/>
          <w:lang w:val="en-GB"/>
        </w:rPr>
        <w:t xml:space="preserve"> et al., 2015)</w:t>
      </w:r>
      <w:r w:rsidR="00B559F7">
        <w:rPr>
          <w:rFonts w:ascii="Arial" w:hAnsi="Arial" w:cs="Arial"/>
          <w:lang w:val="en-GB"/>
        </w:rPr>
        <w:fldChar w:fldCharType="end"/>
      </w:r>
      <w:r w:rsidR="001D5641">
        <w:rPr>
          <w:rFonts w:ascii="Arial" w:hAnsi="Arial" w:cs="Arial"/>
          <w:lang w:val="en-GB"/>
        </w:rPr>
        <w:t>, in the European Countries</w:t>
      </w:r>
      <w:r w:rsidR="006142F2">
        <w:rPr>
          <w:rFonts w:ascii="Arial" w:hAnsi="Arial" w:cs="Arial"/>
          <w:lang w:val="en-GB"/>
        </w:rPr>
        <w:t xml:space="preserve"> </w:t>
      </w:r>
      <w:r w:rsidR="006142F2">
        <w:rPr>
          <w:rFonts w:ascii="Arial" w:hAnsi="Arial" w:cs="Arial"/>
          <w:lang w:val="en-GB"/>
        </w:rPr>
        <w:fldChar w:fldCharType="begin"/>
      </w:r>
      <w:r w:rsidR="000E5951">
        <w:rPr>
          <w:rFonts w:ascii="Arial" w:hAnsi="Arial" w:cs="Arial"/>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Pr>
          <w:rFonts w:ascii="Arial" w:hAnsi="Arial" w:cs="Arial"/>
          <w:lang w:val="en-GB"/>
        </w:rPr>
        <w:fldChar w:fldCharType="separate"/>
      </w:r>
      <w:r w:rsidR="000E5951" w:rsidRPr="000E5951">
        <w:rPr>
          <w:rFonts w:ascii="Arial" w:hAnsi="Arial" w:cs="Arial"/>
          <w:lang w:val="en-GB"/>
        </w:rPr>
        <w:t>(</w:t>
      </w:r>
      <w:proofErr w:type="spellStart"/>
      <w:r w:rsidR="000E5951" w:rsidRPr="000E5951">
        <w:rPr>
          <w:rFonts w:ascii="Arial" w:hAnsi="Arial" w:cs="Arial"/>
          <w:lang w:val="en-GB"/>
        </w:rPr>
        <w:t>Lorenzoni</w:t>
      </w:r>
      <w:proofErr w:type="spellEnd"/>
      <w:r w:rsidR="000E5951" w:rsidRPr="000E5951">
        <w:rPr>
          <w:rFonts w:ascii="Arial" w:hAnsi="Arial" w:cs="Arial"/>
          <w:lang w:val="en-GB"/>
        </w:rPr>
        <w:t xml:space="preserve"> &amp; Pidgeon, 2006; </w:t>
      </w:r>
      <w:proofErr w:type="spellStart"/>
      <w:r w:rsidR="000E5951" w:rsidRPr="000E5951">
        <w:rPr>
          <w:rFonts w:ascii="Arial" w:hAnsi="Arial" w:cs="Arial"/>
          <w:lang w:val="en-GB"/>
        </w:rPr>
        <w:t>Vainio</w:t>
      </w:r>
      <w:proofErr w:type="spellEnd"/>
      <w:r w:rsidR="000E5951" w:rsidRPr="000E5951">
        <w:rPr>
          <w:rFonts w:ascii="Arial" w:hAnsi="Arial" w:cs="Arial"/>
          <w:lang w:val="en-GB"/>
        </w:rPr>
        <w:t xml:space="preserve"> &amp; </w:t>
      </w:r>
      <w:proofErr w:type="spellStart"/>
      <w:r w:rsidR="000E5951" w:rsidRPr="000E5951">
        <w:rPr>
          <w:rFonts w:ascii="Arial" w:hAnsi="Arial" w:cs="Arial"/>
          <w:lang w:val="en-GB"/>
        </w:rPr>
        <w:t>Paloniemi</w:t>
      </w:r>
      <w:proofErr w:type="spellEnd"/>
      <w:r w:rsidR="000E5951" w:rsidRPr="000E5951">
        <w:rPr>
          <w:rFonts w:ascii="Arial" w:hAnsi="Arial" w:cs="Arial"/>
          <w:lang w:val="en-GB"/>
        </w:rPr>
        <w:t>, 2013)</w:t>
      </w:r>
      <w:r w:rsidR="006142F2">
        <w:rPr>
          <w:rFonts w:ascii="Arial" w:hAnsi="Arial" w:cs="Arial"/>
          <w:lang w:val="en-GB"/>
        </w:rPr>
        <w:fldChar w:fldCharType="end"/>
      </w:r>
      <w:r w:rsidR="001D5641">
        <w:rPr>
          <w:rFonts w:ascii="Arial" w:hAnsi="Arial" w:cs="Arial"/>
          <w:lang w:val="en-GB"/>
        </w:rPr>
        <w:t xml:space="preserve"> and around the world </w:t>
      </w:r>
      <w:r w:rsidR="006142F2">
        <w:rPr>
          <w:rFonts w:ascii="Arial" w:hAnsi="Arial" w:cs="Arial"/>
          <w:lang w:val="en-GB"/>
        </w:rPr>
        <w:fldChar w:fldCharType="begin"/>
      </w:r>
      <w:r w:rsidR="006142F2">
        <w:rPr>
          <w:rFonts w:ascii="Arial" w:hAnsi="Arial" w:cs="Arial"/>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Pr>
          <w:rFonts w:ascii="Arial" w:hAnsi="Arial" w:cs="Arial"/>
          <w:lang w:val="en-GB"/>
        </w:rPr>
        <w:fldChar w:fldCharType="separate"/>
      </w:r>
      <w:r w:rsidR="006142F2" w:rsidRPr="006142F2">
        <w:rPr>
          <w:rFonts w:ascii="Arial" w:hAnsi="Arial" w:cs="Arial"/>
          <w:lang w:val="en-GB"/>
        </w:rPr>
        <w:t>(Lee et al., 2015; Sun &amp; Han, 2018)</w:t>
      </w:r>
      <w:r w:rsidR="006142F2">
        <w:rPr>
          <w:rFonts w:ascii="Arial" w:hAnsi="Arial" w:cs="Arial"/>
          <w:lang w:val="en-GB"/>
        </w:rPr>
        <w:fldChar w:fldCharType="end"/>
      </w:r>
      <w:r w:rsidR="000E5951">
        <w:rPr>
          <w:rFonts w:ascii="Arial" w:hAnsi="Arial" w:cs="Arial"/>
          <w:lang w:val="en-GB"/>
        </w:rPr>
        <w:t xml:space="preserve">. </w:t>
      </w:r>
      <w:r w:rsidR="00EA15A6" w:rsidRPr="00EA15A6">
        <w:rPr>
          <w:rFonts w:ascii="Arial" w:hAnsi="Arial" w:cs="Arial"/>
          <w:lang w:val="en-GB"/>
        </w:rPr>
        <w:t>“Public opinion on climate change is multidimensional, dynamic, and differentiated</w:t>
      </w:r>
      <w:r w:rsidR="00EA15A6">
        <w:rPr>
          <w:rFonts w:ascii="Arial" w:hAnsi="Arial" w:cs="Arial"/>
          <w:lang w:val="en-GB"/>
        </w:rPr>
        <w:t>. […] It includes</w:t>
      </w:r>
      <w:r w:rsidR="00026767">
        <w:rPr>
          <w:rFonts w:ascii="Arial" w:hAnsi="Arial" w:cs="Arial"/>
          <w:lang w:val="en-GB"/>
        </w:rPr>
        <w:t xml:space="preserve">, among others, </w:t>
      </w:r>
      <w:r w:rsidR="00EA15A6" w:rsidRPr="00EA15A6">
        <w:rPr>
          <w:rFonts w:ascii="Arial" w:hAnsi="Arial" w:cs="Arial"/>
          <w:lang w:val="en-GB"/>
        </w:rPr>
        <w:t>beliefs about anthropogenic climate change, perceptions of climate change risks, concern about its seriousness, and thoughts on what, if anything, should be done to address it</w:t>
      </w:r>
      <w:r w:rsidR="00EA15A6">
        <w:rPr>
          <w:rFonts w:ascii="Arial" w:hAnsi="Arial" w:cs="Arial"/>
          <w:lang w:val="en-GB"/>
        </w:rPr>
        <w:t xml:space="preserve">” </w:t>
      </w:r>
      <w:r w:rsidR="00EA15A6" w:rsidRPr="00EA15A6">
        <w:rPr>
          <w:rFonts w:ascii="Arial" w:hAnsi="Arial" w:cs="Arial"/>
          <w:lang w:val="en-GB"/>
        </w:rPr>
        <w:t>(</w:t>
      </w:r>
      <w:proofErr w:type="spellStart"/>
      <w:r w:rsidR="00EA15A6" w:rsidRPr="00EA15A6">
        <w:rPr>
          <w:rFonts w:ascii="Arial" w:hAnsi="Arial" w:cs="Arial"/>
          <w:lang w:val="en-GB"/>
        </w:rPr>
        <w:t>Shwom</w:t>
      </w:r>
      <w:proofErr w:type="spellEnd"/>
      <w:r w:rsidR="00EA15A6" w:rsidRPr="00EA15A6">
        <w:rPr>
          <w:rFonts w:ascii="Arial" w:hAnsi="Arial" w:cs="Arial"/>
          <w:lang w:val="en-GB"/>
        </w:rPr>
        <w:t xml:space="preserve"> et al., 2015, p. 269). Public opinion chang</w:t>
      </w:r>
      <w:r w:rsidR="00EA15A6">
        <w:rPr>
          <w:rFonts w:ascii="Arial" w:hAnsi="Arial" w:cs="Arial"/>
          <w:lang w:val="en-GB"/>
        </w:rPr>
        <w:t>es</w:t>
      </w:r>
      <w:r w:rsidR="00EA15A6" w:rsidRPr="00EA15A6">
        <w:rPr>
          <w:rFonts w:ascii="Arial" w:hAnsi="Arial" w:cs="Arial"/>
          <w:lang w:val="en-GB"/>
        </w:rPr>
        <w:t xml:space="preserve"> over time</w:t>
      </w:r>
      <w:r w:rsidR="00EA15A6">
        <w:rPr>
          <w:rFonts w:ascii="Arial" w:hAnsi="Arial" w:cs="Arial"/>
          <w:lang w:val="en-GB"/>
        </w:rPr>
        <w:t xml:space="preserve"> and space</w:t>
      </w:r>
      <w:r w:rsidR="00EA15A6" w:rsidRPr="00EA15A6">
        <w:rPr>
          <w:rFonts w:ascii="Arial" w:hAnsi="Arial" w:cs="Arial"/>
          <w:lang w:val="en-GB"/>
        </w:rPr>
        <w:t xml:space="preserve"> due to </w:t>
      </w:r>
      <w:r w:rsidR="00026767" w:rsidRPr="00026767">
        <w:rPr>
          <w:rFonts w:ascii="Arial" w:hAnsi="Arial" w:cs="Arial"/>
          <w:lang w:val="en-GB"/>
        </w:rPr>
        <w:t>individual</w:t>
      </w:r>
      <w:r w:rsidR="00EA15A6" w:rsidRPr="00026767">
        <w:rPr>
          <w:rFonts w:ascii="Arial" w:hAnsi="Arial" w:cs="Arial"/>
          <w:lang w:val="en-GB"/>
        </w:rPr>
        <w:t>, soci</w:t>
      </w:r>
      <w:r w:rsidR="00026767" w:rsidRPr="00026767">
        <w:rPr>
          <w:rFonts w:ascii="Arial" w:hAnsi="Arial" w:cs="Arial"/>
          <w:lang w:val="en-GB"/>
        </w:rPr>
        <w:t>o-cultural,</w:t>
      </w:r>
      <w:r w:rsidR="00EA15A6" w:rsidRPr="00026767">
        <w:rPr>
          <w:rFonts w:ascii="Arial" w:hAnsi="Arial" w:cs="Arial"/>
          <w:lang w:val="en-GB"/>
        </w:rPr>
        <w:t xml:space="preserve"> political, economic, </w:t>
      </w:r>
      <w:r w:rsidR="00026767" w:rsidRPr="00026767">
        <w:rPr>
          <w:rFonts w:ascii="Arial" w:hAnsi="Arial" w:cs="Arial"/>
          <w:lang w:val="en-GB"/>
        </w:rPr>
        <w:t>habitat</w:t>
      </w:r>
      <w:r w:rsidR="00EA15A6" w:rsidRPr="00026767">
        <w:rPr>
          <w:rFonts w:ascii="Arial" w:hAnsi="Arial" w:cs="Arial"/>
          <w:lang w:val="en-GB"/>
        </w:rPr>
        <w:t xml:space="preserve"> factors</w:t>
      </w:r>
      <w:r w:rsidR="00EA15A6">
        <w:rPr>
          <w:rFonts w:ascii="Arial" w:hAnsi="Arial" w:cs="Arial"/>
          <w:lang w:val="en-GB"/>
        </w:rPr>
        <w:t xml:space="preserve"> </w:t>
      </w:r>
      <w:r w:rsidR="00EA15A6" w:rsidRPr="00EA15A6">
        <w:rPr>
          <w:rFonts w:ascii="Arial" w:hAnsi="Arial" w:cs="Arial"/>
          <w:lang w:val="en-GB"/>
        </w:rPr>
        <w:t>(</w:t>
      </w:r>
      <w:proofErr w:type="spellStart"/>
      <w:r w:rsidR="00EA15A6" w:rsidRPr="00EA15A6">
        <w:rPr>
          <w:rFonts w:ascii="Arial" w:hAnsi="Arial" w:cs="Arial"/>
          <w:lang w:val="en-GB"/>
        </w:rPr>
        <w:t>Shwom</w:t>
      </w:r>
      <w:proofErr w:type="spellEnd"/>
      <w:r w:rsidR="00EA15A6" w:rsidRPr="00EA15A6">
        <w:rPr>
          <w:rFonts w:ascii="Arial" w:hAnsi="Arial" w:cs="Arial"/>
          <w:lang w:val="en-GB"/>
        </w:rPr>
        <w:t xml:space="preserve"> et al., 2015). </w:t>
      </w:r>
      <w:r w:rsidR="001F1332">
        <w:rPr>
          <w:rFonts w:ascii="Arial" w:hAnsi="Arial" w:cs="Arial"/>
          <w:lang w:val="en-GB"/>
        </w:rPr>
        <w:t>We use the term “</w:t>
      </w:r>
      <w:r w:rsidR="00217242">
        <w:rPr>
          <w:rFonts w:ascii="Arial" w:hAnsi="Arial" w:cs="Arial"/>
          <w:lang w:val="en-GB"/>
        </w:rPr>
        <w:t xml:space="preserve">climate change </w:t>
      </w:r>
      <w:r w:rsidR="001F1332">
        <w:rPr>
          <w:rFonts w:ascii="Arial" w:hAnsi="Arial" w:cs="Arial"/>
          <w:lang w:val="en-GB"/>
        </w:rPr>
        <w:t xml:space="preserve">public opinion” to report </w:t>
      </w:r>
      <w:r w:rsidR="00217242">
        <w:rPr>
          <w:rFonts w:ascii="Arial" w:hAnsi="Arial" w:cs="Arial"/>
          <w:lang w:val="en-GB"/>
        </w:rPr>
        <w:t xml:space="preserve">attitudes, beliefs, concerns and worries of people in </w:t>
      </w:r>
      <w:r w:rsidR="00217242" w:rsidRPr="00217242">
        <w:rPr>
          <w:rFonts w:ascii="Arial" w:hAnsi="Arial" w:cs="Arial"/>
          <w:lang w:val="en-GB"/>
        </w:rPr>
        <w:t>the environmental field</w:t>
      </w:r>
      <w:r w:rsidR="00217242">
        <w:rPr>
          <w:rFonts w:ascii="Arial" w:hAnsi="Arial" w:cs="Arial"/>
          <w:lang w:val="en-GB"/>
        </w:rPr>
        <w:t xml:space="preserve">. In addition, a complementary issue of public opinion is the behavior. In fact, scholars have found an important relationship between </w:t>
      </w:r>
      <w:r w:rsidR="00AF347B">
        <w:rPr>
          <w:rFonts w:ascii="Arial" w:hAnsi="Arial" w:cs="Arial"/>
          <w:lang w:val="en-GB"/>
        </w:rPr>
        <w:t xml:space="preserve">individual’s </w:t>
      </w:r>
      <w:r w:rsidR="00217242">
        <w:rPr>
          <w:rFonts w:ascii="Arial" w:hAnsi="Arial" w:cs="Arial"/>
          <w:lang w:val="en-GB"/>
        </w:rPr>
        <w:t>“green behaviour</w:t>
      </w:r>
      <w:r w:rsidR="00AF347B">
        <w:rPr>
          <w:rFonts w:ascii="Arial" w:hAnsi="Arial" w:cs="Arial"/>
          <w:lang w:val="en-GB"/>
        </w:rPr>
        <w:t>s</w:t>
      </w:r>
      <w:r w:rsidR="00217242">
        <w:rPr>
          <w:rFonts w:ascii="Arial" w:hAnsi="Arial" w:cs="Arial"/>
          <w:lang w:val="en-GB"/>
        </w:rPr>
        <w:t>”, and therefore all actions to safeguard the environment,</w:t>
      </w:r>
      <w:r w:rsidR="00AF347B">
        <w:rPr>
          <w:rFonts w:ascii="Arial" w:hAnsi="Arial" w:cs="Arial"/>
          <w:lang w:val="en-GB"/>
        </w:rPr>
        <w:t xml:space="preserve"> </w:t>
      </w:r>
      <w:r w:rsidR="00217242">
        <w:rPr>
          <w:rFonts w:ascii="Arial" w:hAnsi="Arial" w:cs="Arial"/>
          <w:lang w:val="en-GB"/>
        </w:rPr>
        <w:t xml:space="preserve">and attitudes regarding climate change </w:t>
      </w:r>
      <w:r w:rsidR="00217242">
        <w:rPr>
          <w:rFonts w:ascii="Arial" w:hAnsi="Arial" w:cs="Arial"/>
          <w:lang w:val="en-GB"/>
        </w:rPr>
        <w:fldChar w:fldCharType="begin"/>
      </w:r>
      <w:r w:rsidR="00217242">
        <w:rPr>
          <w:rFonts w:ascii="Arial" w:hAnsi="Arial" w:cs="Arial"/>
          <w:lang w:val="en-GB"/>
        </w:rPr>
        <w:instrText xml:space="preserve"> ADDIN ZOTERO_ITEM CSL_CITATION {"citationID":"Mea8tSuA","properties":{"formattedCitation":"(Lacasse, 2015)","plainCitation":"(Lacasse, 2015)","noteIndex":0},"citationItems":[{"id":104,"uris":["http://zotero.org/users/local/pE4cGXV6/items/3JSESZLU"],"uri":["http://zotero.org/users/local/pE4cGXV6/items/3JSESZLU"],"itemData":{"id":104,"type":"article-journal","container-title":"Environment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Green","volume":"47","author":[{"family":"Lacasse","given":"Katherine"}],"issued":{"date-parts":[["2015",8]]}}}],"schema":"https://github.com/citation-style-language/schema/raw/master/csl-citation.json"} </w:instrText>
      </w:r>
      <w:r w:rsidR="00217242">
        <w:rPr>
          <w:rFonts w:ascii="Arial" w:hAnsi="Arial" w:cs="Arial"/>
          <w:lang w:val="en-GB"/>
        </w:rPr>
        <w:fldChar w:fldCharType="separate"/>
      </w:r>
      <w:r w:rsidR="00217242" w:rsidRPr="00217242">
        <w:rPr>
          <w:rFonts w:ascii="Arial" w:hAnsi="Arial" w:cs="Arial"/>
          <w:lang w:val="en-GB"/>
        </w:rPr>
        <w:t>(Lacasse, 2015)</w:t>
      </w:r>
      <w:r w:rsidR="00217242">
        <w:rPr>
          <w:rFonts w:ascii="Arial" w:hAnsi="Arial" w:cs="Arial"/>
          <w:lang w:val="en-GB"/>
        </w:rPr>
        <w:fldChar w:fldCharType="end"/>
      </w:r>
      <w:r w:rsidR="00AF347B">
        <w:rPr>
          <w:rFonts w:ascii="Arial" w:hAnsi="Arial" w:cs="Arial"/>
          <w:lang w:val="en-GB"/>
        </w:rPr>
        <w:t xml:space="preserve">. Lacasse (2015), a professor of </w:t>
      </w:r>
      <w:r w:rsidR="00AF347B" w:rsidRPr="00AF347B">
        <w:rPr>
          <w:rFonts w:ascii="Arial" w:hAnsi="Arial" w:cs="Arial"/>
          <w:lang w:val="en-GB"/>
        </w:rPr>
        <w:t>Environmental Psychology,</w:t>
      </w:r>
      <w:r w:rsidR="00AF347B">
        <w:rPr>
          <w:rFonts w:ascii="Arial" w:hAnsi="Arial" w:cs="Arial"/>
          <w:lang w:val="en-GB"/>
        </w:rPr>
        <w:t xml:space="preserve"> suggests that opinion could not be always the reason for </w:t>
      </w:r>
      <w:r w:rsidR="006E34F9">
        <w:rPr>
          <w:rFonts w:ascii="Arial" w:hAnsi="Arial" w:cs="Arial"/>
          <w:lang w:val="en-GB"/>
        </w:rPr>
        <w:t xml:space="preserve">the </w:t>
      </w:r>
      <w:r w:rsidR="00AF347B">
        <w:rPr>
          <w:rFonts w:ascii="Arial" w:hAnsi="Arial" w:cs="Arial"/>
          <w:lang w:val="en-GB"/>
        </w:rPr>
        <w:t>actions performed, but on the contrary attitudes could</w:t>
      </w:r>
      <w:r w:rsidR="006E34F9">
        <w:rPr>
          <w:rFonts w:ascii="Arial" w:hAnsi="Arial" w:cs="Arial"/>
          <w:lang w:val="en-GB"/>
        </w:rPr>
        <w:t xml:space="preserve"> be used to</w:t>
      </w:r>
      <w:r w:rsidR="00AF347B">
        <w:rPr>
          <w:rFonts w:ascii="Arial" w:hAnsi="Arial" w:cs="Arial"/>
          <w:lang w:val="en-GB"/>
        </w:rPr>
        <w:t xml:space="preserve"> justify the behaviour. </w:t>
      </w:r>
    </w:p>
    <w:p w14:paraId="15D3FEF8" w14:textId="286ABC0E" w:rsidR="002A1CB1" w:rsidRDefault="002A1CB1" w:rsidP="000E5951">
      <w:pPr>
        <w:spacing w:line="480" w:lineRule="auto"/>
        <w:jc w:val="both"/>
        <w:rPr>
          <w:rFonts w:ascii="Arial" w:hAnsi="Arial" w:cs="Arial"/>
          <w:lang w:val="en-GB"/>
        </w:rPr>
      </w:pPr>
      <w:r>
        <w:rPr>
          <w:rFonts w:ascii="Arial" w:hAnsi="Arial" w:cs="Arial"/>
          <w:lang w:val="en-GB"/>
        </w:rPr>
        <w:t xml:space="preserve">Therefore, the following chapter is focused on the presentation of the topic of the research: environmentally friendly </w:t>
      </w:r>
      <w:r>
        <w:rPr>
          <w:rFonts w:ascii="Arial" w:hAnsi="Arial" w:cs="Arial"/>
          <w:lang w:val="en-GB"/>
        </w:rPr>
        <w:t>behavior</w:t>
      </w:r>
      <w:r>
        <w:rPr>
          <w:rFonts w:ascii="Arial" w:hAnsi="Arial" w:cs="Arial"/>
          <w:lang w:val="en-GB"/>
        </w:rPr>
        <w:t xml:space="preserve">. </w:t>
      </w:r>
      <w:r w:rsidR="00D1334F">
        <w:rPr>
          <w:rFonts w:ascii="Arial" w:hAnsi="Arial" w:cs="Arial"/>
          <w:lang w:val="en-GB"/>
        </w:rPr>
        <w:t>In addition, we evidence the essential relationship between: p</w:t>
      </w:r>
      <w:r>
        <w:rPr>
          <w:rFonts w:ascii="Arial" w:hAnsi="Arial" w:cs="Arial"/>
          <w:lang w:val="en-GB"/>
        </w:rPr>
        <w:t xml:space="preserve">ro-environmental behavior and climate change opinion, in </w:t>
      </w:r>
      <w:r>
        <w:rPr>
          <w:rFonts w:ascii="Arial" w:hAnsi="Arial" w:cs="Arial"/>
          <w:lang w:val="en-GB"/>
        </w:rPr>
        <w:lastRenderedPageBreak/>
        <w:t>particular climate change risk perception</w:t>
      </w:r>
      <w:r w:rsidR="00D1334F">
        <w:rPr>
          <w:rFonts w:ascii="Arial" w:hAnsi="Arial" w:cs="Arial"/>
          <w:lang w:val="en-GB"/>
        </w:rPr>
        <w:t>,</w:t>
      </w:r>
      <w:r>
        <w:rPr>
          <w:rFonts w:ascii="Arial" w:hAnsi="Arial" w:cs="Arial"/>
          <w:lang w:val="en-GB"/>
        </w:rPr>
        <w:t xml:space="preserve"> and how these phenomena are mixed and interconnected with each othe</w:t>
      </w:r>
      <w:r w:rsidR="00D1334F">
        <w:rPr>
          <w:rFonts w:ascii="Arial" w:hAnsi="Arial" w:cs="Arial"/>
          <w:lang w:val="en-GB"/>
        </w:rPr>
        <w:t xml:space="preserve">r. </w:t>
      </w:r>
    </w:p>
    <w:p w14:paraId="54EEB2AF" w14:textId="7E4E0271" w:rsidR="00EA15A6" w:rsidRDefault="00EA15A6" w:rsidP="000E5951">
      <w:pPr>
        <w:spacing w:line="480" w:lineRule="auto"/>
        <w:jc w:val="both"/>
        <w:rPr>
          <w:rFonts w:ascii="Arial" w:hAnsi="Arial" w:cs="Arial"/>
          <w:lang w:val="en-GB"/>
        </w:rPr>
      </w:pPr>
    </w:p>
    <w:p w14:paraId="11C09FF7" w14:textId="77777777" w:rsidR="00EA15A6" w:rsidRDefault="00EA15A6">
      <w:pPr>
        <w:rPr>
          <w:rFonts w:ascii="Arial" w:hAnsi="Arial" w:cs="Arial"/>
          <w:lang w:val="en-GB"/>
        </w:rPr>
      </w:pPr>
      <w:r>
        <w:rPr>
          <w:rFonts w:ascii="Arial" w:hAnsi="Arial" w:cs="Arial"/>
          <w:lang w:val="en-GB"/>
        </w:rPr>
        <w:br w:type="page"/>
      </w:r>
    </w:p>
    <w:p w14:paraId="7C059C66" w14:textId="150DE29F" w:rsidR="00EA15A6" w:rsidRDefault="00EA15A6" w:rsidP="000E5951">
      <w:pPr>
        <w:spacing w:line="480" w:lineRule="auto"/>
        <w:jc w:val="both"/>
        <w:rPr>
          <w:rFonts w:ascii="Arial" w:eastAsia="CMBX12" w:hAnsi="Arial" w:cs="Arial"/>
          <w:sz w:val="44"/>
          <w:szCs w:val="44"/>
          <w:lang w:val="en-GB"/>
        </w:rPr>
      </w:pPr>
    </w:p>
    <w:p w14:paraId="50BBA236" w14:textId="77777777" w:rsidR="00EA15A6" w:rsidRDefault="00EA15A6">
      <w:pPr>
        <w:rPr>
          <w:rFonts w:ascii="Arial" w:eastAsia="CMBX12" w:hAnsi="Arial" w:cs="Arial"/>
          <w:sz w:val="44"/>
          <w:szCs w:val="44"/>
          <w:lang w:val="en-GB"/>
        </w:rPr>
      </w:pPr>
      <w:r>
        <w:rPr>
          <w:rFonts w:ascii="Arial" w:eastAsia="CMBX12" w:hAnsi="Arial" w:cs="Arial"/>
          <w:sz w:val="44"/>
          <w:szCs w:val="44"/>
          <w:lang w:val="en-GB"/>
        </w:rPr>
        <w:br w:type="page"/>
      </w:r>
    </w:p>
    <w:p w14:paraId="25750357" w14:textId="77777777" w:rsidR="00EA15A6" w:rsidRPr="00DA625D" w:rsidRDefault="00EA15A6" w:rsidP="000E5951">
      <w:pPr>
        <w:spacing w:line="480" w:lineRule="auto"/>
        <w:jc w:val="both"/>
        <w:rPr>
          <w:rFonts w:ascii="Arial" w:eastAsia="CMBX12" w:hAnsi="Arial" w:cs="Arial"/>
          <w:sz w:val="44"/>
          <w:szCs w:val="44"/>
          <w:lang w:val="en-GB"/>
        </w:rPr>
      </w:pPr>
    </w:p>
    <w:p w14:paraId="1C4E7D30" w14:textId="686D9068" w:rsidR="00E61616" w:rsidRPr="00C43052" w:rsidRDefault="008450B8" w:rsidP="002E5FE6">
      <w:pPr>
        <w:spacing w:line="360" w:lineRule="auto"/>
        <w:jc w:val="center"/>
        <w:rPr>
          <w:rFonts w:ascii="Arial" w:hAnsi="Arial" w:cs="Arial"/>
          <w:b/>
          <w:bCs/>
          <w:lang w:val="en-GB"/>
        </w:rPr>
      </w:pPr>
      <w:r w:rsidRPr="00C43052">
        <w:rPr>
          <w:rFonts w:ascii="Arial" w:hAnsi="Arial" w:cs="Arial"/>
          <w:b/>
          <w:bCs/>
          <w:lang w:val="en-GB"/>
        </w:rPr>
        <w:t>Data and Method</w:t>
      </w:r>
    </w:p>
    <w:p w14:paraId="42881F72" w14:textId="3AC98D0F" w:rsidR="00C061ED" w:rsidRDefault="002E5FE6" w:rsidP="00CE4AA1">
      <w:pPr>
        <w:spacing w:line="360" w:lineRule="auto"/>
        <w:rPr>
          <w:rFonts w:ascii="Arial" w:hAnsi="Arial" w:cs="Arial"/>
          <w:b/>
          <w:bCs/>
          <w:lang w:val="en-GB"/>
        </w:rPr>
      </w:pPr>
      <w:r>
        <w:rPr>
          <w:rFonts w:ascii="Arial" w:hAnsi="Arial" w:cs="Arial"/>
          <w:b/>
          <w:bCs/>
          <w:lang w:val="en-GB"/>
        </w:rPr>
        <w:t>Research Questions</w:t>
      </w:r>
    </w:p>
    <w:p w14:paraId="613539A3" w14:textId="77777777" w:rsidR="002E5FE6" w:rsidRPr="00C43052" w:rsidRDefault="002E5FE6" w:rsidP="00CE4AA1">
      <w:pPr>
        <w:spacing w:line="360" w:lineRule="auto"/>
        <w:rPr>
          <w:rFonts w:ascii="Arial" w:hAnsi="Arial" w:cs="Arial"/>
          <w:b/>
          <w:bCs/>
          <w:lang w:val="en-GB"/>
        </w:rPr>
      </w:pPr>
    </w:p>
    <w:p w14:paraId="2B3C3652" w14:textId="04E6F2A0" w:rsidR="008450B8" w:rsidRPr="00C43052" w:rsidRDefault="00C061ED" w:rsidP="00E4483A">
      <w:pPr>
        <w:spacing w:line="360" w:lineRule="auto"/>
        <w:jc w:val="both"/>
        <w:rPr>
          <w:rFonts w:ascii="Arial" w:hAnsi="Arial" w:cs="Arial"/>
          <w:b/>
          <w:bCs/>
          <w:lang w:val="en-GB"/>
        </w:rPr>
      </w:pPr>
      <w:r w:rsidRPr="00C43052">
        <w:rPr>
          <w:rFonts w:ascii="Arial" w:hAnsi="Arial" w:cs="Arial"/>
          <w:b/>
          <w:bCs/>
          <w:lang w:val="en-GB"/>
        </w:rPr>
        <w:t>Methodology</w:t>
      </w:r>
    </w:p>
    <w:p w14:paraId="7FC51555" w14:textId="24945C4F" w:rsidR="00C061ED" w:rsidRPr="00C43052" w:rsidRDefault="00C061ED" w:rsidP="00E4483A">
      <w:pPr>
        <w:spacing w:line="360" w:lineRule="auto"/>
        <w:jc w:val="both"/>
        <w:rPr>
          <w:rFonts w:ascii="Arial" w:hAnsi="Arial" w:cs="Arial"/>
          <w:lang w:val="en-GB"/>
        </w:rPr>
      </w:pPr>
      <w:r w:rsidRPr="00C43052">
        <w:rPr>
          <w:rFonts w:ascii="Arial" w:hAnsi="Arial" w:cs="Arial"/>
          <w:highlight w:val="yellow"/>
          <w:lang w:val="en-GB"/>
        </w:rPr>
        <w:t>The research, as already explained, is mainly composed of two different parts:</w:t>
      </w:r>
      <w:r w:rsidRPr="00C43052">
        <w:rPr>
          <w:rFonts w:ascii="Arial" w:hAnsi="Arial" w:cs="Arial"/>
          <w:lang w:val="en-GB"/>
        </w:rPr>
        <w:t xml:space="preserve"> the</w:t>
      </w:r>
      <w:r w:rsidR="00042BA5" w:rsidRPr="00C43052">
        <w:rPr>
          <w:rFonts w:ascii="Arial" w:hAnsi="Arial" w:cs="Arial"/>
          <w:lang w:val="en-GB"/>
        </w:rPr>
        <w:t xml:space="preserve"> </w:t>
      </w:r>
      <w:r w:rsidRPr="00C43052">
        <w:rPr>
          <w:rFonts w:ascii="Arial" w:hAnsi="Arial" w:cs="Arial"/>
          <w:lang w:val="en-GB"/>
        </w:rPr>
        <w:t xml:space="preserve">first, that uses unsupervised learning to obtain clusters of </w:t>
      </w:r>
      <w:bookmarkStart w:id="0" w:name="_Hlk59550657"/>
      <w:r w:rsidRPr="00C43052">
        <w:rPr>
          <w:rFonts w:ascii="Arial" w:hAnsi="Arial" w:cs="Arial"/>
          <w:lang w:val="en-GB"/>
        </w:rPr>
        <w:t>citizens’ attitudes towards climate change</w:t>
      </w:r>
      <w:bookmarkEnd w:id="0"/>
      <w:r w:rsidRPr="00C43052">
        <w:rPr>
          <w:rFonts w:ascii="Arial" w:hAnsi="Arial" w:cs="Arial"/>
          <w:lang w:val="en-GB"/>
        </w:rPr>
        <w:t>, and the second,</w:t>
      </w:r>
      <w:r w:rsidR="0023405F" w:rsidRPr="00C43052">
        <w:rPr>
          <w:rFonts w:ascii="Arial" w:hAnsi="Arial" w:cs="Arial"/>
          <w:lang w:val="en-GB"/>
        </w:rPr>
        <w:t xml:space="preserve"> that uses supervised learning to predict </w:t>
      </w:r>
      <w:r w:rsidR="00042BA5" w:rsidRPr="00C43052">
        <w:rPr>
          <w:rFonts w:ascii="Arial" w:hAnsi="Arial" w:cs="Arial"/>
          <w:lang w:val="en-GB"/>
        </w:rPr>
        <w:t>pro-environment behaviour</w:t>
      </w:r>
      <w:r w:rsidR="0023405F" w:rsidRPr="00C43052">
        <w:rPr>
          <w:rFonts w:ascii="Arial" w:hAnsi="Arial" w:cs="Arial"/>
          <w:lang w:val="en-GB"/>
        </w:rPr>
        <w:t>.</w:t>
      </w:r>
    </w:p>
    <w:p w14:paraId="2570A69D" w14:textId="7AD089AA" w:rsidR="005868F0" w:rsidRPr="00C43052" w:rsidRDefault="00B12452" w:rsidP="00E4483A">
      <w:pPr>
        <w:spacing w:line="360" w:lineRule="auto"/>
        <w:jc w:val="both"/>
        <w:rPr>
          <w:rFonts w:ascii="Arial" w:hAnsi="Arial" w:cs="Arial"/>
          <w:lang w:val="en-GB"/>
        </w:rPr>
      </w:pPr>
      <w:r w:rsidRPr="00C43052">
        <w:rPr>
          <w:rFonts w:ascii="Arial" w:hAnsi="Arial" w:cs="Arial"/>
          <w:lang w:val="en-GB"/>
        </w:rPr>
        <w:t>T</w:t>
      </w:r>
      <w:r w:rsidR="0023405F" w:rsidRPr="00C43052">
        <w:rPr>
          <w:rFonts w:ascii="Arial" w:hAnsi="Arial" w:cs="Arial"/>
          <w:lang w:val="en-GB"/>
        </w:rPr>
        <w:t>he first set of methods</w:t>
      </w:r>
      <w:r w:rsidR="000A148D" w:rsidRPr="00C43052">
        <w:rPr>
          <w:rFonts w:ascii="Arial" w:hAnsi="Arial" w:cs="Arial"/>
          <w:lang w:val="en-GB"/>
        </w:rPr>
        <w:t xml:space="preserve"> focuses on identifying some profiles of citizens’ attitudes towards climate change using different types of </w:t>
      </w:r>
      <w:r w:rsidR="005868F0" w:rsidRPr="00C43052">
        <w:rPr>
          <w:rFonts w:ascii="Arial" w:hAnsi="Arial" w:cs="Arial"/>
          <w:lang w:val="en-GB"/>
        </w:rPr>
        <w:t xml:space="preserve">unsupervised learning </w:t>
      </w:r>
      <w:r w:rsidR="000A148D" w:rsidRPr="00C43052">
        <w:rPr>
          <w:rFonts w:ascii="Arial" w:hAnsi="Arial" w:cs="Arial"/>
          <w:lang w:val="en-GB"/>
        </w:rPr>
        <w:t>techniques: K-</w:t>
      </w:r>
      <w:r w:rsidR="005868F0" w:rsidRPr="00C43052">
        <w:rPr>
          <w:rFonts w:ascii="Arial" w:hAnsi="Arial" w:cs="Arial"/>
          <w:lang w:val="en-GB"/>
        </w:rPr>
        <w:t xml:space="preserve">means </w:t>
      </w:r>
      <w:r w:rsidR="00364EE2" w:rsidRPr="00C43052">
        <w:rPr>
          <w:rFonts w:ascii="Arial" w:hAnsi="Arial" w:cs="Arial"/>
          <w:lang w:val="en-GB"/>
        </w:rPr>
        <w:t xml:space="preserve">clustering </w:t>
      </w:r>
      <w:r w:rsidR="000A148D" w:rsidRPr="00C43052">
        <w:rPr>
          <w:rFonts w:ascii="Arial" w:hAnsi="Arial" w:cs="Arial"/>
          <w:lang w:val="en-GB"/>
        </w:rPr>
        <w:t>and Correlational Class Analysis (CCA).</w:t>
      </w:r>
      <w:r w:rsidRPr="00C43052">
        <w:rPr>
          <w:rFonts w:ascii="Arial" w:hAnsi="Arial" w:cs="Arial"/>
          <w:lang w:val="en-GB"/>
        </w:rPr>
        <w:t xml:space="preserve"> </w:t>
      </w:r>
    </w:p>
    <w:p w14:paraId="2497B96B" w14:textId="5986E3FF" w:rsidR="00364EE2" w:rsidRPr="00C43052" w:rsidRDefault="000A148D" w:rsidP="00E4483A">
      <w:pPr>
        <w:spacing w:line="360" w:lineRule="auto"/>
        <w:jc w:val="both"/>
        <w:rPr>
          <w:rFonts w:ascii="Arial" w:hAnsi="Arial" w:cs="Arial"/>
          <w:lang w:val="en-GB"/>
        </w:rPr>
      </w:pPr>
      <w:r w:rsidRPr="00C43052">
        <w:rPr>
          <w:rFonts w:ascii="Arial" w:hAnsi="Arial" w:cs="Arial"/>
          <w:lang w:val="en-GB"/>
        </w:rPr>
        <w:t xml:space="preserve"> </w:t>
      </w:r>
      <w:r w:rsidR="00E14B72" w:rsidRPr="00C43052">
        <w:rPr>
          <w:rFonts w:ascii="Arial" w:hAnsi="Arial" w:cs="Arial"/>
          <w:lang w:val="en-GB"/>
        </w:rPr>
        <w:t xml:space="preserve">K-means </w:t>
      </w:r>
      <w:r w:rsidR="00364EE2" w:rsidRPr="00C43052">
        <w:rPr>
          <w:rFonts w:ascii="Arial" w:hAnsi="Arial" w:cs="Arial"/>
          <w:lang w:val="en-GB"/>
        </w:rPr>
        <w:t xml:space="preserve">clustering </w:t>
      </w:r>
      <w:r w:rsidR="00E14B72" w:rsidRPr="00C43052">
        <w:rPr>
          <w:rFonts w:ascii="Arial" w:hAnsi="Arial" w:cs="Arial"/>
          <w:lang w:val="en-GB"/>
        </w:rPr>
        <w:t xml:space="preserve">is a “numerical, unsupervised, non-deterministic, iterative method” </w:t>
      </w:r>
      <w:r w:rsidR="00E14B72"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C43052">
        <w:rPr>
          <w:rFonts w:ascii="Arial" w:hAnsi="Arial" w:cs="Arial"/>
          <w:lang w:val="en-GB"/>
        </w:rPr>
        <w:fldChar w:fldCharType="separate"/>
      </w:r>
      <w:r w:rsidR="00E14B72" w:rsidRPr="00C43052">
        <w:rPr>
          <w:rFonts w:ascii="Arial" w:hAnsi="Arial" w:cs="Arial"/>
          <w:lang w:val="en-GB"/>
        </w:rPr>
        <w:t>(Na et al., 2010, p.63)</w:t>
      </w:r>
      <w:r w:rsidR="00E14B72" w:rsidRPr="00C43052">
        <w:rPr>
          <w:rFonts w:ascii="Arial" w:hAnsi="Arial" w:cs="Arial"/>
          <w:lang w:val="en-GB"/>
        </w:rPr>
        <w:fldChar w:fldCharType="end"/>
      </w:r>
      <w:r w:rsidR="00E14B72" w:rsidRPr="00C43052">
        <w:rPr>
          <w:rFonts w:ascii="Arial" w:hAnsi="Arial" w:cs="Arial"/>
          <w:lang w:val="en-GB"/>
        </w:rPr>
        <w:t xml:space="preserve"> and it seeks to identify a finite set of clusters </w:t>
      </w:r>
      <w:r w:rsidR="00364EE2" w:rsidRPr="00C43052">
        <w:rPr>
          <w:rFonts w:ascii="Arial" w:hAnsi="Arial" w:cs="Arial"/>
          <w:lang w:val="en-GB"/>
        </w:rPr>
        <w:t xml:space="preserve">or subgroups </w:t>
      </w:r>
      <w:r w:rsidR="00E14B72" w:rsidRPr="00C43052">
        <w:rPr>
          <w:rFonts w:ascii="Arial" w:hAnsi="Arial" w:cs="Arial"/>
          <w:lang w:val="en-GB"/>
        </w:rPr>
        <w:t>to describe data</w:t>
      </w:r>
      <w:r w:rsidR="00364EE2" w:rsidRPr="00C43052">
        <w:rPr>
          <w:rFonts w:ascii="Arial" w:hAnsi="Arial" w:cs="Arial"/>
          <w:lang w:val="en-GB"/>
        </w:rPr>
        <w:t xml:space="preserve"> </w:t>
      </w:r>
      <w:r w:rsidR="00364EE2" w:rsidRPr="00C43052">
        <w:rPr>
          <w:rFonts w:ascii="Arial" w:hAnsi="Arial" w:cs="Arial"/>
          <w:lang w:val="en-GB"/>
        </w:rPr>
        <w:fldChar w:fldCharType="begin"/>
      </w:r>
      <w:r w:rsidR="00364EE2" w:rsidRPr="00C43052">
        <w:rPr>
          <w:rFonts w:ascii="Arial" w:hAnsi="Arial" w:cs="Arial"/>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C43052">
        <w:rPr>
          <w:rFonts w:ascii="Arial" w:hAnsi="Arial" w:cs="Arial"/>
          <w:lang w:val="en-GB"/>
        </w:rPr>
        <w:fldChar w:fldCharType="separate"/>
      </w:r>
      <w:r w:rsidR="00364EE2" w:rsidRPr="00C43052">
        <w:rPr>
          <w:rFonts w:ascii="Arial" w:hAnsi="Arial" w:cs="Arial"/>
          <w:lang w:val="en-GB"/>
        </w:rPr>
        <w:t>(Fonseca, 2013; James et al., 2013)</w:t>
      </w:r>
      <w:r w:rsidR="00364EE2" w:rsidRPr="00C43052">
        <w:rPr>
          <w:rFonts w:ascii="Arial" w:hAnsi="Arial" w:cs="Arial"/>
          <w:lang w:val="en-GB"/>
        </w:rPr>
        <w:fldChar w:fldCharType="end"/>
      </w:r>
      <w:r w:rsidR="00364EE2" w:rsidRPr="00C43052">
        <w:rPr>
          <w:rFonts w:ascii="Arial" w:hAnsi="Arial" w:cs="Arial"/>
          <w:lang w:val="en-GB"/>
        </w:rPr>
        <w:t xml:space="preserve">. </w:t>
      </w:r>
      <w:r w:rsidR="00BF7516" w:rsidRPr="00C43052">
        <w:rPr>
          <w:rFonts w:ascii="Arial" w:hAnsi="Arial" w:cs="Arial"/>
          <w:lang w:val="en-GB"/>
        </w:rPr>
        <w:t>This method creates some subgroups in order to maximize both the similarity within clusters and the differences among other groups</w:t>
      </w:r>
      <w:r w:rsidR="00870EB1">
        <w:rPr>
          <w:rFonts w:ascii="Arial" w:hAnsi="Arial" w:cs="Arial"/>
          <w:lang w:val="en-GB"/>
        </w:rPr>
        <w:t>.</w:t>
      </w:r>
    </w:p>
    <w:p w14:paraId="201A3FE1" w14:textId="43F6CA2B" w:rsidR="000A148D" w:rsidRPr="00C43052" w:rsidRDefault="00042BA5" w:rsidP="00E4483A">
      <w:pPr>
        <w:spacing w:line="360" w:lineRule="auto"/>
        <w:jc w:val="both"/>
        <w:rPr>
          <w:rFonts w:ascii="Arial" w:hAnsi="Arial" w:cs="Arial"/>
          <w:lang w:val="en-GB"/>
        </w:rPr>
      </w:pPr>
      <w:r w:rsidRPr="00C43052">
        <w:rPr>
          <w:rFonts w:ascii="Arial" w:hAnsi="Arial" w:cs="Arial"/>
          <w:lang w:val="en-GB"/>
        </w:rPr>
        <w:t>Correlational</w:t>
      </w:r>
      <w:r w:rsidR="000A148D" w:rsidRPr="00C43052">
        <w:rPr>
          <w:rFonts w:ascii="Arial" w:hAnsi="Arial" w:cs="Arial"/>
          <w:lang w:val="en-GB"/>
        </w:rPr>
        <w:t xml:space="preserve"> Class Analysis</w:t>
      </w:r>
      <w:r w:rsidR="00BF7516" w:rsidRPr="00C43052">
        <w:rPr>
          <w:rFonts w:ascii="Arial" w:hAnsi="Arial" w:cs="Arial"/>
          <w:lang w:val="en-GB"/>
        </w:rPr>
        <w:t xml:space="preserve"> (CCA) identify such “cultural schemas” in a survey data, in particular in a public opinion data </w:t>
      </w:r>
      <w:r w:rsidR="00BF7516" w:rsidRPr="00C43052">
        <w:rPr>
          <w:rFonts w:ascii="Arial" w:hAnsi="Arial" w:cs="Arial"/>
          <w:lang w:val="en-GB"/>
        </w:rPr>
        <w:fldChar w:fldCharType="begin"/>
      </w:r>
      <w:r w:rsidR="00BF7516" w:rsidRPr="00C43052">
        <w:rPr>
          <w:rFonts w:ascii="Arial" w:hAnsi="Arial" w:cs="Arial"/>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C43052">
        <w:rPr>
          <w:rFonts w:ascii="Arial" w:hAnsi="Arial" w:cs="Arial"/>
          <w:lang w:val="en-GB"/>
        </w:rPr>
        <w:fldChar w:fldCharType="separate"/>
      </w:r>
      <w:r w:rsidR="00BF7516" w:rsidRPr="00C43052">
        <w:rPr>
          <w:rFonts w:ascii="Arial" w:hAnsi="Arial" w:cs="Arial"/>
          <w:lang w:val="en-GB"/>
        </w:rPr>
        <w:t>(Boutyline, 2017; Rossoni et al., 2020)</w:t>
      </w:r>
      <w:r w:rsidR="00BF7516" w:rsidRPr="00C43052">
        <w:rPr>
          <w:rFonts w:ascii="Arial" w:hAnsi="Arial" w:cs="Arial"/>
          <w:lang w:val="en-GB"/>
        </w:rPr>
        <w:fldChar w:fldCharType="end"/>
      </w:r>
      <w:r w:rsidR="00BF7516" w:rsidRPr="00C43052">
        <w:rPr>
          <w:rFonts w:ascii="Arial" w:hAnsi="Arial" w:cs="Arial"/>
          <w:lang w:val="en-GB"/>
        </w:rPr>
        <w:t xml:space="preserve">. This technique is an implementation of Relational Class Analysis (RCA) developed by </w:t>
      </w:r>
      <w:r w:rsidR="000A148D" w:rsidRPr="00C43052">
        <w:rPr>
          <w:rFonts w:ascii="Arial" w:hAnsi="Arial" w:cs="Arial"/>
          <w:lang w:val="en-GB"/>
        </w:rPr>
        <w:t>Goldberg (2011)</w:t>
      </w:r>
      <w:r w:rsidR="00BF7516" w:rsidRPr="00C43052">
        <w:rPr>
          <w:rFonts w:ascii="Arial" w:hAnsi="Arial" w:cs="Arial"/>
          <w:lang w:val="en-GB"/>
        </w:rPr>
        <w:t xml:space="preserve"> and it</w:t>
      </w:r>
      <w:r w:rsidR="000A148D" w:rsidRPr="00C43052">
        <w:rPr>
          <w:rFonts w:ascii="Arial" w:hAnsi="Arial" w:cs="Arial"/>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C43052">
        <w:rPr>
          <w:rFonts w:ascii="Arial" w:hAnsi="Arial" w:cs="Arial"/>
          <w:lang w:val="en-GB"/>
        </w:rPr>
        <w:fldChar w:fldCharType="begin"/>
      </w:r>
      <w:r w:rsidR="000A148D" w:rsidRPr="00C43052">
        <w:rPr>
          <w:rFonts w:ascii="Arial" w:hAnsi="Arial" w:cs="Arial"/>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C43052">
        <w:rPr>
          <w:rFonts w:ascii="Arial" w:hAnsi="Arial" w:cs="Arial"/>
          <w:lang w:val="en-GB"/>
        </w:rPr>
        <w:fldChar w:fldCharType="separate"/>
      </w:r>
      <w:r w:rsidR="000A148D" w:rsidRPr="00C43052">
        <w:rPr>
          <w:rFonts w:ascii="Arial" w:hAnsi="Arial" w:cs="Arial"/>
          <w:lang w:val="en-GB"/>
        </w:rPr>
        <w:t>(p.1399)</w:t>
      </w:r>
      <w:r w:rsidR="000A148D" w:rsidRPr="00C43052">
        <w:rPr>
          <w:rFonts w:ascii="Arial" w:hAnsi="Arial" w:cs="Arial"/>
          <w:lang w:val="en-GB"/>
        </w:rPr>
        <w:fldChar w:fldCharType="end"/>
      </w:r>
      <w:r w:rsidR="000A148D" w:rsidRPr="00C43052">
        <w:rPr>
          <w:rFonts w:ascii="Arial" w:hAnsi="Arial" w:cs="Arial"/>
          <w:lang w:val="en-GB"/>
        </w:rPr>
        <w:t xml:space="preserve">. </w:t>
      </w:r>
      <w:r w:rsidR="00BF7516" w:rsidRPr="00C43052">
        <w:rPr>
          <w:rFonts w:ascii="Arial" w:hAnsi="Arial" w:cs="Arial"/>
          <w:lang w:val="en-GB"/>
        </w:rPr>
        <w:t>Therefore, the goal of RCA is to partition individuals into g</w:t>
      </w:r>
      <w:r w:rsidR="00775515" w:rsidRPr="00C43052">
        <w:rPr>
          <w:rFonts w:ascii="Arial" w:hAnsi="Arial" w:cs="Arial"/>
          <w:lang w:val="en-GB"/>
        </w:rPr>
        <w:t xml:space="preserve">roups which shared “cultural classes” </w:t>
      </w:r>
      <w:r w:rsidR="00775515" w:rsidRPr="00C43052">
        <w:rPr>
          <w:rFonts w:ascii="Arial" w:hAnsi="Arial" w:cs="Arial"/>
          <w:lang w:val="en-GB"/>
        </w:rPr>
        <w:fldChar w:fldCharType="begin"/>
      </w:r>
      <w:r w:rsidR="00775515" w:rsidRPr="00C43052">
        <w:rPr>
          <w:rFonts w:ascii="Arial" w:hAnsi="Arial" w:cs="Arial"/>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(Rossoni et al., 2020)</w:t>
      </w:r>
      <w:r w:rsidR="00775515" w:rsidRPr="00C43052">
        <w:rPr>
          <w:rFonts w:ascii="Arial" w:hAnsi="Arial" w:cs="Arial"/>
          <w:lang w:val="en-GB"/>
        </w:rPr>
        <w:fldChar w:fldCharType="end"/>
      </w:r>
      <w:r w:rsidR="00775515" w:rsidRPr="00C43052">
        <w:rPr>
          <w:rFonts w:ascii="Arial" w:hAnsi="Arial" w:cs="Arial"/>
          <w:lang w:val="en-GB"/>
        </w:rPr>
        <w:t xml:space="preserve">.The shared “cultural </w:t>
      </w:r>
      <w:r w:rsidR="00AC60EA" w:rsidRPr="00C43052">
        <w:rPr>
          <w:rFonts w:ascii="Arial" w:hAnsi="Arial" w:cs="Arial"/>
          <w:lang w:val="en-GB"/>
        </w:rPr>
        <w:t>schemas</w:t>
      </w:r>
      <w:r w:rsidR="00775515" w:rsidRPr="00C43052">
        <w:rPr>
          <w:rFonts w:ascii="Arial" w:hAnsi="Arial" w:cs="Arial"/>
          <w:lang w:val="en-GB"/>
        </w:rPr>
        <w:t xml:space="preserve">” “does not imply having identical attitudes or behaviours, rather it suggests being in agreement on the structures of relevance and opposition that make actions and symbols meaningful” </w:t>
      </w:r>
      <w:r w:rsidR="00775515"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(Goldberg, 2011, p.1402)</w:t>
      </w:r>
      <w:r w:rsidR="00775515" w:rsidRPr="00C43052">
        <w:rPr>
          <w:rFonts w:ascii="Arial" w:hAnsi="Arial" w:cs="Arial"/>
          <w:lang w:val="en-GB"/>
        </w:rPr>
        <w:fldChar w:fldCharType="end"/>
      </w:r>
      <w:r w:rsidR="00775515" w:rsidRPr="00C43052">
        <w:rPr>
          <w:rFonts w:ascii="Arial" w:hAnsi="Arial" w:cs="Arial"/>
          <w:lang w:val="en-GB"/>
        </w:rPr>
        <w:t>. Therefore, it tries to find patters of associations between attitudes or behaviours</w:t>
      </w:r>
      <w:r w:rsidR="006059E8" w:rsidRPr="00C43052">
        <w:rPr>
          <w:rFonts w:ascii="Arial" w:hAnsi="Arial" w:cs="Arial"/>
          <w:lang w:val="en-GB"/>
        </w:rPr>
        <w:t xml:space="preserve"> in terms of </w:t>
      </w:r>
      <w:r w:rsidR="006059E8" w:rsidRPr="00C43052">
        <w:rPr>
          <w:rFonts w:ascii="Arial" w:hAnsi="Arial" w:cs="Arial"/>
          <w:lang w:val="en-GB"/>
        </w:rPr>
        <w:lastRenderedPageBreak/>
        <w:t>“relationality”</w:t>
      </w:r>
      <w:r w:rsidR="00775515" w:rsidRPr="00C43052">
        <w:rPr>
          <w:rFonts w:ascii="Arial" w:hAnsi="Arial" w:cs="Arial"/>
          <w:lang w:val="en-GB"/>
        </w:rPr>
        <w:t>. In addition,</w:t>
      </w:r>
      <w:r w:rsidR="00C41AD3" w:rsidRPr="00C43052">
        <w:rPr>
          <w:rFonts w:ascii="Arial" w:hAnsi="Arial" w:cs="Arial"/>
          <w:lang w:val="en-GB"/>
        </w:rPr>
        <w:t xml:space="preserve"> it tries to find relationships both between individuals and between variables, combining clustering analysis and multidimensional scaling or factor analysis </w:t>
      </w:r>
      <w:r w:rsidR="00C41AD3" w:rsidRPr="00C43052">
        <w:rPr>
          <w:rFonts w:ascii="Arial" w:hAnsi="Arial" w:cs="Arial"/>
          <w:lang w:val="en-GB"/>
        </w:rPr>
        <w:fldChar w:fldCharType="begin"/>
      </w:r>
      <w:r w:rsidR="00C41AD3" w:rsidRPr="00C43052">
        <w:rPr>
          <w:rFonts w:ascii="Arial" w:hAnsi="Arial" w:cs="Arial"/>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C43052">
        <w:rPr>
          <w:rFonts w:ascii="Arial" w:hAnsi="Arial" w:cs="Arial"/>
          <w:lang w:val="en-GB"/>
        </w:rPr>
        <w:fldChar w:fldCharType="separate"/>
      </w:r>
      <w:r w:rsidR="00C41AD3" w:rsidRPr="00C43052">
        <w:rPr>
          <w:rFonts w:ascii="Arial" w:hAnsi="Arial" w:cs="Arial"/>
          <w:lang w:val="en-GB"/>
        </w:rPr>
        <w:t>(Goldberg, 2011)</w:t>
      </w:r>
      <w:r w:rsidR="00C41AD3" w:rsidRPr="00C43052">
        <w:rPr>
          <w:rFonts w:ascii="Arial" w:hAnsi="Arial" w:cs="Arial"/>
          <w:lang w:val="en-GB"/>
        </w:rPr>
        <w:fldChar w:fldCharType="end"/>
      </w:r>
      <w:r w:rsidR="00C41AD3" w:rsidRPr="00C43052">
        <w:rPr>
          <w:rFonts w:ascii="Arial" w:hAnsi="Arial" w:cs="Arial"/>
          <w:lang w:val="en-GB"/>
        </w:rPr>
        <w:t xml:space="preserve">. </w:t>
      </w:r>
      <w:r w:rsidR="006059E8" w:rsidRPr="00C43052">
        <w:rPr>
          <w:rFonts w:ascii="Arial" w:hAnsi="Arial" w:cs="Arial"/>
          <w:lang w:val="en-GB"/>
        </w:rPr>
        <w:t xml:space="preserve">The difference between RCA and CCA lies in the concept of “relationality”. In fact, while Goldberg (2011) uses linear dependency </w:t>
      </w:r>
      <w:r w:rsidR="006059E8" w:rsidRPr="00C43052">
        <w:rPr>
          <w:rFonts w:ascii="Arial" w:hAnsi="Arial" w:cs="Arial"/>
          <w:highlight w:val="yellow"/>
          <w:lang w:val="en-GB"/>
        </w:rPr>
        <w:t>between two individuals vectors of responses</w:t>
      </w:r>
      <w:r w:rsidR="006059E8" w:rsidRPr="00C43052">
        <w:rPr>
          <w:rFonts w:ascii="Arial" w:hAnsi="Arial" w:cs="Arial"/>
          <w:lang w:val="en-GB"/>
        </w:rPr>
        <w:t xml:space="preserve"> in order to find the shared cultural schemas, CCA suggests to adopt Pearson’s correlation</w:t>
      </w:r>
      <w:r w:rsidR="00AC60EA" w:rsidRPr="00C43052">
        <w:rPr>
          <w:rFonts w:ascii="Arial" w:hAnsi="Arial" w:cs="Arial"/>
          <w:lang w:val="en-GB"/>
        </w:rPr>
        <w:t xml:space="preserve"> </w:t>
      </w:r>
      <w:r w:rsidR="006059E8" w:rsidRPr="00C43052">
        <w:rPr>
          <w:rFonts w:ascii="Arial" w:hAnsi="Arial" w:cs="Arial"/>
          <w:lang w:val="en-GB"/>
        </w:rPr>
        <w:fldChar w:fldCharType="begin"/>
      </w:r>
      <w:r w:rsidR="00AC60EA" w:rsidRPr="00C43052">
        <w:rPr>
          <w:rFonts w:ascii="Arial" w:hAnsi="Arial" w:cs="Arial"/>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C43052">
        <w:rPr>
          <w:rFonts w:ascii="Arial" w:hAnsi="Arial" w:cs="Arial"/>
          <w:lang w:val="en-GB"/>
        </w:rPr>
        <w:fldChar w:fldCharType="separate"/>
      </w:r>
      <w:r w:rsidR="00AC60EA" w:rsidRPr="00C43052">
        <w:rPr>
          <w:rFonts w:ascii="Arial" w:hAnsi="Arial" w:cs="Arial"/>
          <w:lang w:val="en-GB"/>
        </w:rPr>
        <w:t>(Boutyline, 2017)</w:t>
      </w:r>
      <w:r w:rsidR="006059E8" w:rsidRPr="00C43052">
        <w:rPr>
          <w:rFonts w:ascii="Arial" w:hAnsi="Arial" w:cs="Arial"/>
          <w:lang w:val="en-GB"/>
        </w:rPr>
        <w:fldChar w:fldCharType="end"/>
      </w:r>
      <w:r w:rsidR="006059E8" w:rsidRPr="00C43052">
        <w:rPr>
          <w:rFonts w:ascii="Arial" w:hAnsi="Arial" w:cs="Arial"/>
          <w:lang w:val="en-GB"/>
        </w:rPr>
        <w:t>. Boutyline</w:t>
      </w:r>
      <w:r w:rsidR="00AC60EA" w:rsidRPr="00C43052">
        <w:rPr>
          <w:rFonts w:ascii="Arial" w:hAnsi="Arial" w:cs="Arial"/>
          <w:lang w:val="en-GB"/>
        </w:rPr>
        <w:t xml:space="preserve"> (2017) demonstrated that </w:t>
      </w:r>
      <w:r w:rsidR="006059E8" w:rsidRPr="00C43052">
        <w:rPr>
          <w:rFonts w:ascii="Arial" w:hAnsi="Arial" w:cs="Arial"/>
          <w:lang w:val="en-GB"/>
        </w:rPr>
        <w:t xml:space="preserve">CCA </w:t>
      </w:r>
      <w:r w:rsidR="00AC60EA" w:rsidRPr="00C43052">
        <w:rPr>
          <w:rFonts w:ascii="Arial" w:hAnsi="Arial" w:cs="Arial"/>
          <w:lang w:val="en-GB"/>
        </w:rPr>
        <w:t xml:space="preserve">produces more accurate results. </w:t>
      </w:r>
    </w:p>
    <w:p w14:paraId="500F3388" w14:textId="1D20C228" w:rsidR="00870EB1" w:rsidRDefault="00DF1C46" w:rsidP="00E4483A">
      <w:pPr>
        <w:spacing w:line="360" w:lineRule="auto"/>
        <w:jc w:val="both"/>
        <w:rPr>
          <w:rFonts w:ascii="Arial" w:hAnsi="Arial" w:cs="Arial"/>
          <w:lang w:val="en-GB"/>
        </w:rPr>
      </w:pPr>
      <w:r w:rsidRPr="00C43052">
        <w:rPr>
          <w:rFonts w:ascii="Arial" w:hAnsi="Arial" w:cs="Arial"/>
          <w:lang w:val="en-GB"/>
        </w:rPr>
        <w:t>Using these algorithms only quantitative variables can be used, in fact only climate change questions are considered, except for the dependent variable, pro-environmental action, and climate change risk perception.</w:t>
      </w:r>
      <w:r w:rsidRPr="00C43052">
        <w:rPr>
          <w:rStyle w:val="Rimandonotaapidipagina"/>
          <w:rFonts w:ascii="Arial" w:hAnsi="Arial" w:cs="Arial"/>
          <w:lang w:val="en-GB"/>
        </w:rPr>
        <w:footnoteReference w:id="1"/>
      </w:r>
      <w:r w:rsidRPr="00C43052">
        <w:rPr>
          <w:rFonts w:ascii="Arial" w:hAnsi="Arial" w:cs="Arial"/>
          <w:lang w:val="en-GB"/>
        </w:rPr>
        <w:t xml:space="preserve"> </w:t>
      </w:r>
      <w:r w:rsidR="00870EB1">
        <w:rPr>
          <w:rFonts w:ascii="Arial" w:hAnsi="Arial" w:cs="Arial"/>
          <w:lang w:val="en-GB"/>
        </w:rPr>
        <w:t xml:space="preserve">According to scholars it is possible to use Likert scale ordinal data as continuous </w:t>
      </w:r>
      <w:r w:rsidR="00870EB1">
        <w:rPr>
          <w:rFonts w:ascii="Arial" w:hAnsi="Arial" w:cs="Arial"/>
          <w:lang w:val="en-GB"/>
        </w:rPr>
        <w:fldChar w:fldCharType="begin"/>
      </w:r>
      <w:r w:rsidR="00870EB1">
        <w:rPr>
          <w:rFonts w:ascii="Arial" w:hAnsi="Arial" w:cs="Arial"/>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Pr>
          <w:rFonts w:ascii="Arial" w:hAnsi="Arial" w:cs="Arial"/>
          <w:lang w:val="en-GB"/>
        </w:rPr>
        <w:fldChar w:fldCharType="separate"/>
      </w:r>
      <w:r w:rsidR="00870EB1" w:rsidRPr="00870EB1">
        <w:rPr>
          <w:rFonts w:ascii="Arial" w:hAnsi="Arial" w:cs="Arial"/>
          <w:lang w:val="en-GB"/>
        </w:rPr>
        <w:t>(Norman, 2010; Sullivan &amp; Artino, 2013)</w:t>
      </w:r>
      <w:r w:rsidR="00870EB1">
        <w:rPr>
          <w:rFonts w:ascii="Arial" w:hAnsi="Arial" w:cs="Arial"/>
          <w:lang w:val="en-GB"/>
        </w:rPr>
        <w:fldChar w:fldCharType="end"/>
      </w:r>
      <w:r w:rsidR="00870EB1">
        <w:rPr>
          <w:rFonts w:ascii="Arial" w:hAnsi="Arial" w:cs="Arial"/>
          <w:lang w:val="en-GB"/>
        </w:rPr>
        <w:t>.</w:t>
      </w:r>
      <w:r w:rsidR="00131A34">
        <w:rPr>
          <w:rFonts w:ascii="Arial" w:hAnsi="Arial" w:cs="Arial"/>
          <w:lang w:val="en-GB"/>
        </w:rPr>
        <w:t xml:space="preserve"> </w:t>
      </w:r>
      <w:r w:rsidR="00870EB1">
        <w:rPr>
          <w:rFonts w:ascii="Arial" w:hAnsi="Arial" w:cs="Arial"/>
          <w:lang w:val="en-GB"/>
        </w:rPr>
        <w:t>In fact,</w:t>
      </w:r>
      <w:r w:rsidR="001D3C5D">
        <w:rPr>
          <w:rFonts w:ascii="Arial" w:hAnsi="Arial" w:cs="Arial"/>
          <w:lang w:val="en-GB"/>
        </w:rPr>
        <w:t xml:space="preserve"> five questions are selected to fit these methods. The responses were on 4-point scale, with the following gradations</w:t>
      </w:r>
      <w:r w:rsidR="0032309C">
        <w:rPr>
          <w:rFonts w:ascii="Arial" w:hAnsi="Arial" w:cs="Arial"/>
          <w:lang w:val="en-GB"/>
        </w:rPr>
        <w:t xml:space="preserve"> and labels (the latter </w:t>
      </w:r>
      <w:r w:rsidR="001D3C5D">
        <w:rPr>
          <w:rFonts w:ascii="Arial" w:hAnsi="Arial" w:cs="Arial"/>
          <w:lang w:val="en-GB"/>
        </w:rPr>
        <w:t>change according to the questions</w:t>
      </w:r>
      <w:r w:rsidR="0032309C">
        <w:rPr>
          <w:rFonts w:ascii="Arial" w:hAnsi="Arial" w:cs="Arial"/>
          <w:lang w:val="en-GB"/>
        </w:rPr>
        <w:t>):</w:t>
      </w:r>
      <w:r w:rsidR="001D3C5D">
        <w:rPr>
          <w:rFonts w:ascii="Arial" w:hAnsi="Arial" w:cs="Arial"/>
          <w:lang w:val="en-GB"/>
        </w:rPr>
        <w:t xml:space="preserve"> </w:t>
      </w:r>
    </w:p>
    <w:p w14:paraId="5D36B012" w14:textId="160D89B8"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1 = Totally agree/ Very important</w:t>
      </w:r>
    </w:p>
    <w:p w14:paraId="7C1A3579" w14:textId="087F14FC"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2 = Tend to agree/ Fairly important</w:t>
      </w:r>
    </w:p>
    <w:p w14:paraId="0D5908B5" w14:textId="0E54B388"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3 = Tend to disagree/ Not very important</w:t>
      </w:r>
    </w:p>
    <w:p w14:paraId="5AA68C39" w14:textId="2498FE5F" w:rsidR="001D3C5D" w:rsidRPr="00ED5BF2"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4 = Totally disagree/ Not at all important</w:t>
      </w:r>
    </w:p>
    <w:p w14:paraId="7D1E6D98" w14:textId="77777777" w:rsidR="0038437B" w:rsidRPr="00ED5BF2" w:rsidRDefault="0038437B" w:rsidP="00E4483A">
      <w:pPr>
        <w:pStyle w:val="Default"/>
        <w:spacing w:line="360" w:lineRule="auto"/>
        <w:jc w:val="both"/>
        <w:rPr>
          <w:rFonts w:ascii="Arial" w:hAnsi="Arial" w:cs="Arial"/>
          <w:sz w:val="22"/>
          <w:szCs w:val="22"/>
          <w:lang w:val="en-GB"/>
        </w:rPr>
      </w:pPr>
    </w:p>
    <w:p w14:paraId="04F6863A" w14:textId="117D50AB" w:rsidR="00131A34" w:rsidRDefault="00131A34" w:rsidP="00E4483A">
      <w:pPr>
        <w:spacing w:line="360" w:lineRule="auto"/>
        <w:jc w:val="both"/>
        <w:rPr>
          <w:rFonts w:ascii="Arial" w:hAnsi="Arial" w:cs="Arial"/>
          <w:lang w:val="en-GB"/>
        </w:rPr>
      </w:pPr>
      <w:r>
        <w:rPr>
          <w:rFonts w:ascii="Arial" w:hAnsi="Arial" w:cs="Arial"/>
          <w:lang w:val="en-GB"/>
        </w:rPr>
        <w:t xml:space="preserve">We assume that the distance that </w:t>
      </w:r>
      <w:r w:rsidRPr="00131A34">
        <w:rPr>
          <w:rFonts w:ascii="Arial" w:hAnsi="Arial" w:cs="Arial"/>
          <w:lang w:val="en-GB"/>
        </w:rPr>
        <w:t>the distance between 1 = “Totally agree” and 2 = “Tend to agree” is the same as 3 = “Not very important” and 4= “Tot at all important”.</w:t>
      </w:r>
      <w:r>
        <w:rPr>
          <w:rFonts w:ascii="Arial" w:hAnsi="Arial" w:cs="Arial"/>
          <w:lang w:val="en-GB"/>
        </w:rPr>
        <w:t xml:space="preserve"> In addition, </w:t>
      </w:r>
      <w:r w:rsidRPr="00131A34">
        <w:rPr>
          <w:rFonts w:ascii="Arial" w:hAnsi="Arial" w:cs="Arial"/>
          <w:lang w:val="en-GB"/>
        </w:rPr>
        <w:t xml:space="preserve">neutral/null </w:t>
      </w:r>
      <w:r>
        <w:rPr>
          <w:rFonts w:ascii="Arial" w:hAnsi="Arial" w:cs="Arial"/>
          <w:lang w:val="en-GB"/>
        </w:rPr>
        <w:t xml:space="preserve">answers (don’t know) are dropped from the analysis in order to guarantee the distance across categories. </w:t>
      </w:r>
    </w:p>
    <w:p w14:paraId="12BC4504" w14:textId="0CC537B3" w:rsidR="00FE67AC" w:rsidRPr="00C43052" w:rsidRDefault="00DF1C46" w:rsidP="00E4483A">
      <w:pPr>
        <w:spacing w:line="360" w:lineRule="auto"/>
        <w:jc w:val="both"/>
        <w:rPr>
          <w:rFonts w:ascii="Arial" w:hAnsi="Arial" w:cs="Arial"/>
          <w:lang w:val="en-GB"/>
        </w:rPr>
      </w:pPr>
      <w:r w:rsidRPr="00ED5BF2">
        <w:rPr>
          <w:rFonts w:ascii="Arial" w:hAnsi="Arial" w:cs="Arial"/>
          <w:lang w:val="en-GB"/>
        </w:rPr>
        <w:t>The purpose</w:t>
      </w:r>
      <w:r w:rsidR="00FA2DB4" w:rsidRPr="00ED5BF2">
        <w:rPr>
          <w:rFonts w:ascii="Arial" w:hAnsi="Arial" w:cs="Arial"/>
          <w:lang w:val="en-GB"/>
        </w:rPr>
        <w:t xml:space="preserve"> of this part of analysis</w:t>
      </w:r>
      <w:r w:rsidRPr="00ED5BF2">
        <w:rPr>
          <w:rFonts w:ascii="Arial" w:hAnsi="Arial" w:cs="Arial"/>
          <w:lang w:val="en-GB"/>
        </w:rPr>
        <w:t xml:space="preserve"> is</w:t>
      </w:r>
      <w:r w:rsidR="00FA2DB4" w:rsidRPr="00ED5BF2">
        <w:rPr>
          <w:rFonts w:ascii="Arial" w:hAnsi="Arial" w:cs="Arial"/>
          <w:lang w:val="en-GB"/>
        </w:rPr>
        <w:t xml:space="preserve"> </w:t>
      </w:r>
      <w:r w:rsidR="001E768F" w:rsidRPr="00ED5BF2">
        <w:rPr>
          <w:rFonts w:ascii="Arial" w:hAnsi="Arial" w:cs="Arial"/>
          <w:lang w:val="en-GB"/>
        </w:rPr>
        <w:t>to find some different types of citizens, called clusters</w:t>
      </w:r>
      <w:r w:rsidR="00FA2DB4" w:rsidRPr="00ED5BF2">
        <w:rPr>
          <w:rFonts w:ascii="Arial" w:hAnsi="Arial" w:cs="Arial"/>
          <w:lang w:val="en-GB"/>
        </w:rPr>
        <w:t xml:space="preserve"> or classes</w:t>
      </w:r>
      <w:r w:rsidR="001E768F" w:rsidRPr="00ED5BF2">
        <w:rPr>
          <w:rFonts w:ascii="Arial" w:hAnsi="Arial" w:cs="Arial"/>
          <w:lang w:val="en-GB"/>
        </w:rPr>
        <w:t xml:space="preserve">, that better describe the data used. In fact, through </w:t>
      </w:r>
      <w:r w:rsidR="00FA2DB4" w:rsidRPr="00ED5BF2">
        <w:rPr>
          <w:rFonts w:ascii="Arial" w:hAnsi="Arial" w:cs="Arial"/>
          <w:lang w:val="en-GB"/>
        </w:rPr>
        <w:t>these techniques</w:t>
      </w:r>
      <w:r w:rsidR="001E768F" w:rsidRPr="00C43052">
        <w:rPr>
          <w:rFonts w:ascii="Arial" w:hAnsi="Arial" w:cs="Arial"/>
          <w:lang w:val="en-GB"/>
        </w:rPr>
        <w:t xml:space="preserve"> some new segmentations of citizens could be identified and then they could help to find new explanations to the phenomenon studied.</w:t>
      </w:r>
      <w:r w:rsidR="00FA2DB4" w:rsidRPr="00C43052">
        <w:rPr>
          <w:rFonts w:ascii="Arial" w:hAnsi="Arial" w:cs="Arial"/>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schemas, </w:t>
      </w:r>
      <w:r w:rsidR="007D0AC9" w:rsidRPr="00C43052">
        <w:rPr>
          <w:rFonts w:ascii="Arial" w:hAnsi="Arial" w:cs="Arial"/>
          <w:lang w:val="en-GB"/>
        </w:rPr>
        <w:t xml:space="preserve">structure of thought. </w:t>
      </w:r>
      <w:r w:rsidR="00FE67AC" w:rsidRPr="00C43052">
        <w:rPr>
          <w:rFonts w:ascii="Arial" w:hAnsi="Arial" w:cs="Arial"/>
          <w:lang w:val="en-GB"/>
        </w:rPr>
        <w:t xml:space="preserve">Eventually, the classes obtained from k-means clustering and </w:t>
      </w:r>
      <w:r w:rsidR="00FE67AC" w:rsidRPr="00C43052">
        <w:rPr>
          <w:rFonts w:ascii="Arial" w:hAnsi="Arial" w:cs="Arial"/>
          <w:lang w:val="en-GB"/>
        </w:rPr>
        <w:lastRenderedPageBreak/>
        <w:t>correlational class analysis are used as predictors in the subsequent classification</w:t>
      </w:r>
      <w:r w:rsidR="009A5761" w:rsidRPr="00C43052">
        <w:rPr>
          <w:rFonts w:ascii="Arial" w:hAnsi="Arial" w:cs="Arial"/>
          <w:lang w:val="en-GB"/>
        </w:rPr>
        <w:t>s</w:t>
      </w:r>
      <w:r w:rsidR="00FE67AC" w:rsidRPr="00C43052">
        <w:rPr>
          <w:rFonts w:ascii="Arial" w:hAnsi="Arial" w:cs="Arial"/>
          <w:lang w:val="en-GB"/>
        </w:rPr>
        <w:t>.</w:t>
      </w:r>
    </w:p>
    <w:p w14:paraId="62888175" w14:textId="2FDC6F4F" w:rsidR="00B12452" w:rsidRPr="00C43052" w:rsidRDefault="00B12452" w:rsidP="00E4483A">
      <w:pPr>
        <w:spacing w:line="360" w:lineRule="auto"/>
        <w:jc w:val="both"/>
        <w:rPr>
          <w:rFonts w:ascii="Arial" w:hAnsi="Arial" w:cs="Arial"/>
          <w:lang w:val="en-GB"/>
        </w:rPr>
      </w:pPr>
      <w:r w:rsidRPr="00C43052">
        <w:rPr>
          <w:rFonts w:ascii="Arial" w:hAnsi="Arial" w:cs="Arial"/>
          <w:lang w:val="en-GB"/>
        </w:rPr>
        <w:t>The second set of methods focuses on prediction climate change pro-environment using different types of supervised learning techniques</w:t>
      </w:r>
      <w:r w:rsidR="00D0694D" w:rsidRPr="00C43052">
        <w:rPr>
          <w:rFonts w:ascii="Arial" w:hAnsi="Arial" w:cs="Arial"/>
          <w:lang w:val="en-GB"/>
        </w:rPr>
        <w:t xml:space="preserve"> and classifiers. In fact,</w:t>
      </w:r>
      <w:r w:rsidR="0093512A" w:rsidRPr="00C43052">
        <w:rPr>
          <w:rFonts w:ascii="Arial" w:hAnsi="Arial" w:cs="Arial"/>
          <w:lang w:val="en-GB"/>
        </w:rPr>
        <w:t xml:space="preserve"> classification </w:t>
      </w:r>
      <w:r w:rsidR="00D0694D" w:rsidRPr="00C43052">
        <w:rPr>
          <w:rFonts w:ascii="Arial" w:hAnsi="Arial" w:cs="Arial"/>
          <w:lang w:val="en-GB"/>
        </w:rPr>
        <w:t>is used when</w:t>
      </w:r>
      <w:r w:rsidR="0093512A" w:rsidRPr="00C43052">
        <w:rPr>
          <w:rFonts w:ascii="Arial" w:hAnsi="Arial" w:cs="Arial"/>
          <w:lang w:val="en-GB"/>
        </w:rPr>
        <w:t xml:space="preserve"> a</w:t>
      </w:r>
      <w:r w:rsidR="00D0694D" w:rsidRPr="00C43052">
        <w:rPr>
          <w:rFonts w:ascii="Arial" w:hAnsi="Arial" w:cs="Arial"/>
          <w:lang w:val="en-GB"/>
        </w:rPr>
        <w:t xml:space="preserve"> c</w:t>
      </w:r>
      <w:r w:rsidRPr="00C43052">
        <w:rPr>
          <w:rFonts w:ascii="Arial" w:hAnsi="Arial" w:cs="Arial"/>
          <w:lang w:val="en-GB"/>
        </w:rPr>
        <w:t>ategorical variabl</w:t>
      </w:r>
      <w:r w:rsidR="00D0694D" w:rsidRPr="00C43052">
        <w:rPr>
          <w:rFonts w:ascii="Arial" w:hAnsi="Arial" w:cs="Arial"/>
          <w:lang w:val="en-GB"/>
        </w:rPr>
        <w:t>e  is predicted</w:t>
      </w:r>
      <w:r w:rsidRPr="00C43052">
        <w:rPr>
          <w:rFonts w:ascii="Arial" w:hAnsi="Arial" w:cs="Arial"/>
          <w:lang w:val="en-GB"/>
        </w:rPr>
        <w:t xml:space="preserve"> </w:t>
      </w:r>
      <w:r w:rsidR="00305F7D"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C43052">
        <w:rPr>
          <w:rFonts w:ascii="Arial" w:hAnsi="Arial" w:cs="Arial"/>
          <w:lang w:val="en-GB"/>
        </w:rPr>
        <w:fldChar w:fldCharType="separate"/>
      </w:r>
      <w:r w:rsidR="00305F7D" w:rsidRPr="00C43052">
        <w:rPr>
          <w:rFonts w:ascii="Arial" w:hAnsi="Arial" w:cs="Arial"/>
          <w:lang w:val="en-GB"/>
        </w:rPr>
        <w:t>(James et al., 2013</w:t>
      </w:r>
      <w:r w:rsidR="00D0694D" w:rsidRPr="00C43052">
        <w:rPr>
          <w:rFonts w:ascii="Arial" w:hAnsi="Arial" w:cs="Arial"/>
          <w:lang w:val="en-GB"/>
        </w:rPr>
        <w:t>).</w:t>
      </w:r>
      <w:r w:rsidR="00305F7D" w:rsidRPr="00C43052">
        <w:rPr>
          <w:rFonts w:ascii="Arial" w:hAnsi="Arial" w:cs="Arial"/>
          <w:lang w:val="en-GB"/>
        </w:rPr>
        <w:fldChar w:fldCharType="end"/>
      </w:r>
      <w:r w:rsidR="00D0694D" w:rsidRPr="00C43052">
        <w:rPr>
          <w:rFonts w:ascii="Arial" w:hAnsi="Arial" w:cs="Arial"/>
          <w:lang w:val="en-GB"/>
        </w:rPr>
        <w:t xml:space="preserve"> </w:t>
      </w:r>
      <w:r w:rsidR="0093512A" w:rsidRPr="00C43052">
        <w:rPr>
          <w:rFonts w:ascii="Arial" w:hAnsi="Arial" w:cs="Arial"/>
          <w:lang w:val="en-GB"/>
        </w:rPr>
        <w:t xml:space="preserve">“The methods used for classification first predict the probability of each of the categories of a qualitative variable” </w:t>
      </w:r>
      <w:r w:rsidR="0093512A"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C43052">
        <w:rPr>
          <w:rFonts w:ascii="Arial" w:hAnsi="Arial" w:cs="Arial"/>
          <w:lang w:val="en-GB"/>
        </w:rPr>
        <w:fldChar w:fldCharType="separate"/>
      </w:r>
      <w:r w:rsidR="0093512A" w:rsidRPr="00C43052">
        <w:rPr>
          <w:rFonts w:ascii="Arial" w:hAnsi="Arial" w:cs="Arial"/>
          <w:lang w:val="en-GB"/>
        </w:rPr>
        <w:t>(James et al., 2013, p. 127)</w:t>
      </w:r>
      <w:r w:rsidR="0093512A" w:rsidRPr="00C43052">
        <w:rPr>
          <w:rFonts w:ascii="Arial" w:hAnsi="Arial" w:cs="Arial"/>
          <w:lang w:val="en-GB"/>
        </w:rPr>
        <w:fldChar w:fldCharType="end"/>
      </w:r>
      <w:r w:rsidR="0093512A" w:rsidRPr="00C43052">
        <w:rPr>
          <w:rFonts w:ascii="Arial" w:hAnsi="Arial" w:cs="Arial"/>
          <w:lang w:val="en-GB"/>
        </w:rPr>
        <w:t>.</w:t>
      </w:r>
      <w:r w:rsidR="005743CE" w:rsidRPr="00C43052">
        <w:rPr>
          <w:rFonts w:ascii="Arial" w:hAnsi="Arial" w:cs="Arial"/>
          <w:lang w:val="en-GB"/>
        </w:rPr>
        <w:t xml:space="preserve"> </w:t>
      </w:r>
    </w:p>
    <w:p w14:paraId="22145195" w14:textId="77777777" w:rsidR="0093512A" w:rsidRPr="00C43052" w:rsidRDefault="00D0694D" w:rsidP="00E4483A">
      <w:pPr>
        <w:spacing w:line="360" w:lineRule="auto"/>
        <w:jc w:val="both"/>
        <w:rPr>
          <w:rFonts w:ascii="Arial" w:hAnsi="Arial" w:cs="Arial"/>
          <w:lang w:val="en-GB"/>
        </w:rPr>
      </w:pPr>
      <w:r w:rsidRPr="00C43052">
        <w:rPr>
          <w:rFonts w:ascii="Arial" w:hAnsi="Arial" w:cs="Arial"/>
          <w:lang w:val="en-GB"/>
        </w:rPr>
        <w:t xml:space="preserve">The different </w:t>
      </w:r>
      <w:r w:rsidR="0093512A" w:rsidRPr="00C43052">
        <w:rPr>
          <w:rFonts w:ascii="Arial" w:hAnsi="Arial" w:cs="Arial"/>
          <w:lang w:val="en-GB"/>
        </w:rPr>
        <w:t>techniques of classifiers</w:t>
      </w:r>
      <w:r w:rsidRPr="00C43052">
        <w:rPr>
          <w:rFonts w:ascii="Arial" w:hAnsi="Arial" w:cs="Arial"/>
          <w:lang w:val="en-GB"/>
        </w:rPr>
        <w:t xml:space="preserve"> are briefly presented as follow.</w:t>
      </w:r>
    </w:p>
    <w:p w14:paraId="5387DBA8" w14:textId="5EB61ED0" w:rsidR="0093512A" w:rsidRPr="00C43052" w:rsidRDefault="0097062D" w:rsidP="00E4483A">
      <w:pPr>
        <w:spacing w:line="360" w:lineRule="auto"/>
        <w:jc w:val="both"/>
        <w:rPr>
          <w:rFonts w:ascii="Arial" w:hAnsi="Arial" w:cs="Arial"/>
          <w:lang w:val="en-GB"/>
        </w:rPr>
      </w:pPr>
      <w:r w:rsidRPr="00C43052">
        <w:rPr>
          <w:rFonts w:ascii="Arial" w:hAnsi="Arial" w:cs="Arial"/>
          <w:lang w:val="en-GB"/>
        </w:rPr>
        <w:t>The action prediction starts with a L</w:t>
      </w:r>
      <w:r w:rsidR="00D0694D" w:rsidRPr="00C43052">
        <w:rPr>
          <w:rFonts w:ascii="Arial" w:hAnsi="Arial" w:cs="Arial"/>
          <w:lang w:val="en-GB"/>
        </w:rPr>
        <w:t>ogistic Regression</w:t>
      </w:r>
      <w:r w:rsidRPr="00C43052">
        <w:rPr>
          <w:rFonts w:ascii="Arial" w:hAnsi="Arial" w:cs="Arial"/>
          <w:lang w:val="en-GB"/>
        </w:rPr>
        <w:t>. It is a form of binary regression</w:t>
      </w:r>
      <w:r w:rsidR="005743CE" w:rsidRPr="00C43052">
        <w:rPr>
          <w:rFonts w:ascii="Arial" w:hAnsi="Arial" w:cs="Arial"/>
          <w:lang w:val="en-GB"/>
        </w:rPr>
        <w:t xml:space="preserve"> and it explains relationships between a categorical outcome and some continuous or discrete predictors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w:t>
      </w:r>
      <w:r w:rsidR="005743CE" w:rsidRPr="00C43052">
        <w:rPr>
          <w:rFonts w:ascii="Arial" w:hAnsi="Arial" w:cs="Arial"/>
          <w:lang w:val="en-GB"/>
        </w:rPr>
        <w:fldChar w:fldCharType="end"/>
      </w:r>
      <w:r w:rsidR="005743CE" w:rsidRPr="00C43052">
        <w:rPr>
          <w:rFonts w:ascii="Arial" w:hAnsi="Arial" w:cs="Arial"/>
          <w:lang w:val="en-GB"/>
        </w:rPr>
        <w:t xml:space="preserve">. It models the probability of being to a particular category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 Stoltzfus, 2011)</w:t>
      </w:r>
      <w:r w:rsidR="005743CE" w:rsidRPr="00C43052">
        <w:rPr>
          <w:rFonts w:ascii="Arial" w:hAnsi="Arial" w:cs="Arial"/>
          <w:lang w:val="en-GB"/>
        </w:rPr>
        <w:fldChar w:fldCharType="end"/>
      </w:r>
      <w:r w:rsidR="005743CE" w:rsidRPr="00C43052">
        <w:rPr>
          <w:rFonts w:ascii="Arial" w:hAnsi="Arial" w:cs="Arial"/>
          <w:lang w:val="en-GB"/>
        </w:rPr>
        <w:t>.</w:t>
      </w:r>
    </w:p>
    <w:p w14:paraId="7FE55C7C" w14:textId="34AF2C35" w:rsidR="0097062D" w:rsidRPr="00C43052" w:rsidRDefault="0097062D" w:rsidP="00E4483A">
      <w:pPr>
        <w:spacing w:line="360" w:lineRule="auto"/>
        <w:jc w:val="both"/>
        <w:rPr>
          <w:rFonts w:ascii="Arial" w:hAnsi="Arial" w:cs="Arial"/>
          <w:lang w:val="en-GB"/>
        </w:rPr>
      </w:pPr>
      <w:r w:rsidRPr="00C43052">
        <w:rPr>
          <w:rFonts w:ascii="Arial" w:hAnsi="Arial" w:cs="Arial"/>
          <w:lang w:val="en-GB"/>
        </w:rPr>
        <w:t>Th</w:t>
      </w:r>
      <w:r w:rsidR="005743CE" w:rsidRPr="00C43052">
        <w:rPr>
          <w:rFonts w:ascii="Arial" w:hAnsi="Arial" w:cs="Arial"/>
          <w:lang w:val="en-GB"/>
        </w:rPr>
        <w:t xml:space="preserve">e model requires some assumptions: </w:t>
      </w:r>
    </w:p>
    <w:p w14:paraId="3F3FB303" w14:textId="318C44E8" w:rsidR="005743CE"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independence of errors;</w:t>
      </w:r>
    </w:p>
    <w:p w14:paraId="527BC172" w14:textId="331AC74E"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linearity in the logit for continuous independent variables;</w:t>
      </w:r>
    </w:p>
    <w:p w14:paraId="28DAD911" w14:textId="4405796D"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the absence of multicollinearity among explanatory variables;</w:t>
      </w:r>
    </w:p>
    <w:p w14:paraId="5BE4D5AC" w14:textId="7257D917"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the absence of extreme outliers</w:t>
      </w:r>
    </w:p>
    <w:p w14:paraId="587E888A" w14:textId="6E06E498" w:rsidR="000967E8" w:rsidRPr="00C43052" w:rsidRDefault="000967E8" w:rsidP="00E4483A">
      <w:pPr>
        <w:spacing w:line="360" w:lineRule="auto"/>
        <w:ind w:left="360"/>
        <w:jc w:val="both"/>
        <w:rPr>
          <w:rFonts w:ascii="Arial" w:hAnsi="Arial" w:cs="Arial"/>
          <w:lang w:val="en-GB"/>
        </w:rPr>
      </w:pPr>
      <w:r w:rsidRPr="00C43052">
        <w:rPr>
          <w:rFonts w:ascii="Arial" w:hAnsi="Arial" w:cs="Arial"/>
          <w:lang w:val="en-GB"/>
        </w:rPr>
        <w:fldChar w:fldCharType="begin"/>
      </w:r>
      <w:r w:rsidRPr="00C43052">
        <w:rPr>
          <w:rFonts w:ascii="Arial" w:hAnsi="Arial" w:cs="Arial"/>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C43052">
        <w:rPr>
          <w:rFonts w:ascii="Arial" w:hAnsi="Arial" w:cs="Arial"/>
          <w:lang w:val="en-GB"/>
        </w:rPr>
        <w:fldChar w:fldCharType="separate"/>
      </w:r>
      <w:r w:rsidRPr="00C43052">
        <w:rPr>
          <w:rFonts w:ascii="Arial" w:hAnsi="Arial" w:cs="Arial"/>
          <w:lang w:val="en-GB"/>
        </w:rPr>
        <w:t>(Stoltzfus, 2011)</w:t>
      </w:r>
      <w:r w:rsidRPr="00C43052">
        <w:rPr>
          <w:rFonts w:ascii="Arial" w:hAnsi="Arial" w:cs="Arial"/>
          <w:lang w:val="en-GB"/>
        </w:rPr>
        <w:fldChar w:fldCharType="end"/>
      </w:r>
    </w:p>
    <w:p w14:paraId="3C9AE2FA" w14:textId="77777777" w:rsidR="0097062D" w:rsidRPr="00C43052" w:rsidRDefault="0097062D" w:rsidP="00E4483A">
      <w:pPr>
        <w:spacing w:line="360" w:lineRule="auto"/>
        <w:jc w:val="both"/>
        <w:rPr>
          <w:rFonts w:ascii="Arial" w:hAnsi="Arial" w:cs="Arial"/>
          <w:lang w:val="en-GB"/>
        </w:rPr>
      </w:pPr>
    </w:p>
    <w:p w14:paraId="682D504A" w14:textId="4100C1D9" w:rsidR="0093512A" w:rsidRPr="00C43052" w:rsidRDefault="00A909A9" w:rsidP="00E4483A">
      <w:pPr>
        <w:spacing w:line="360" w:lineRule="auto"/>
        <w:jc w:val="both"/>
        <w:rPr>
          <w:rFonts w:ascii="Arial" w:hAnsi="Arial" w:cs="Arial"/>
          <w:lang w:val="en-GB"/>
        </w:rPr>
      </w:pPr>
      <w:r w:rsidRPr="00C43052">
        <w:rPr>
          <w:rFonts w:ascii="Arial" w:hAnsi="Arial" w:cs="Arial"/>
          <w:lang w:val="en-GB"/>
        </w:rPr>
        <w:t xml:space="preserve">However, some assumptions are violated. In fact, there is no present linearity in the logit for age variable. In addition, some outliers are found in climate change risk perception, but they </w:t>
      </w:r>
      <w:r w:rsidRPr="00C43052">
        <w:rPr>
          <w:rFonts w:ascii="Arial" w:hAnsi="Arial" w:cs="Arial"/>
          <w:highlight w:val="yellow"/>
          <w:lang w:val="en-GB"/>
        </w:rPr>
        <w:t>are not so far away from the rest of the value.</w:t>
      </w:r>
      <w:r w:rsidRPr="00C43052">
        <w:rPr>
          <w:rFonts w:ascii="Arial" w:hAnsi="Arial" w:cs="Arial"/>
          <w:lang w:val="en-GB"/>
        </w:rPr>
        <w:t xml:space="preserve"> </w:t>
      </w:r>
    </w:p>
    <w:p w14:paraId="679886AF" w14:textId="01A781AA" w:rsidR="00E64BE0" w:rsidRPr="00C43052" w:rsidRDefault="00855BB3" w:rsidP="00E4483A">
      <w:pPr>
        <w:spacing w:line="360" w:lineRule="auto"/>
        <w:jc w:val="both"/>
        <w:rPr>
          <w:rFonts w:ascii="Arial" w:hAnsi="Arial" w:cs="Arial"/>
          <w:lang w:val="en-GB"/>
        </w:rPr>
      </w:pPr>
      <w:r w:rsidRPr="00C43052">
        <w:rPr>
          <w:rFonts w:ascii="Arial" w:hAnsi="Arial" w:cs="Arial"/>
          <w:lang w:val="en-GB"/>
        </w:rPr>
        <w:t>In spite of the robustness of the logistic regression models,</w:t>
      </w:r>
      <w:r w:rsidR="00CE4AA1" w:rsidRPr="00C43052">
        <w:rPr>
          <w:rFonts w:ascii="Arial" w:hAnsi="Arial" w:cs="Arial"/>
          <w:lang w:val="en-GB"/>
        </w:rPr>
        <w:t xml:space="preserve"> data cannot fully satisfy the assumptions, </w:t>
      </w:r>
      <w:r w:rsidRPr="00C43052">
        <w:rPr>
          <w:rFonts w:ascii="Arial" w:hAnsi="Arial" w:cs="Arial"/>
          <w:lang w:val="en-GB"/>
        </w:rPr>
        <w:t>also decision tree models are fitted.</w:t>
      </w:r>
      <w:r w:rsidR="00CE4AA1" w:rsidRPr="00C43052">
        <w:rPr>
          <w:rFonts w:ascii="Arial" w:hAnsi="Arial" w:cs="Arial"/>
          <w:lang w:val="en-GB"/>
        </w:rPr>
        <w:t xml:space="preserve"> </w:t>
      </w:r>
      <w:r w:rsidR="00E64BE0" w:rsidRPr="00C43052">
        <w:rPr>
          <w:rFonts w:ascii="Arial" w:hAnsi="Arial" w:cs="Arial"/>
          <w:lang w:val="en-GB"/>
        </w:rPr>
        <w:t>Decision Tree</w:t>
      </w:r>
      <w:r w:rsidR="00CE4AA1" w:rsidRPr="00C43052">
        <w:rPr>
          <w:rFonts w:ascii="Arial" w:hAnsi="Arial" w:cs="Arial"/>
          <w:lang w:val="en-GB"/>
        </w:rPr>
        <w:t xml:space="preserve"> is a </w:t>
      </w:r>
      <w:r w:rsidR="00C417CF" w:rsidRPr="00C43052">
        <w:rPr>
          <w:rFonts w:ascii="Arial" w:hAnsi="Arial" w:cs="Arial"/>
          <w:lang w:val="en-GB"/>
        </w:rPr>
        <w:t>“</w:t>
      </w:r>
      <w:r w:rsidR="00CE4AA1" w:rsidRPr="00C43052">
        <w:rPr>
          <w:rFonts w:ascii="Arial" w:hAnsi="Arial" w:cs="Arial"/>
          <w:lang w:val="en-GB"/>
        </w:rPr>
        <w:t>flow-chart-like hierarchical tree structure</w:t>
      </w:r>
      <w:r w:rsidR="00C417CF" w:rsidRPr="00C43052">
        <w:rPr>
          <w:rFonts w:ascii="Arial" w:hAnsi="Arial" w:cs="Arial"/>
          <w:lang w:val="en-GB"/>
        </w:rPr>
        <w:t>”</w:t>
      </w:r>
      <w:r w:rsidR="00CE4AA1" w:rsidRPr="00C43052">
        <w:rPr>
          <w:rFonts w:ascii="Arial" w:hAnsi="Arial" w:cs="Arial"/>
          <w:lang w:val="en-GB"/>
        </w:rPr>
        <w:t xml:space="preserve"> </w:t>
      </w:r>
      <w:r w:rsidR="00CE4AA1"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C43052">
        <w:rPr>
          <w:rFonts w:ascii="Arial" w:hAnsi="Arial" w:cs="Arial"/>
          <w:lang w:val="en-GB"/>
        </w:rPr>
        <w:fldChar w:fldCharType="separate"/>
      </w:r>
      <w:r w:rsidR="00CE4AA1" w:rsidRPr="00C43052">
        <w:rPr>
          <w:rFonts w:ascii="Arial" w:hAnsi="Arial" w:cs="Arial"/>
          <w:lang w:val="en-GB"/>
        </w:rPr>
        <w:t>(Jenhani et al., 2008, p.</w:t>
      </w:r>
      <w:r w:rsidR="00C417CF" w:rsidRPr="00C43052">
        <w:rPr>
          <w:rFonts w:ascii="Arial" w:hAnsi="Arial" w:cs="Arial"/>
          <w:lang w:val="en-GB"/>
        </w:rPr>
        <w:t xml:space="preserve"> 786</w:t>
      </w:r>
      <w:r w:rsidR="00CE4AA1" w:rsidRPr="00C43052">
        <w:rPr>
          <w:rFonts w:ascii="Arial" w:hAnsi="Arial" w:cs="Arial"/>
          <w:lang w:val="en-GB"/>
        </w:rPr>
        <w:t>)</w:t>
      </w:r>
      <w:r w:rsidR="00CE4AA1" w:rsidRPr="00C43052">
        <w:rPr>
          <w:rFonts w:ascii="Arial" w:hAnsi="Arial" w:cs="Arial"/>
          <w:lang w:val="en-GB"/>
        </w:rPr>
        <w:fldChar w:fldCharType="end"/>
      </w:r>
      <w:r w:rsidR="00C417CF" w:rsidRPr="00C43052">
        <w:rPr>
          <w:rFonts w:ascii="Arial" w:hAnsi="Arial" w:cs="Arial"/>
          <w:lang w:val="en-GB"/>
        </w:rPr>
        <w:t xml:space="preserve"> and it is composed of three elements: nodes, edges and leaves. Nodes represent attributes or variables, </w:t>
      </w:r>
      <w:r w:rsidR="00C417CF" w:rsidRPr="00C43052">
        <w:rPr>
          <w:rFonts w:ascii="Arial" w:hAnsi="Arial" w:cs="Arial"/>
          <w:highlight w:val="yellow"/>
          <w:lang w:val="en-GB"/>
        </w:rPr>
        <w:t>edges correspond to the different possible attribute values</w:t>
      </w:r>
      <w:r w:rsidR="00C417CF" w:rsidRPr="00C43052">
        <w:rPr>
          <w:rFonts w:ascii="Arial" w:hAnsi="Arial" w:cs="Arial"/>
          <w:lang w:val="en-GB"/>
        </w:rPr>
        <w:t xml:space="preserve"> and lastly leaves include </w:t>
      </w:r>
      <w:r w:rsidR="00C417CF" w:rsidRPr="00C43052">
        <w:rPr>
          <w:rFonts w:ascii="Arial" w:hAnsi="Arial" w:cs="Arial"/>
          <w:highlight w:val="yellow"/>
          <w:lang w:val="en-GB"/>
        </w:rPr>
        <w:t>objects that typically belong to the same class or that are very similar</w:t>
      </w:r>
      <w:r w:rsidR="00AA6A0D" w:rsidRPr="00C43052">
        <w:rPr>
          <w:rFonts w:ascii="Arial" w:hAnsi="Arial" w:cs="Arial"/>
          <w:highlight w:val="yellow"/>
          <w:lang w:val="en-GB"/>
        </w:rPr>
        <w:t xml:space="preserve"> </w:t>
      </w:r>
      <w:r w:rsidR="00AA6A0D" w:rsidRPr="00C43052">
        <w:rPr>
          <w:rFonts w:ascii="Arial" w:hAnsi="Arial" w:cs="Arial"/>
          <w:highlight w:val="yellow"/>
          <w:lang w:val="en-GB"/>
        </w:rPr>
        <w:fldChar w:fldCharType="begin"/>
      </w:r>
      <w:r w:rsidR="00AA6A0D" w:rsidRPr="00C43052">
        <w:rPr>
          <w:rFonts w:ascii="Arial" w:hAnsi="Arial" w:cs="Arial"/>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C43052">
        <w:rPr>
          <w:rFonts w:ascii="Arial" w:hAnsi="Arial" w:cs="Arial"/>
          <w:highlight w:val="yellow"/>
          <w:lang w:val="en-GB"/>
        </w:rPr>
        <w:fldChar w:fldCharType="separate"/>
      </w:r>
      <w:r w:rsidR="00AA6A0D" w:rsidRPr="00C43052">
        <w:rPr>
          <w:rFonts w:ascii="Arial" w:hAnsi="Arial" w:cs="Arial"/>
          <w:highlight w:val="yellow"/>
          <w:lang w:val="en-GB"/>
        </w:rPr>
        <w:t>(Jenhani et al., 2008)</w:t>
      </w:r>
      <w:r w:rsidR="00AA6A0D" w:rsidRPr="00C43052">
        <w:rPr>
          <w:rFonts w:ascii="Arial" w:hAnsi="Arial" w:cs="Arial"/>
          <w:highlight w:val="yellow"/>
          <w:lang w:val="en-GB"/>
        </w:rPr>
        <w:fldChar w:fldCharType="end"/>
      </w:r>
      <w:r w:rsidR="00C417CF" w:rsidRPr="00C43052">
        <w:rPr>
          <w:rFonts w:ascii="Arial" w:hAnsi="Arial" w:cs="Arial"/>
          <w:highlight w:val="yellow"/>
          <w:lang w:val="en-GB"/>
        </w:rPr>
        <w:t>.</w:t>
      </w:r>
      <w:r w:rsidR="00C417CF" w:rsidRPr="00C43052">
        <w:rPr>
          <w:rFonts w:ascii="Arial" w:hAnsi="Arial" w:cs="Arial"/>
          <w:lang w:val="en-GB"/>
        </w:rPr>
        <w:t xml:space="preserve"> The main advantages of decision tree are that it has </w:t>
      </w:r>
      <w:r w:rsidR="00C417CF" w:rsidRPr="00C43052">
        <w:rPr>
          <w:rFonts w:ascii="Arial" w:hAnsi="Arial" w:cs="Arial"/>
          <w:lang w:val="en-GB"/>
        </w:rPr>
        <w:lastRenderedPageBreak/>
        <w:t xml:space="preserve">not assumptions and especially it produces graphical representation, which make it easier to read and to interpret the model. </w:t>
      </w:r>
    </w:p>
    <w:p w14:paraId="2FC8039C" w14:textId="1EBCE63A" w:rsidR="00AA6A0D" w:rsidRPr="00C43052" w:rsidRDefault="00AA6A0D" w:rsidP="00E4483A">
      <w:pPr>
        <w:spacing w:line="360" w:lineRule="auto"/>
        <w:jc w:val="both"/>
        <w:rPr>
          <w:rFonts w:ascii="Arial" w:hAnsi="Arial" w:cs="Arial"/>
          <w:lang w:val="en-GB"/>
        </w:rPr>
      </w:pPr>
      <w:r w:rsidRPr="00C43052">
        <w:rPr>
          <w:rFonts w:ascii="Arial" w:hAnsi="Arial" w:cs="Arial"/>
          <w:lang w:val="en-GB"/>
        </w:rPr>
        <w:t xml:space="preserve">The analysis continues with another robust model: Random Forest, which is </w:t>
      </w:r>
      <w:r w:rsidR="00F52875" w:rsidRPr="00C43052">
        <w:rPr>
          <w:rFonts w:ascii="Arial" w:hAnsi="Arial" w:cs="Arial"/>
          <w:lang w:val="en-GB"/>
        </w:rPr>
        <w:t>produces</w:t>
      </w:r>
      <w:r w:rsidRPr="00C43052">
        <w:rPr>
          <w:rFonts w:ascii="Arial" w:hAnsi="Arial" w:cs="Arial"/>
          <w:lang w:val="en-GB"/>
        </w:rPr>
        <w:t xml:space="preserve"> </w:t>
      </w:r>
      <w:r w:rsidRPr="00C43052">
        <w:rPr>
          <w:rFonts w:ascii="Arial" w:hAnsi="Arial" w:cs="Arial"/>
          <w:highlight w:val="yellow"/>
          <w:lang w:val="en-GB"/>
        </w:rPr>
        <w:t xml:space="preserve">of </w:t>
      </w:r>
      <w:r w:rsidR="00D017A6" w:rsidRPr="00C43052">
        <w:rPr>
          <w:rFonts w:ascii="Arial" w:hAnsi="Arial" w:cs="Arial"/>
          <w:highlight w:val="yellow"/>
          <w:lang w:val="en-GB"/>
        </w:rPr>
        <w:t>multiple</w:t>
      </w:r>
      <w:r w:rsidRPr="00C43052">
        <w:rPr>
          <w:rFonts w:ascii="Arial" w:hAnsi="Arial" w:cs="Arial"/>
          <w:highlight w:val="yellow"/>
          <w:lang w:val="en-GB"/>
        </w:rPr>
        <w:t xml:space="preserve"> and randomized decision trees that operate as an ensemble </w:t>
      </w:r>
      <w:r w:rsidRPr="00C43052">
        <w:rPr>
          <w:rFonts w:ascii="Arial" w:hAnsi="Arial" w:cs="Arial"/>
          <w:highlight w:val="yellow"/>
          <w:lang w:val="en-GB"/>
        </w:rPr>
        <w:fldChar w:fldCharType="begin"/>
      </w:r>
      <w:r w:rsidR="00F52875" w:rsidRPr="00C43052">
        <w:rPr>
          <w:rFonts w:ascii="Arial" w:hAnsi="Arial" w:cs="Arial"/>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C43052">
        <w:rPr>
          <w:rFonts w:ascii="Arial" w:hAnsi="Arial" w:cs="Arial"/>
          <w:highlight w:val="yellow"/>
          <w:lang w:val="en-GB"/>
        </w:rPr>
        <w:fldChar w:fldCharType="separate"/>
      </w:r>
      <w:r w:rsidR="00F52875" w:rsidRPr="00C43052">
        <w:rPr>
          <w:rFonts w:ascii="Arial" w:hAnsi="Arial" w:cs="Arial"/>
          <w:highlight w:val="yellow"/>
          <w:lang w:val="en-GB"/>
        </w:rPr>
        <w:t>(Belgiu, 2016; Biau &amp; Scornet, 2016)</w:t>
      </w:r>
      <w:r w:rsidRPr="00C43052">
        <w:rPr>
          <w:rFonts w:ascii="Arial" w:hAnsi="Arial" w:cs="Arial"/>
          <w:highlight w:val="yellow"/>
          <w:lang w:val="en-GB"/>
        </w:rPr>
        <w:fldChar w:fldCharType="end"/>
      </w:r>
      <w:r w:rsidRPr="00C43052">
        <w:rPr>
          <w:rFonts w:ascii="Arial" w:hAnsi="Arial" w:cs="Arial"/>
          <w:highlight w:val="yellow"/>
          <w:lang w:val="en-GB"/>
        </w:rPr>
        <w:t>.</w:t>
      </w:r>
      <w:r w:rsidRPr="00C43052">
        <w:rPr>
          <w:rFonts w:ascii="Arial" w:hAnsi="Arial" w:cs="Arial"/>
          <w:lang w:val="en-GB"/>
        </w:rPr>
        <w:t xml:space="preserve"> </w:t>
      </w:r>
      <w:r w:rsidR="00564E15" w:rsidRPr="00C43052">
        <w:rPr>
          <w:rFonts w:ascii="Arial" w:hAnsi="Arial" w:cs="Arial"/>
          <w:lang w:val="en-GB"/>
        </w:rPr>
        <w:t>This</w:t>
      </w:r>
      <w:r w:rsidR="00261BDD" w:rsidRPr="00C43052">
        <w:rPr>
          <w:rFonts w:ascii="Arial" w:hAnsi="Arial" w:cs="Arial"/>
          <w:lang w:val="en-GB"/>
        </w:rPr>
        <w:t xml:space="preserve"> </w:t>
      </w:r>
      <w:r w:rsidR="00564E15" w:rsidRPr="00C43052">
        <w:rPr>
          <w:rFonts w:ascii="Arial" w:hAnsi="Arial" w:cs="Arial"/>
          <w:lang w:val="en-GB"/>
        </w:rPr>
        <w:t>classifier</w:t>
      </w:r>
      <w:r w:rsidR="00261BDD" w:rsidRPr="00C43052">
        <w:rPr>
          <w:rFonts w:ascii="Arial" w:hAnsi="Arial" w:cs="Arial"/>
          <w:lang w:val="en-GB"/>
        </w:rPr>
        <w:t xml:space="preserve"> “can successfully handle high data dimensionality and multicollinearity, being both fast and insensitive to overfitting” </w:t>
      </w:r>
      <w:r w:rsidR="00261BDD"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 p.24)</w:t>
      </w:r>
      <w:r w:rsidR="00261BDD" w:rsidRPr="00C43052">
        <w:rPr>
          <w:rFonts w:ascii="Arial" w:hAnsi="Arial" w:cs="Arial"/>
          <w:lang w:val="en-GB"/>
        </w:rPr>
        <w:fldChar w:fldCharType="end"/>
      </w:r>
      <w:r w:rsidR="00261BDD" w:rsidRPr="00C43052">
        <w:rPr>
          <w:rFonts w:ascii="Arial" w:hAnsi="Arial" w:cs="Arial"/>
          <w:lang w:val="en-GB"/>
        </w:rPr>
        <w:t xml:space="preserve">. Another advantage is that it can dealing with unbalanced data, as in this case </w:t>
      </w:r>
      <w:r w:rsidR="00261BDD" w:rsidRPr="00C43052">
        <w:rPr>
          <w:rFonts w:ascii="Arial" w:hAnsi="Arial" w:cs="Arial"/>
          <w:lang w:val="en-GB"/>
        </w:rPr>
        <w:fldChar w:fldCharType="begin"/>
      </w:r>
      <w:r w:rsidR="00261BDD" w:rsidRPr="00C43052">
        <w:rPr>
          <w:rFonts w:ascii="Arial" w:hAnsi="Arial" w:cs="Arial"/>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w:t>
      </w:r>
      <w:r w:rsidR="00261BDD" w:rsidRPr="00C43052">
        <w:rPr>
          <w:rFonts w:ascii="Arial" w:hAnsi="Arial" w:cs="Arial"/>
          <w:lang w:val="en-GB"/>
        </w:rPr>
        <w:fldChar w:fldCharType="end"/>
      </w:r>
      <w:r w:rsidR="00261BDD" w:rsidRPr="00C43052">
        <w:rPr>
          <w:rFonts w:ascii="Arial" w:hAnsi="Arial" w:cs="Arial"/>
          <w:lang w:val="en-GB"/>
        </w:rPr>
        <w:t>.</w:t>
      </w:r>
    </w:p>
    <w:p w14:paraId="33CE31BD" w14:textId="1A7FC550" w:rsidR="00D0694D" w:rsidRPr="00C43052" w:rsidRDefault="00D017A6" w:rsidP="00E4483A">
      <w:pPr>
        <w:spacing w:line="360" w:lineRule="auto"/>
        <w:jc w:val="both"/>
        <w:rPr>
          <w:rFonts w:ascii="Arial" w:hAnsi="Arial" w:cs="Arial"/>
          <w:lang w:val="en-GB"/>
        </w:rPr>
      </w:pPr>
      <w:r w:rsidRPr="00C43052">
        <w:rPr>
          <w:rFonts w:ascii="Arial" w:hAnsi="Arial" w:cs="Arial"/>
          <w:lang w:val="en-GB"/>
        </w:rPr>
        <w:t xml:space="preserve">The last classifier used is </w:t>
      </w:r>
      <w:r w:rsidR="00AA6A0D" w:rsidRPr="00C43052">
        <w:rPr>
          <w:rFonts w:ascii="Arial" w:hAnsi="Arial" w:cs="Arial"/>
          <w:lang w:val="en-GB"/>
        </w:rPr>
        <w:t>Gradient Boosting</w:t>
      </w:r>
      <w:r w:rsidRPr="00C43052">
        <w:rPr>
          <w:rFonts w:ascii="Arial" w:hAnsi="Arial" w:cs="Arial"/>
          <w:lang w:val="en-GB"/>
        </w:rPr>
        <w:t xml:space="preserve">. It </w:t>
      </w:r>
      <w:r w:rsidR="00AA6A0D" w:rsidRPr="00C43052">
        <w:rPr>
          <w:rFonts w:ascii="Arial" w:hAnsi="Arial" w:cs="Arial"/>
          <w:lang w:val="en-GB"/>
        </w:rPr>
        <w:t>is similar to</w:t>
      </w:r>
      <w:r w:rsidR="001115E4" w:rsidRPr="00C43052">
        <w:rPr>
          <w:rFonts w:ascii="Arial" w:hAnsi="Arial" w:cs="Arial"/>
          <w:lang w:val="en-GB"/>
        </w:rPr>
        <w:t xml:space="preserve"> random forest </w:t>
      </w:r>
      <w:r w:rsidR="00AA6A0D" w:rsidRPr="00C43052">
        <w:rPr>
          <w:rFonts w:ascii="Arial" w:hAnsi="Arial" w:cs="Arial"/>
          <w:lang w:val="en-GB"/>
        </w:rPr>
        <w:t>algorithm, but</w:t>
      </w:r>
      <w:r w:rsidR="001115E4" w:rsidRPr="00C43052">
        <w:rPr>
          <w:rFonts w:ascii="Arial" w:hAnsi="Arial" w:cs="Arial"/>
          <w:lang w:val="en-GB"/>
        </w:rPr>
        <w:t xml:space="preserve"> this case</w:t>
      </w:r>
      <w:r w:rsidR="00AA6A0D" w:rsidRPr="00C43052">
        <w:rPr>
          <w:rFonts w:ascii="Arial" w:hAnsi="Arial" w:cs="Arial"/>
          <w:lang w:val="en-GB"/>
        </w:rPr>
        <w:t xml:space="preserve"> each</w:t>
      </w:r>
      <w:r w:rsidRPr="00C43052">
        <w:rPr>
          <w:rFonts w:ascii="Arial" w:hAnsi="Arial" w:cs="Arial"/>
          <w:lang w:val="en-GB"/>
        </w:rPr>
        <w:t xml:space="preserve"> </w:t>
      </w:r>
      <w:r w:rsidR="00AA6A0D" w:rsidRPr="00C43052">
        <w:rPr>
          <w:rFonts w:ascii="Arial" w:hAnsi="Arial" w:cs="Arial"/>
          <w:lang w:val="en-GB"/>
        </w:rPr>
        <w:t xml:space="preserve">new tree is </w:t>
      </w:r>
      <w:r w:rsidR="001115E4" w:rsidRPr="00C43052">
        <w:rPr>
          <w:rFonts w:ascii="Arial" w:hAnsi="Arial" w:cs="Arial"/>
          <w:lang w:val="en-GB"/>
        </w:rPr>
        <w:t>been created using the previous ones</w:t>
      </w:r>
      <w:r w:rsidR="00AA6A0D" w:rsidRPr="00C43052">
        <w:rPr>
          <w:rFonts w:ascii="Arial" w:hAnsi="Arial" w:cs="Arial"/>
          <w:lang w:val="en-GB"/>
        </w:rPr>
        <w:t>, in</w:t>
      </w:r>
      <w:r w:rsidRPr="00C43052">
        <w:rPr>
          <w:rFonts w:ascii="Arial" w:hAnsi="Arial" w:cs="Arial"/>
          <w:lang w:val="en-GB"/>
        </w:rPr>
        <w:t xml:space="preserve"> </w:t>
      </w:r>
      <w:r w:rsidR="00AA6A0D" w:rsidRPr="00C43052">
        <w:rPr>
          <w:rFonts w:ascii="Arial" w:hAnsi="Arial" w:cs="Arial"/>
          <w:lang w:val="en-GB"/>
        </w:rPr>
        <w:t xml:space="preserve">order to </w:t>
      </w:r>
      <w:r w:rsidR="00A429DF" w:rsidRPr="00C43052">
        <w:rPr>
          <w:rFonts w:ascii="Arial" w:hAnsi="Arial" w:cs="Arial"/>
          <w:lang w:val="en-GB"/>
        </w:rPr>
        <w:t xml:space="preserve">correct mistakes made </w:t>
      </w:r>
      <w:r w:rsidR="001115E4" w:rsidRPr="00C43052">
        <w:rPr>
          <w:rFonts w:ascii="Arial" w:hAnsi="Arial" w:cs="Arial"/>
          <w:lang w:val="en-GB"/>
        </w:rPr>
        <w:fldChar w:fldCharType="begin"/>
      </w:r>
      <w:r w:rsidR="001115E4" w:rsidRPr="00C43052">
        <w:rPr>
          <w:rFonts w:ascii="Arial" w:hAnsi="Arial" w:cs="Arial"/>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C43052">
        <w:rPr>
          <w:rFonts w:ascii="Arial" w:hAnsi="Arial" w:cs="Arial"/>
          <w:lang w:val="en-GB"/>
        </w:rPr>
        <w:fldChar w:fldCharType="separate"/>
      </w:r>
      <w:r w:rsidR="001115E4" w:rsidRPr="00C43052">
        <w:rPr>
          <w:rFonts w:ascii="Arial" w:hAnsi="Arial" w:cs="Arial"/>
          <w:lang w:val="en-GB"/>
        </w:rPr>
        <w:t>(James et al., 2013)</w:t>
      </w:r>
      <w:r w:rsidR="001115E4" w:rsidRPr="00C43052">
        <w:rPr>
          <w:rFonts w:ascii="Arial" w:hAnsi="Arial" w:cs="Arial"/>
          <w:lang w:val="en-GB"/>
        </w:rPr>
        <w:fldChar w:fldCharType="end"/>
      </w:r>
      <w:r w:rsidR="00AA6A0D" w:rsidRPr="00C43052">
        <w:rPr>
          <w:rFonts w:ascii="Arial" w:hAnsi="Arial" w:cs="Arial"/>
          <w:lang w:val="en-GB"/>
        </w:rPr>
        <w:t>.</w:t>
      </w:r>
      <w:r w:rsidR="00A429DF" w:rsidRPr="00C43052">
        <w:rPr>
          <w:rFonts w:ascii="Arial" w:hAnsi="Arial" w:cs="Arial"/>
          <w:lang w:val="en-GB"/>
        </w:rPr>
        <w:t xml:space="preserve"> </w:t>
      </w:r>
      <w:r w:rsidR="00A94CF8" w:rsidRPr="00C43052">
        <w:rPr>
          <w:rFonts w:ascii="Arial" w:hAnsi="Arial" w:cs="Arial"/>
          <w:lang w:val="en-GB"/>
        </w:rPr>
        <w:t xml:space="preserve">Instead of fitting a large amount of trees separately, it learns slowly by previous trees recursively. </w:t>
      </w:r>
    </w:p>
    <w:p w14:paraId="38C207F2" w14:textId="77777777" w:rsidR="00251DCD" w:rsidRDefault="00F52875" w:rsidP="00E4483A">
      <w:pPr>
        <w:spacing w:line="360" w:lineRule="auto"/>
        <w:jc w:val="both"/>
        <w:rPr>
          <w:rFonts w:ascii="Arial" w:hAnsi="Arial" w:cs="Arial"/>
          <w:lang w:val="en-GB"/>
        </w:rPr>
      </w:pPr>
      <w:r w:rsidRPr="00C43052">
        <w:rPr>
          <w:rFonts w:ascii="Arial" w:hAnsi="Arial" w:cs="Arial"/>
          <w:lang w:val="en-GB"/>
        </w:rPr>
        <w:t>T</w:t>
      </w:r>
      <w:r w:rsidR="00D017A6" w:rsidRPr="00C43052">
        <w:rPr>
          <w:rFonts w:ascii="Arial" w:hAnsi="Arial" w:cs="Arial"/>
          <w:lang w:val="en-GB"/>
        </w:rPr>
        <w:t>he last two tree-based methods, producing multiple tree</w:t>
      </w:r>
      <w:r w:rsidRPr="00C43052">
        <w:rPr>
          <w:rFonts w:ascii="Arial" w:hAnsi="Arial" w:cs="Arial"/>
          <w:lang w:val="en-GB"/>
        </w:rPr>
        <w:t>s</w:t>
      </w:r>
      <w:r w:rsidR="00D017A6" w:rsidRPr="00C43052">
        <w:rPr>
          <w:rFonts w:ascii="Arial" w:hAnsi="Arial" w:cs="Arial"/>
          <w:lang w:val="en-GB"/>
        </w:rPr>
        <w:t xml:space="preserve">, </w:t>
      </w:r>
      <w:r w:rsidRPr="00C43052">
        <w:rPr>
          <w:rFonts w:ascii="Arial" w:hAnsi="Arial" w:cs="Arial"/>
          <w:lang w:val="en-GB"/>
        </w:rPr>
        <w:t>have become</w:t>
      </w:r>
      <w:r w:rsidR="00D017A6" w:rsidRPr="00C43052">
        <w:rPr>
          <w:rFonts w:ascii="Arial" w:hAnsi="Arial" w:cs="Arial"/>
          <w:lang w:val="en-GB"/>
        </w:rPr>
        <w:t xml:space="preserve"> more </w:t>
      </w:r>
      <w:r w:rsidRPr="00C43052">
        <w:rPr>
          <w:rFonts w:ascii="Arial" w:hAnsi="Arial" w:cs="Arial"/>
          <w:lang w:val="en-GB"/>
        </w:rPr>
        <w:t xml:space="preserve">popular since they improve in prediction accuracy </w:t>
      </w:r>
      <w:r w:rsidR="00D017A6" w:rsidRPr="00C43052">
        <w:rPr>
          <w:rFonts w:ascii="Arial" w:hAnsi="Arial" w:cs="Arial"/>
          <w:lang w:val="en-GB"/>
        </w:rPr>
        <w:t xml:space="preserve">but they loss in interpretation </w:t>
      </w:r>
      <w:r w:rsidR="00D017A6" w:rsidRPr="00C43052">
        <w:rPr>
          <w:rFonts w:ascii="Arial" w:hAnsi="Arial" w:cs="Arial"/>
          <w:lang w:val="en-GB"/>
        </w:rPr>
        <w:fldChar w:fldCharType="begin"/>
      </w:r>
      <w:r w:rsidRPr="00C43052">
        <w:rPr>
          <w:rFonts w:ascii="Arial" w:hAnsi="Arial" w:cs="Arial"/>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C43052">
        <w:rPr>
          <w:rFonts w:ascii="Arial" w:hAnsi="Arial" w:cs="Arial"/>
          <w:lang w:val="en-GB"/>
        </w:rPr>
        <w:fldChar w:fldCharType="separate"/>
      </w:r>
      <w:r w:rsidRPr="00C43052">
        <w:rPr>
          <w:rFonts w:ascii="Arial" w:hAnsi="Arial" w:cs="Arial"/>
          <w:lang w:val="en-GB"/>
        </w:rPr>
        <w:t>(Belgiu, 2016; James et al., 2013)</w:t>
      </w:r>
      <w:r w:rsidR="00D017A6" w:rsidRPr="00C43052">
        <w:rPr>
          <w:rFonts w:ascii="Arial" w:hAnsi="Arial" w:cs="Arial"/>
          <w:lang w:val="en-GB"/>
        </w:rPr>
        <w:fldChar w:fldCharType="end"/>
      </w:r>
      <w:r w:rsidR="00D017A6" w:rsidRPr="00C43052">
        <w:rPr>
          <w:rFonts w:ascii="Arial" w:hAnsi="Arial" w:cs="Arial"/>
          <w:lang w:val="en-GB"/>
        </w:rPr>
        <w:t>.</w:t>
      </w:r>
    </w:p>
    <w:p w14:paraId="2F2A1EF1" w14:textId="37D1BAF6" w:rsidR="0058418B" w:rsidRDefault="007E6BEF" w:rsidP="00E4483A">
      <w:pPr>
        <w:spacing w:line="360" w:lineRule="auto"/>
        <w:jc w:val="both"/>
        <w:rPr>
          <w:rFonts w:ascii="Arial" w:hAnsi="Arial" w:cs="Arial"/>
          <w:lang w:val="en-GB"/>
        </w:rPr>
      </w:pPr>
      <w:r>
        <w:rPr>
          <w:rFonts w:ascii="Arial" w:hAnsi="Arial" w:cs="Arial"/>
          <w:noProof/>
          <w:lang w:val="en-GB"/>
        </w:rPr>
        <w:drawing>
          <wp:anchor distT="0" distB="0" distL="114300" distR="114300" simplePos="0" relativeHeight="251660288" behindDoc="0" locked="0" layoutInCell="1" allowOverlap="1" wp14:anchorId="08CF115D" wp14:editId="5F9AD698">
            <wp:simplePos x="0" y="0"/>
            <wp:positionH relativeFrom="margin">
              <wp:posOffset>-85725</wp:posOffset>
            </wp:positionH>
            <wp:positionV relativeFrom="paragraph">
              <wp:posOffset>429895</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C43052">
        <w:rPr>
          <w:rFonts w:ascii="Arial" w:hAnsi="Arial" w:cs="Arial"/>
          <w:lang w:val="en-GB"/>
        </w:rPr>
        <w:t>To sum up, all these classifiers have the possibility to predict pro-environmental behaviour</w:t>
      </w:r>
      <w:r w:rsidR="007D0AC9" w:rsidRPr="00C43052">
        <w:rPr>
          <w:rFonts w:ascii="Arial" w:hAnsi="Arial" w:cs="Arial"/>
          <w:lang w:val="en-GB"/>
        </w:rPr>
        <w:t>.</w:t>
      </w:r>
      <w:r w:rsidR="0058418B">
        <w:rPr>
          <w:rFonts w:ascii="Arial" w:hAnsi="Arial" w:cs="Arial"/>
          <w:lang w:val="en-GB"/>
        </w:rPr>
        <w:t xml:space="preserve"> In the figure 1, you can see the distribution</w:t>
      </w:r>
      <w:r w:rsidR="00996347">
        <w:rPr>
          <w:rFonts w:ascii="Arial" w:hAnsi="Arial" w:cs="Arial"/>
          <w:lang w:val="en-GB"/>
        </w:rPr>
        <w:t>, unbalanced,</w:t>
      </w:r>
      <w:r w:rsidR="0058418B">
        <w:rPr>
          <w:rFonts w:ascii="Arial" w:hAnsi="Arial" w:cs="Arial"/>
          <w:lang w:val="en-GB"/>
        </w:rPr>
        <w:t xml:space="preserve"> of</w:t>
      </w:r>
      <w:r>
        <w:rPr>
          <w:rFonts w:ascii="Arial" w:hAnsi="Arial" w:cs="Arial"/>
          <w:lang w:val="en-GB"/>
        </w:rPr>
        <w:t xml:space="preserve"> the observations according to the dependent variable.</w:t>
      </w:r>
      <w:r w:rsidR="00251DCD">
        <w:rPr>
          <w:rFonts w:ascii="Arial" w:hAnsi="Arial" w:cs="Arial"/>
          <w:lang w:val="en-GB"/>
        </w:rPr>
        <w:t xml:space="preserve"> We have 14327 individuals who declared to have taken any action to fight climate change over the past six months and 7651 who have not. </w:t>
      </w:r>
    </w:p>
    <w:p w14:paraId="61CBEF78" w14:textId="77777777" w:rsidR="00251DCD" w:rsidRDefault="00251DCD" w:rsidP="00E4483A">
      <w:pPr>
        <w:spacing w:line="360" w:lineRule="auto"/>
        <w:jc w:val="both"/>
        <w:rPr>
          <w:rFonts w:ascii="Arial" w:hAnsi="Arial" w:cs="Arial"/>
          <w:lang w:val="en-GB"/>
        </w:rPr>
      </w:pPr>
    </w:p>
    <w:p w14:paraId="39DE07D0" w14:textId="7B9D6F83" w:rsidR="0058418B" w:rsidRDefault="0058418B" w:rsidP="00E4483A">
      <w:pPr>
        <w:spacing w:line="360" w:lineRule="auto"/>
        <w:jc w:val="both"/>
        <w:rPr>
          <w:rFonts w:ascii="Arial" w:hAnsi="Arial" w:cs="Arial"/>
          <w:lang w:val="en-GB"/>
        </w:rPr>
      </w:pPr>
      <w:r>
        <w:rPr>
          <w:rFonts w:ascii="Arial" w:hAnsi="Arial" w:cs="Arial"/>
          <w:lang w:val="en-GB"/>
        </w:rPr>
        <w:t>Figure 1: Pro-environmental behavior distribution</w:t>
      </w:r>
    </w:p>
    <w:p w14:paraId="78B3178C" w14:textId="0BCAFD92" w:rsidR="00FA00F8" w:rsidRDefault="007D0AC9" w:rsidP="00E4483A">
      <w:pPr>
        <w:spacing w:line="360" w:lineRule="auto"/>
        <w:jc w:val="both"/>
        <w:rPr>
          <w:rFonts w:ascii="Arial" w:hAnsi="Arial" w:cs="Arial"/>
          <w:lang w:val="en-GB"/>
        </w:rPr>
      </w:pPr>
      <w:r w:rsidRPr="00C43052">
        <w:rPr>
          <w:rFonts w:ascii="Arial" w:hAnsi="Arial" w:cs="Arial"/>
          <w:lang w:val="en-GB"/>
        </w:rPr>
        <w:t xml:space="preserve">Socio-demographic variables, classes created form k-means and CCA and climate change risk perception are used as predictors. In fact, we want also </w:t>
      </w:r>
      <w:r w:rsidR="00F20069" w:rsidRPr="00C43052">
        <w:rPr>
          <w:rFonts w:ascii="Arial" w:hAnsi="Arial" w:cs="Arial"/>
          <w:lang w:val="en-GB"/>
        </w:rPr>
        <w:t xml:space="preserve">to investigate the main factors and predictors that influence </w:t>
      </w:r>
      <w:r w:rsidRPr="00C43052">
        <w:rPr>
          <w:rFonts w:ascii="Arial" w:hAnsi="Arial" w:cs="Arial"/>
          <w:lang w:val="en-GB"/>
        </w:rPr>
        <w:t>pro-environmental behavior</w:t>
      </w:r>
      <w:r w:rsidR="00F20069" w:rsidRPr="00C43052">
        <w:rPr>
          <w:rFonts w:ascii="Arial" w:hAnsi="Arial" w:cs="Arial"/>
          <w:lang w:val="en-GB"/>
        </w:rPr>
        <w:t>.</w:t>
      </w:r>
      <w:r w:rsidR="00631C98" w:rsidRPr="00C43052">
        <w:rPr>
          <w:rFonts w:ascii="Arial" w:hAnsi="Arial" w:cs="Arial"/>
          <w:lang w:val="en-GB"/>
        </w:rPr>
        <w:t xml:space="preserve"> This process is achieved thanks to selected models, logistic regression and tree-based methods, which </w:t>
      </w:r>
      <w:r w:rsidR="00853530" w:rsidRPr="00C43052">
        <w:rPr>
          <w:rFonts w:ascii="Arial" w:hAnsi="Arial" w:cs="Arial"/>
          <w:lang w:val="en-GB"/>
        </w:rPr>
        <w:t>can determine the importance of independent variables</w:t>
      </w:r>
      <w:r w:rsidR="00631C98" w:rsidRPr="00C43052">
        <w:rPr>
          <w:rFonts w:ascii="Arial" w:hAnsi="Arial" w:cs="Arial"/>
          <w:lang w:val="en-GB"/>
        </w:rPr>
        <w:t>.</w:t>
      </w:r>
      <w:r w:rsidR="00222C18">
        <w:rPr>
          <w:rFonts w:ascii="Arial" w:hAnsi="Arial" w:cs="Arial"/>
          <w:lang w:val="en-GB"/>
        </w:rPr>
        <w:t xml:space="preserve"> This part </w:t>
      </w:r>
      <w:r w:rsidR="00222C18">
        <w:rPr>
          <w:rFonts w:ascii="Arial" w:hAnsi="Arial" w:cs="Arial"/>
          <w:lang w:val="en-GB"/>
        </w:rPr>
        <w:lastRenderedPageBreak/>
        <w:t xml:space="preserve">is considered quite </w:t>
      </w:r>
      <w:r w:rsidR="006164CB">
        <w:rPr>
          <w:rFonts w:ascii="Arial" w:hAnsi="Arial" w:cs="Arial"/>
          <w:lang w:val="en-GB"/>
        </w:rPr>
        <w:t>conventional</w:t>
      </w:r>
      <w:r w:rsidR="00B50AD6">
        <w:rPr>
          <w:rFonts w:ascii="Arial" w:hAnsi="Arial" w:cs="Arial"/>
          <w:lang w:val="en-GB"/>
        </w:rPr>
        <w:t xml:space="preserve"> according to </w:t>
      </w:r>
      <w:r w:rsidR="00222C18">
        <w:rPr>
          <w:rFonts w:ascii="Arial" w:hAnsi="Arial" w:cs="Arial"/>
          <w:lang w:val="en-GB"/>
        </w:rPr>
        <w:t>the literature review</w:t>
      </w:r>
      <w:r w:rsidR="00B50AD6">
        <w:rPr>
          <w:rFonts w:ascii="Arial" w:hAnsi="Arial" w:cs="Arial"/>
          <w:lang w:val="en-GB"/>
        </w:rPr>
        <w:t xml:space="preserve">, above-mentioned: variables selected have already been used previously, even if </w:t>
      </w:r>
      <w:r w:rsidR="00B50AD6" w:rsidRPr="00B50AD6">
        <w:rPr>
          <w:rFonts w:ascii="Arial" w:hAnsi="Arial" w:cs="Arial"/>
          <w:lang w:val="en-GB"/>
        </w:rPr>
        <w:t>have mostly used more traditional techniques</w:t>
      </w:r>
      <w:r w:rsidR="00B50AD6">
        <w:rPr>
          <w:rFonts w:ascii="Arial" w:hAnsi="Arial" w:cs="Arial"/>
          <w:lang w:val="en-GB"/>
        </w:rPr>
        <w:t xml:space="preserve"> (and not machine learning techniques). </w:t>
      </w:r>
      <w:r w:rsidR="006164CB">
        <w:rPr>
          <w:rFonts w:ascii="Arial" w:hAnsi="Arial" w:cs="Arial"/>
          <w:lang w:val="en-GB"/>
        </w:rPr>
        <w:t xml:space="preserve">Instead, the originality of this research can be found in next step. Due to the relevance of climate change risk perception in the pro-environmental </w:t>
      </w:r>
      <w:r w:rsidR="006164CB" w:rsidRPr="006164CB">
        <w:rPr>
          <w:rFonts w:ascii="Arial" w:hAnsi="Arial" w:cs="Arial"/>
          <w:lang w:val="en-GB"/>
        </w:rPr>
        <w:t>behaviour</w:t>
      </w:r>
      <w:r w:rsidR="006164CB">
        <w:rPr>
          <w:rFonts w:ascii="Arial" w:hAnsi="Arial" w:cs="Arial"/>
          <w:lang w:val="en-GB"/>
        </w:rPr>
        <w:t>’s prediction, two different analysis</w:t>
      </w:r>
      <w:r w:rsidR="00F63BF3">
        <w:rPr>
          <w:rFonts w:ascii="Arial" w:hAnsi="Arial" w:cs="Arial"/>
          <w:lang w:val="en-GB"/>
        </w:rPr>
        <w:t xml:space="preserve">, according to the degree of this main </w:t>
      </w:r>
      <w:r w:rsidR="00F63BF3" w:rsidRPr="00F63BF3">
        <w:rPr>
          <w:rFonts w:ascii="Arial" w:hAnsi="Arial" w:cs="Arial"/>
          <w:lang w:val="en-GB"/>
        </w:rPr>
        <w:t>explanatory variable</w:t>
      </w:r>
      <w:r w:rsidR="00F63BF3">
        <w:rPr>
          <w:rFonts w:ascii="Arial" w:hAnsi="Arial" w:cs="Arial"/>
          <w:lang w:val="en-GB"/>
        </w:rPr>
        <w:t>,</w:t>
      </w:r>
      <w:r w:rsidR="006164CB">
        <w:rPr>
          <w:rFonts w:ascii="Arial" w:hAnsi="Arial" w:cs="Arial"/>
          <w:lang w:val="en-GB"/>
        </w:rPr>
        <w:t xml:space="preserve"> are performed. </w:t>
      </w:r>
      <w:r w:rsidR="00F63BF3">
        <w:rPr>
          <w:rFonts w:ascii="Arial" w:hAnsi="Arial" w:cs="Arial"/>
          <w:lang w:val="en-GB"/>
        </w:rPr>
        <w:t xml:space="preserve">Two datasets are created: one </w:t>
      </w:r>
      <w:r w:rsidR="00717907">
        <w:rPr>
          <w:rFonts w:ascii="Arial" w:hAnsi="Arial" w:cs="Arial"/>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Pr>
          <w:rFonts w:ascii="Arial" w:hAnsi="Arial" w:cs="Arial"/>
          <w:lang w:val="en-GB"/>
        </w:rPr>
        <w:t xml:space="preserve">The same techniques are fitted for the two different subsets. The aim is to discover the divergent variables that predict actions and whether there are </w:t>
      </w:r>
      <w:r w:rsidR="0081149B">
        <w:rPr>
          <w:rFonts w:ascii="Arial" w:hAnsi="Arial" w:cs="Arial"/>
          <w:lang w:val="en-GB"/>
        </w:rPr>
        <w:t xml:space="preserve">relevant differences between those who care and those who do not care. </w:t>
      </w:r>
    </w:p>
    <w:p w14:paraId="5173B776" w14:textId="267848BF" w:rsidR="005179C7" w:rsidRPr="00996347" w:rsidRDefault="00996347" w:rsidP="00E4483A">
      <w:pPr>
        <w:spacing w:line="360" w:lineRule="auto"/>
        <w:jc w:val="both"/>
        <w:rPr>
          <w:rFonts w:ascii="Arial" w:hAnsi="Arial" w:cs="Arial"/>
          <w:lang w:val="en-GB"/>
        </w:rPr>
      </w:pPr>
      <w:r>
        <w:rPr>
          <w:rFonts w:ascii="Arial" w:hAnsi="Arial" w:cs="Arial"/>
          <w:noProof/>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27D237D4" w14:textId="1EEE8186" w:rsidR="00996347" w:rsidRDefault="00996347" w:rsidP="00E4483A">
      <w:pPr>
        <w:spacing w:line="360" w:lineRule="auto"/>
        <w:jc w:val="both"/>
        <w:rPr>
          <w:rFonts w:ascii="Arial" w:hAnsi="Arial" w:cs="Arial"/>
          <w:lang w:val="en-GB"/>
        </w:rPr>
      </w:pPr>
      <w:r>
        <w:rPr>
          <w:rFonts w:ascii="Arial" w:hAnsi="Arial" w:cs="Arial"/>
          <w:lang w:val="en-GB"/>
        </w:rPr>
        <w:t>Figure 2: Pro-environmental behavior distribution according to Climate Change Risk Perception</w:t>
      </w:r>
    </w:p>
    <w:p w14:paraId="66D57A66" w14:textId="23D956C2" w:rsidR="005179C7" w:rsidRPr="00996347" w:rsidRDefault="00996347" w:rsidP="00E4483A">
      <w:pPr>
        <w:spacing w:line="360" w:lineRule="auto"/>
        <w:jc w:val="both"/>
        <w:rPr>
          <w:rFonts w:ascii="Arial" w:hAnsi="Arial" w:cs="Arial"/>
          <w:lang w:val="en-GB"/>
        </w:rPr>
      </w:pPr>
      <w:r w:rsidRPr="00996347">
        <w:rPr>
          <w:rFonts w:ascii="Arial" w:hAnsi="Arial" w:cs="Arial"/>
          <w:lang w:val="en-GB"/>
        </w:rPr>
        <w:t xml:space="preserve">The figure 2 </w:t>
      </w:r>
      <w:r>
        <w:rPr>
          <w:rFonts w:ascii="Arial" w:hAnsi="Arial" w:cs="Arial"/>
          <w:lang w:val="en-GB"/>
        </w:rPr>
        <w:t>indicates the distribution of our dependent variable according to the 2 created subsets. The subse</w:t>
      </w:r>
      <w:r w:rsidR="00F15666">
        <w:rPr>
          <w:rFonts w:ascii="Arial" w:hAnsi="Arial" w:cs="Arial"/>
          <w:lang w:val="en-GB"/>
        </w:rPr>
        <w:t>t with the observations of those who warried is definitely greater:</w:t>
      </w:r>
      <w:r w:rsidR="00F15666" w:rsidRPr="00F15666">
        <w:rPr>
          <w:rFonts w:ascii="Arial" w:hAnsi="Arial" w:cs="Arial"/>
          <w:lang w:val="en-GB"/>
        </w:rPr>
        <w:t xml:space="preserve"> </w:t>
      </w:r>
      <w:r w:rsidR="00F15666">
        <w:rPr>
          <w:rFonts w:ascii="Arial" w:hAnsi="Arial" w:cs="Arial"/>
          <w:lang w:val="en-GB"/>
        </w:rPr>
        <w:t xml:space="preserve">12988 observations </w:t>
      </w:r>
      <w:r w:rsidR="00F15666" w:rsidRPr="00F15666">
        <w:rPr>
          <w:rFonts w:ascii="Arial" w:hAnsi="Arial" w:cs="Arial"/>
          <w:lang w:val="en-GB"/>
        </w:rPr>
        <w:t xml:space="preserve">of those who have not done any </w:t>
      </w:r>
      <w:r w:rsidR="00F15666">
        <w:rPr>
          <w:rFonts w:ascii="Arial" w:hAnsi="Arial" w:cs="Arial"/>
          <w:lang w:val="en-GB"/>
        </w:rPr>
        <w:t xml:space="preserve">ecological behaviour and 6084 individuals who have done nothing. Instead, the </w:t>
      </w:r>
      <w:r w:rsidR="006973EE">
        <w:rPr>
          <w:rFonts w:ascii="Arial" w:hAnsi="Arial" w:cs="Arial"/>
          <w:lang w:val="en-GB"/>
        </w:rPr>
        <w:t xml:space="preserve">second </w:t>
      </w:r>
      <w:r w:rsidR="00F15666">
        <w:rPr>
          <w:rFonts w:ascii="Arial" w:hAnsi="Arial" w:cs="Arial"/>
          <w:lang w:val="en-GB"/>
        </w:rPr>
        <w:t>dataset</w:t>
      </w:r>
      <w:r w:rsidR="006973EE">
        <w:rPr>
          <w:rFonts w:ascii="Arial" w:hAnsi="Arial" w:cs="Arial"/>
          <w:lang w:val="en-GB"/>
        </w:rPr>
        <w:t xml:space="preserve"> is</w:t>
      </w:r>
      <w:r w:rsidR="00F15666">
        <w:rPr>
          <w:rFonts w:ascii="Arial" w:hAnsi="Arial" w:cs="Arial"/>
          <w:lang w:val="en-GB"/>
        </w:rPr>
        <w:t xml:space="preserve"> </w:t>
      </w:r>
      <w:r w:rsidR="006973EE">
        <w:rPr>
          <w:rFonts w:ascii="Arial" w:hAnsi="Arial" w:cs="Arial"/>
          <w:lang w:val="en-GB"/>
        </w:rPr>
        <w:t>composed by the observations those who do not care about environment. We have few cases, but they are balanced: 1339 and 1567, respectively who does environmentally behaviours and who does not.</w:t>
      </w:r>
    </w:p>
    <w:p w14:paraId="176E3AEA" w14:textId="77777777" w:rsidR="00131A34" w:rsidRDefault="00131A34" w:rsidP="00E4483A">
      <w:pPr>
        <w:spacing w:line="360" w:lineRule="auto"/>
        <w:jc w:val="both"/>
        <w:rPr>
          <w:rFonts w:ascii="Arial" w:hAnsi="Arial" w:cs="Arial"/>
          <w:lang w:val="en-GB"/>
        </w:rPr>
      </w:pPr>
    </w:p>
    <w:p w14:paraId="786FB905" w14:textId="0F8C60E7" w:rsidR="00F20069" w:rsidRPr="00C43052" w:rsidRDefault="00FA00F8" w:rsidP="00E4483A">
      <w:pPr>
        <w:spacing w:line="360" w:lineRule="auto"/>
        <w:jc w:val="both"/>
        <w:rPr>
          <w:rFonts w:ascii="Arial" w:hAnsi="Arial" w:cs="Arial"/>
          <w:b/>
          <w:bCs/>
          <w:lang w:val="en-GB"/>
        </w:rPr>
      </w:pPr>
      <w:r w:rsidRPr="00C43052">
        <w:rPr>
          <w:rFonts w:ascii="Arial" w:hAnsi="Arial" w:cs="Arial"/>
          <w:b/>
          <w:bCs/>
          <w:lang w:val="en-GB"/>
        </w:rPr>
        <w:t>Data Description</w:t>
      </w:r>
      <w:r w:rsidR="00853530" w:rsidRPr="00C43052">
        <w:rPr>
          <w:rFonts w:ascii="Arial" w:hAnsi="Arial" w:cs="Arial"/>
          <w:b/>
          <w:bCs/>
          <w:lang w:val="en-GB"/>
        </w:rPr>
        <w:t xml:space="preserve"> </w:t>
      </w:r>
    </w:p>
    <w:p w14:paraId="2AF518BC" w14:textId="5DE0DD4F" w:rsidR="00BC0D9B" w:rsidRPr="00C43052" w:rsidRDefault="00FA00F8" w:rsidP="00E4483A">
      <w:pPr>
        <w:pStyle w:val="Normale1"/>
        <w:spacing w:line="360" w:lineRule="auto"/>
        <w:jc w:val="both"/>
        <w:rPr>
          <w:rFonts w:ascii="Arial" w:hAnsi="Arial" w:cs="Arial"/>
          <w:sz w:val="22"/>
          <w:szCs w:val="22"/>
          <w:lang w:val="en-GB"/>
        </w:rPr>
      </w:pPr>
      <w:r w:rsidRPr="00C43052">
        <w:rPr>
          <w:rFonts w:ascii="Arial" w:hAnsi="Arial" w:cs="Arial"/>
          <w:sz w:val="22"/>
          <w:szCs w:val="22"/>
          <w:lang w:val="en-GB"/>
        </w:rPr>
        <w:t>As aforementioned, the research studies pro-environmental behaviour of European citizens. The main data used in this project</w:t>
      </w:r>
      <w:r w:rsidR="00364626">
        <w:rPr>
          <w:rFonts w:ascii="Arial" w:hAnsi="Arial" w:cs="Arial"/>
          <w:sz w:val="22"/>
          <w:szCs w:val="22"/>
          <w:lang w:val="en-GB"/>
        </w:rPr>
        <w:t xml:space="preserve"> come from one wave of Eurobarometer survey. </w:t>
      </w:r>
      <w:r w:rsidR="00364626" w:rsidRPr="00C43052">
        <w:rPr>
          <w:rFonts w:ascii="Arial" w:hAnsi="Arial" w:cs="Arial"/>
          <w:sz w:val="22"/>
          <w:szCs w:val="22"/>
          <w:lang w:val="en-GB"/>
        </w:rPr>
        <w:t xml:space="preserve">The Eurobarometer is a public opinion research institution in the European Union with the aim to examine a variety of topics and attitudes. </w:t>
      </w:r>
      <w:r w:rsidR="00364626">
        <w:rPr>
          <w:rFonts w:ascii="Arial" w:hAnsi="Arial" w:cs="Arial"/>
          <w:sz w:val="22"/>
          <w:szCs w:val="22"/>
          <w:lang w:val="en-GB"/>
        </w:rPr>
        <w:t xml:space="preserve">The European Commission conducts </w:t>
      </w:r>
      <w:r w:rsidR="00364626" w:rsidRPr="00781A6E">
        <w:rPr>
          <w:rFonts w:ascii="Arial" w:hAnsi="Arial" w:cs="Arial"/>
          <w:sz w:val="22"/>
          <w:szCs w:val="22"/>
          <w:lang w:val="en-GB"/>
        </w:rPr>
        <w:t>Standard &amp; Special Eurobarometer</w:t>
      </w:r>
      <w:r w:rsidR="00364626">
        <w:rPr>
          <w:rFonts w:ascii="Arial" w:hAnsi="Arial" w:cs="Arial"/>
          <w:sz w:val="22"/>
          <w:szCs w:val="22"/>
          <w:lang w:val="en-GB"/>
        </w:rPr>
        <w:t xml:space="preserve"> periodicall</w:t>
      </w:r>
      <w:r w:rsidR="001208B5">
        <w:rPr>
          <w:rFonts w:ascii="Arial" w:hAnsi="Arial" w:cs="Arial"/>
          <w:sz w:val="22"/>
          <w:szCs w:val="22"/>
          <w:lang w:val="en-GB"/>
        </w:rPr>
        <w:t xml:space="preserve">y. We used </w:t>
      </w:r>
      <w:r w:rsidRPr="00C43052">
        <w:rPr>
          <w:rFonts w:ascii="Arial" w:hAnsi="Arial" w:cs="Arial"/>
          <w:sz w:val="22"/>
          <w:szCs w:val="22"/>
          <w:lang w:val="en-GB"/>
        </w:rPr>
        <w:t xml:space="preserve">the Special Eurobarometer </w:t>
      </w:r>
      <w:r w:rsidR="00523439" w:rsidRPr="00C43052">
        <w:rPr>
          <w:rFonts w:ascii="Arial" w:hAnsi="Arial" w:cs="Arial"/>
          <w:sz w:val="22"/>
          <w:szCs w:val="22"/>
          <w:lang w:val="en-GB"/>
        </w:rPr>
        <w:t>91.3</w:t>
      </w:r>
      <w:r w:rsidRPr="00C43052">
        <w:rPr>
          <w:rFonts w:ascii="Arial" w:hAnsi="Arial" w:cs="Arial"/>
          <w:sz w:val="22"/>
          <w:szCs w:val="22"/>
          <w:lang w:val="en-GB"/>
        </w:rPr>
        <w:t xml:space="preserve"> dataset</w:t>
      </w:r>
      <w:r w:rsidR="001208B5">
        <w:rPr>
          <w:rFonts w:ascii="Arial" w:hAnsi="Arial" w:cs="Arial"/>
          <w:sz w:val="22"/>
          <w:szCs w:val="22"/>
          <w:lang w:val="en-GB"/>
        </w:rPr>
        <w:t xml:space="preserve">, entitled </w:t>
      </w:r>
      <w:r w:rsidR="005C456F">
        <w:rPr>
          <w:rFonts w:ascii="Arial" w:hAnsi="Arial" w:cs="Arial"/>
          <w:sz w:val="22"/>
          <w:szCs w:val="22"/>
          <w:lang w:val="en-GB"/>
        </w:rPr>
        <w:t>“</w:t>
      </w:r>
      <w:r w:rsidR="001208B5">
        <w:rPr>
          <w:rFonts w:ascii="Arial" w:hAnsi="Arial" w:cs="Arial"/>
          <w:sz w:val="22"/>
          <w:szCs w:val="22"/>
          <w:lang w:val="en-GB"/>
        </w:rPr>
        <w:t xml:space="preserve">Climate Change”, </w:t>
      </w:r>
      <w:r w:rsidRPr="00C43052">
        <w:rPr>
          <w:rFonts w:ascii="Arial" w:hAnsi="Arial" w:cs="Arial"/>
          <w:sz w:val="22"/>
          <w:szCs w:val="22"/>
          <w:lang w:val="en-GB"/>
        </w:rPr>
        <w:t xml:space="preserve">made available by the Eurobarometer Open Data website. </w:t>
      </w:r>
      <w:r w:rsidR="001208B5">
        <w:rPr>
          <w:rFonts w:ascii="Arial" w:hAnsi="Arial" w:cs="Arial"/>
          <w:sz w:val="22"/>
          <w:szCs w:val="22"/>
          <w:lang w:val="en-GB"/>
        </w:rPr>
        <w:t xml:space="preserve">This survey is collected </w:t>
      </w:r>
      <w:r w:rsidR="005C456F">
        <w:rPr>
          <w:rFonts w:ascii="Arial" w:hAnsi="Arial" w:cs="Arial"/>
          <w:sz w:val="22"/>
          <w:szCs w:val="22"/>
          <w:lang w:val="en-GB"/>
        </w:rPr>
        <w:t>in</w:t>
      </w:r>
      <w:r w:rsidR="001208B5">
        <w:rPr>
          <w:rFonts w:ascii="Arial" w:hAnsi="Arial" w:cs="Arial"/>
          <w:sz w:val="22"/>
          <w:szCs w:val="22"/>
          <w:lang w:val="en-GB"/>
        </w:rPr>
        <w:t xml:space="preserve"> April 2019</w:t>
      </w:r>
      <w:r w:rsidR="005C456F">
        <w:rPr>
          <w:rFonts w:ascii="Arial" w:hAnsi="Arial" w:cs="Arial"/>
          <w:sz w:val="22"/>
          <w:szCs w:val="22"/>
          <w:lang w:val="en-GB"/>
        </w:rPr>
        <w:t xml:space="preserve"> using face-to-face interviews. </w:t>
      </w:r>
      <w:r w:rsidR="00781A6E">
        <w:rPr>
          <w:rFonts w:ascii="Arial" w:hAnsi="Arial" w:cs="Arial"/>
          <w:sz w:val="22"/>
          <w:szCs w:val="22"/>
          <w:lang w:val="en-GB"/>
        </w:rPr>
        <w:t>T</w:t>
      </w:r>
      <w:r w:rsidRPr="00C43052">
        <w:rPr>
          <w:rFonts w:ascii="Arial" w:hAnsi="Arial" w:cs="Arial"/>
          <w:sz w:val="22"/>
          <w:szCs w:val="22"/>
          <w:lang w:val="en-GB"/>
        </w:rPr>
        <w:t xml:space="preserve">here are 27655 respondents from 28 countries of the European Union. </w:t>
      </w:r>
      <w:r w:rsidR="0092546F" w:rsidRPr="00C43052">
        <w:rPr>
          <w:rFonts w:ascii="Arial" w:hAnsi="Arial" w:cs="Arial"/>
          <w:sz w:val="22"/>
          <w:szCs w:val="22"/>
          <w:lang w:val="en-GB"/>
        </w:rPr>
        <w:t xml:space="preserve">The Eurobarometer data are </w:t>
      </w:r>
      <w:r w:rsidR="005C456F">
        <w:rPr>
          <w:rFonts w:ascii="Arial" w:hAnsi="Arial" w:cs="Arial"/>
          <w:sz w:val="22"/>
          <w:szCs w:val="22"/>
          <w:lang w:val="en-GB"/>
        </w:rPr>
        <w:t xml:space="preserve">publicly </w:t>
      </w:r>
      <w:r w:rsidR="0092546F" w:rsidRPr="00C43052">
        <w:rPr>
          <w:rFonts w:ascii="Arial" w:hAnsi="Arial" w:cs="Arial"/>
          <w:sz w:val="22"/>
          <w:szCs w:val="22"/>
          <w:lang w:val="en-GB"/>
        </w:rPr>
        <w:t>available from GESIS</w:t>
      </w:r>
      <w:r w:rsidR="00523439" w:rsidRPr="00C43052">
        <w:rPr>
          <w:rFonts w:ascii="Arial" w:hAnsi="Arial" w:cs="Arial"/>
          <w:sz w:val="22"/>
          <w:szCs w:val="22"/>
          <w:lang w:val="en-GB"/>
        </w:rPr>
        <w:t xml:space="preserve"> </w:t>
      </w:r>
      <w:r w:rsidR="00523439" w:rsidRPr="00C43052">
        <w:rPr>
          <w:rFonts w:ascii="Arial" w:hAnsi="Arial" w:cs="Arial"/>
          <w:sz w:val="22"/>
          <w:szCs w:val="22"/>
          <w:lang w:val="en-GB"/>
        </w:rPr>
        <w:fldChar w:fldCharType="begin"/>
      </w:r>
      <w:r w:rsidR="00523439" w:rsidRPr="00C43052">
        <w:rPr>
          <w:rFonts w:ascii="Arial" w:hAnsi="Arial" w:cs="Arial"/>
          <w:sz w:val="22"/>
          <w:szCs w:val="22"/>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C43052">
        <w:rPr>
          <w:rFonts w:ascii="Arial" w:hAnsi="Arial" w:cs="Arial"/>
          <w:sz w:val="22"/>
          <w:szCs w:val="22"/>
          <w:lang w:val="en-GB"/>
        </w:rPr>
        <w:fldChar w:fldCharType="separate"/>
      </w:r>
      <w:r w:rsidR="00523439" w:rsidRPr="00C43052">
        <w:rPr>
          <w:rFonts w:ascii="Arial" w:hAnsi="Arial" w:cs="Arial"/>
          <w:sz w:val="22"/>
          <w:szCs w:val="22"/>
          <w:lang w:val="en-GB"/>
        </w:rPr>
        <w:t>(European Commission, Brussels, 2019)</w:t>
      </w:r>
      <w:r w:rsidR="00523439" w:rsidRPr="00C43052">
        <w:rPr>
          <w:rFonts w:ascii="Arial" w:hAnsi="Arial" w:cs="Arial"/>
          <w:sz w:val="22"/>
          <w:szCs w:val="22"/>
          <w:lang w:val="en-GB"/>
        </w:rPr>
        <w:fldChar w:fldCharType="end"/>
      </w:r>
      <w:r w:rsidR="00523439" w:rsidRPr="00C43052">
        <w:rPr>
          <w:rFonts w:ascii="Arial" w:hAnsi="Arial" w:cs="Arial"/>
          <w:sz w:val="22"/>
          <w:szCs w:val="22"/>
          <w:lang w:val="en-GB"/>
        </w:rPr>
        <w:t>. Eurobarometer 91.</w:t>
      </w:r>
      <w:r w:rsidR="005C456F">
        <w:rPr>
          <w:rFonts w:ascii="Arial" w:hAnsi="Arial" w:cs="Arial"/>
          <w:sz w:val="22"/>
          <w:szCs w:val="22"/>
          <w:lang w:val="en-GB"/>
        </w:rPr>
        <w:t>3</w:t>
      </w:r>
      <w:r w:rsidR="00523439" w:rsidRPr="00C43052">
        <w:rPr>
          <w:rFonts w:ascii="Arial" w:hAnsi="Arial" w:cs="Arial"/>
          <w:sz w:val="22"/>
          <w:szCs w:val="22"/>
          <w:lang w:val="en-GB"/>
        </w:rPr>
        <w:t xml:space="preserve"> asks some questions about environmental issues and some socio-demographic information. </w:t>
      </w:r>
      <w:r w:rsidR="006A76DE" w:rsidRPr="00C43052">
        <w:rPr>
          <w:rFonts w:ascii="Arial" w:hAnsi="Arial" w:cs="Arial"/>
          <w:sz w:val="22"/>
          <w:szCs w:val="22"/>
          <w:lang w:val="en-GB"/>
        </w:rPr>
        <w:t xml:space="preserve">Some relevant </w:t>
      </w:r>
      <w:r w:rsidR="005179C7">
        <w:rPr>
          <w:rFonts w:ascii="Arial" w:hAnsi="Arial" w:cs="Arial"/>
          <w:sz w:val="22"/>
          <w:szCs w:val="22"/>
          <w:lang w:val="en-GB"/>
        </w:rPr>
        <w:t>items</w:t>
      </w:r>
      <w:r w:rsidR="006A76DE" w:rsidRPr="00C43052">
        <w:rPr>
          <w:rFonts w:ascii="Arial" w:hAnsi="Arial" w:cs="Arial"/>
          <w:sz w:val="22"/>
          <w:szCs w:val="22"/>
          <w:lang w:val="en-GB"/>
        </w:rPr>
        <w:t xml:space="preserve"> about climate change</w:t>
      </w:r>
      <w:r w:rsidR="00C96FCE" w:rsidRPr="00C43052">
        <w:rPr>
          <w:rFonts w:ascii="Arial" w:hAnsi="Arial" w:cs="Arial"/>
          <w:sz w:val="22"/>
          <w:szCs w:val="22"/>
          <w:lang w:val="en-GB"/>
        </w:rPr>
        <w:t xml:space="preserve"> and socio-demographic variables</w:t>
      </w:r>
      <w:r w:rsidR="006A76DE" w:rsidRPr="00C43052">
        <w:rPr>
          <w:rFonts w:ascii="Arial" w:hAnsi="Arial" w:cs="Arial"/>
          <w:sz w:val="22"/>
          <w:szCs w:val="22"/>
          <w:lang w:val="en-GB"/>
        </w:rPr>
        <w:t xml:space="preserve"> are selected</w:t>
      </w:r>
      <w:r w:rsidR="0009251C">
        <w:rPr>
          <w:rFonts w:ascii="Arial" w:hAnsi="Arial" w:cs="Arial"/>
          <w:sz w:val="22"/>
          <w:szCs w:val="22"/>
          <w:lang w:val="en-GB"/>
        </w:rPr>
        <w:t>.</w:t>
      </w:r>
      <w:r w:rsidR="0009251C">
        <w:rPr>
          <w:rStyle w:val="Rimandonotaapidipagina"/>
          <w:rFonts w:ascii="Arial" w:hAnsi="Arial" w:cs="Arial"/>
          <w:sz w:val="22"/>
          <w:szCs w:val="22"/>
          <w:lang w:val="en-GB"/>
        </w:rPr>
        <w:footnoteReference w:id="2"/>
      </w:r>
    </w:p>
    <w:p w14:paraId="20A7816C" w14:textId="77777777" w:rsidR="00891983" w:rsidRDefault="00891983" w:rsidP="00E4483A">
      <w:pPr>
        <w:jc w:val="both"/>
        <w:rPr>
          <w:rFonts w:ascii="Arial" w:hAnsi="Arial" w:cs="Arial"/>
          <w:b/>
          <w:bCs/>
          <w:lang w:val="en-GB"/>
        </w:rPr>
      </w:pPr>
    </w:p>
    <w:p w14:paraId="5E6A1650" w14:textId="4BFC1467" w:rsidR="00B32A34" w:rsidRDefault="00B32A34" w:rsidP="00E4483A">
      <w:pPr>
        <w:jc w:val="both"/>
        <w:rPr>
          <w:rFonts w:ascii="Arial" w:hAnsi="Arial" w:cs="Arial"/>
          <w:b/>
          <w:bCs/>
          <w:lang w:val="en-GB"/>
        </w:rPr>
      </w:pPr>
      <w:r w:rsidRPr="00593F7D">
        <w:rPr>
          <w:rFonts w:ascii="Arial" w:hAnsi="Arial" w:cs="Arial"/>
          <w:b/>
          <w:bCs/>
          <w:lang w:val="en-GB"/>
        </w:rPr>
        <w:t>Data Cleaning</w:t>
      </w:r>
    </w:p>
    <w:p w14:paraId="480A3E12" w14:textId="77777777" w:rsidR="00891983" w:rsidRPr="00F104F8" w:rsidRDefault="00891983" w:rsidP="00E4483A">
      <w:pPr>
        <w:jc w:val="both"/>
        <w:rPr>
          <w:rFonts w:ascii="Arial" w:hAnsi="Arial" w:cs="Arial"/>
          <w:lang w:val="en-GB"/>
        </w:rPr>
      </w:pPr>
    </w:p>
    <w:p w14:paraId="066E7DD7" w14:textId="7BED58B5" w:rsidR="002354BE" w:rsidRDefault="00B32A34" w:rsidP="00E4483A">
      <w:pPr>
        <w:spacing w:line="360" w:lineRule="auto"/>
        <w:jc w:val="both"/>
        <w:rPr>
          <w:rFonts w:ascii="Arial" w:hAnsi="Arial" w:cs="Arial"/>
          <w:lang w:val="en-GB"/>
        </w:rPr>
      </w:pPr>
      <w:r w:rsidRPr="00593F7D">
        <w:rPr>
          <w:rFonts w:ascii="Arial" w:hAnsi="Arial" w:cs="Arial"/>
          <w:lang w:val="en-GB"/>
        </w:rPr>
        <w:t xml:space="preserve">The first step before performing the analysis is data cleaning. </w:t>
      </w:r>
      <w:r w:rsidR="00FE67AC" w:rsidRPr="00593F7D">
        <w:rPr>
          <w:rFonts w:ascii="Arial" w:hAnsi="Arial" w:cs="Arial"/>
          <w:lang w:val="en-GB"/>
        </w:rPr>
        <w:t xml:space="preserve">In order to obtain an accurate analysis some observations are dropped. In fact, missing data or refusal answers of climate change issues </w:t>
      </w:r>
      <w:r w:rsidR="005B6D0D">
        <w:rPr>
          <w:rFonts w:ascii="Arial" w:hAnsi="Arial" w:cs="Arial"/>
          <w:lang w:val="en-GB"/>
        </w:rPr>
        <w:t>are</w:t>
      </w:r>
      <w:r w:rsidR="00FE67AC" w:rsidRPr="00593F7D">
        <w:rPr>
          <w:rFonts w:ascii="Arial" w:hAnsi="Arial" w:cs="Arial"/>
          <w:lang w:val="en-GB"/>
        </w:rPr>
        <w:t xml:space="preserve"> </w:t>
      </w:r>
      <w:r w:rsidR="00C84C3D" w:rsidRPr="00593F7D">
        <w:rPr>
          <w:rFonts w:ascii="Arial" w:hAnsi="Arial" w:cs="Arial"/>
          <w:lang w:val="en-GB"/>
        </w:rPr>
        <w:t>not considered</w:t>
      </w:r>
      <w:r w:rsidR="00FE67AC" w:rsidRPr="00593F7D">
        <w:rPr>
          <w:rFonts w:ascii="Arial" w:hAnsi="Arial" w:cs="Arial"/>
          <w:lang w:val="en-GB"/>
        </w:rPr>
        <w:t xml:space="preserve"> </w:t>
      </w:r>
      <w:r w:rsidR="00C84C3D" w:rsidRPr="00593F7D">
        <w:rPr>
          <w:rFonts w:ascii="Arial" w:hAnsi="Arial" w:cs="Arial"/>
          <w:lang w:val="en-GB"/>
        </w:rPr>
        <w:t>in</w:t>
      </w:r>
      <w:r w:rsidR="00FE67AC" w:rsidRPr="00593F7D">
        <w:rPr>
          <w:rFonts w:ascii="Arial" w:hAnsi="Arial" w:cs="Arial"/>
          <w:lang w:val="en-GB"/>
        </w:rPr>
        <w:t xml:space="preserve"> the final dataset. </w:t>
      </w:r>
      <w:r w:rsidR="00131A34">
        <w:rPr>
          <w:rFonts w:ascii="Arial" w:hAnsi="Arial" w:cs="Arial"/>
          <w:lang w:val="en-GB"/>
        </w:rPr>
        <w:t>The missing data of our dependent variables</w:t>
      </w:r>
      <w:r w:rsidR="00AC2E7D">
        <w:rPr>
          <w:rFonts w:ascii="Arial" w:hAnsi="Arial" w:cs="Arial"/>
          <w:lang w:val="en-GB"/>
        </w:rPr>
        <w:t>, pro-environmental behavior (encoded as qb5),</w:t>
      </w:r>
      <w:r w:rsidR="00131A34">
        <w:rPr>
          <w:rFonts w:ascii="Arial" w:hAnsi="Arial" w:cs="Arial"/>
          <w:lang w:val="en-GB"/>
        </w:rPr>
        <w:t xml:space="preserve"> is dropped since the analysis is based on the predictions</w:t>
      </w:r>
      <w:r w:rsidR="00AC2E7D">
        <w:rPr>
          <w:rFonts w:ascii="Arial" w:hAnsi="Arial" w:cs="Arial"/>
          <w:lang w:val="en-GB"/>
        </w:rPr>
        <w:t xml:space="preserve"> of</w:t>
      </w:r>
      <w:r w:rsidR="00131A34" w:rsidRPr="00131A34">
        <w:rPr>
          <w:rFonts w:ascii="Arial" w:hAnsi="Arial" w:cs="Arial"/>
          <w:lang w:val="en-GB"/>
        </w:rPr>
        <w:t xml:space="preserve"> a dichotomous </w:t>
      </w:r>
      <w:r w:rsidR="00AC2E7D">
        <w:rPr>
          <w:rFonts w:ascii="Arial" w:hAnsi="Arial" w:cs="Arial"/>
          <w:lang w:val="en-GB"/>
        </w:rPr>
        <w:t>outcomes (coded as 1 = Yes, 0= No). Climate change risk perception (qb2) is measured on</w:t>
      </w:r>
      <w:r w:rsidR="005B6D0D">
        <w:rPr>
          <w:rFonts w:ascii="Arial" w:hAnsi="Arial" w:cs="Arial"/>
          <w:lang w:val="en-GB"/>
        </w:rPr>
        <w:t xml:space="preserve"> </w:t>
      </w:r>
      <w:r w:rsidR="00AC2E7D">
        <w:rPr>
          <w:rFonts w:ascii="Arial" w:hAnsi="Arial" w:cs="Arial"/>
          <w:lang w:val="en-GB"/>
        </w:rPr>
        <w:t>1-10 scale</w:t>
      </w:r>
      <w:r w:rsidR="005B6D0D">
        <w:rPr>
          <w:rFonts w:ascii="Arial" w:hAnsi="Arial" w:cs="Arial"/>
          <w:lang w:val="en-GB"/>
        </w:rPr>
        <w:t>, and no answers are dropped to keep the variables as a metric</w:t>
      </w:r>
      <w:r w:rsidR="00AC2E7D">
        <w:rPr>
          <w:rFonts w:ascii="Arial" w:hAnsi="Arial" w:cs="Arial"/>
          <w:lang w:val="en-GB"/>
        </w:rPr>
        <w:t xml:space="preserve">. The question does not directly about the perceived risk but it is referred of </w:t>
      </w:r>
      <w:r w:rsidR="00AC2E7D" w:rsidRPr="005B6D0D">
        <w:rPr>
          <w:rFonts w:ascii="Arial" w:hAnsi="Arial" w:cs="Arial"/>
          <w:i/>
          <w:iCs/>
          <w:lang w:val="en-GB"/>
        </w:rPr>
        <w:t>seriousness</w:t>
      </w:r>
      <w:r w:rsidR="00AC2E7D">
        <w:rPr>
          <w:rFonts w:ascii="Arial" w:hAnsi="Arial" w:cs="Arial"/>
          <w:lang w:val="en-GB"/>
        </w:rPr>
        <w:t xml:space="preserve"> of the phenomenon </w:t>
      </w:r>
      <w:r w:rsidR="005B6D0D">
        <w:rPr>
          <w:rFonts w:ascii="Arial" w:hAnsi="Arial" w:cs="Arial"/>
          <w:lang w:val="en-GB"/>
        </w:rPr>
        <w:t xml:space="preserve">in the present moment </w:t>
      </w:r>
      <w:r w:rsidR="00AC2E7D">
        <w:rPr>
          <w:rFonts w:ascii="Arial" w:hAnsi="Arial" w:cs="Arial"/>
          <w:lang w:val="en-GB"/>
        </w:rPr>
        <w:t xml:space="preserve">and it </w:t>
      </w:r>
      <w:r w:rsidR="005B6D0D">
        <w:rPr>
          <w:rFonts w:ascii="Arial" w:hAnsi="Arial" w:cs="Arial"/>
          <w:lang w:val="en-GB"/>
        </w:rPr>
        <w:t xml:space="preserve">is a one-dimension of climate change risk perception </w:t>
      </w:r>
      <w:r w:rsidR="005B6D0D">
        <w:rPr>
          <w:rFonts w:ascii="Arial" w:hAnsi="Arial" w:cs="Arial"/>
          <w:lang w:val="en-GB"/>
        </w:rPr>
        <w:fldChar w:fldCharType="begin"/>
      </w:r>
      <w:r w:rsidR="005B6D0D">
        <w:rPr>
          <w:rFonts w:ascii="Arial" w:hAnsi="Arial" w:cs="Arial"/>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Pr>
          <w:rFonts w:ascii="Arial" w:hAnsi="Arial" w:cs="Arial"/>
          <w:lang w:val="en-GB"/>
        </w:rPr>
        <w:fldChar w:fldCharType="separate"/>
      </w:r>
      <w:r w:rsidR="005B6D0D" w:rsidRPr="005B6D0D">
        <w:rPr>
          <w:rFonts w:ascii="Arial" w:hAnsi="Arial" w:cs="Arial"/>
          <w:lang w:val="en-GB"/>
        </w:rPr>
        <w:t>(Echavarren et al., 2019)</w:t>
      </w:r>
      <w:r w:rsidR="005B6D0D">
        <w:rPr>
          <w:rFonts w:ascii="Arial" w:hAnsi="Arial" w:cs="Arial"/>
          <w:lang w:val="en-GB"/>
        </w:rPr>
        <w:fldChar w:fldCharType="end"/>
      </w:r>
      <w:r w:rsidR="005B6D0D">
        <w:rPr>
          <w:rFonts w:ascii="Arial" w:hAnsi="Arial" w:cs="Arial"/>
          <w:lang w:val="en-GB"/>
        </w:rPr>
        <w:t xml:space="preserve">. Successively, other questions </w:t>
      </w:r>
      <w:r w:rsidR="005B6D0D" w:rsidRPr="005B6D0D">
        <w:rPr>
          <w:rFonts w:ascii="Arial" w:hAnsi="Arial" w:cs="Arial"/>
          <w:lang w:val="en-GB"/>
        </w:rPr>
        <w:t xml:space="preserve">regarding the topic </w:t>
      </w:r>
      <w:r w:rsidR="005B6D0D">
        <w:rPr>
          <w:rFonts w:ascii="Arial" w:hAnsi="Arial" w:cs="Arial"/>
          <w:lang w:val="en-GB"/>
        </w:rPr>
        <w:t xml:space="preserve">are selected, all expressed on a 4-point Likert scale, </w:t>
      </w:r>
      <w:r w:rsidR="005B6D0D" w:rsidRPr="005B6D0D">
        <w:rPr>
          <w:rFonts w:ascii="Arial" w:hAnsi="Arial" w:cs="Arial"/>
          <w:lang w:val="en-GB"/>
        </w:rPr>
        <w:t>as already mentioned above</w:t>
      </w:r>
      <w:r w:rsidR="005B6D0D">
        <w:rPr>
          <w:rFonts w:ascii="Arial" w:hAnsi="Arial" w:cs="Arial"/>
          <w:lang w:val="en-GB"/>
        </w:rPr>
        <w:t xml:space="preserve">. Also, in this case, missing or refusal data is removed. </w:t>
      </w:r>
      <w:r w:rsidR="00FE67AC" w:rsidRPr="00593F7D">
        <w:rPr>
          <w:rFonts w:ascii="Arial" w:hAnsi="Arial" w:cs="Arial"/>
          <w:lang w:val="en-GB"/>
        </w:rPr>
        <w:lastRenderedPageBreak/>
        <w:t>The reason why</w:t>
      </w:r>
      <w:r w:rsidR="00B40E56" w:rsidRPr="00593F7D">
        <w:rPr>
          <w:rFonts w:ascii="Arial" w:hAnsi="Arial" w:cs="Arial"/>
          <w:lang w:val="en-GB"/>
        </w:rPr>
        <w:t xml:space="preserve"> k-means clustering and CCA does not accept missing data and therefore the entire observation must be </w:t>
      </w:r>
      <w:r w:rsidR="00C84C3D" w:rsidRPr="00593F7D">
        <w:rPr>
          <w:rFonts w:ascii="Arial" w:hAnsi="Arial" w:cs="Arial"/>
          <w:lang w:val="en-GB"/>
        </w:rPr>
        <w:t>removed</w:t>
      </w:r>
      <w:r w:rsidR="00B40E56" w:rsidRPr="00593F7D">
        <w:rPr>
          <w:rFonts w:ascii="Arial" w:hAnsi="Arial" w:cs="Arial"/>
          <w:lang w:val="en-GB"/>
        </w:rPr>
        <w:t xml:space="preserve">. </w:t>
      </w:r>
      <w:r w:rsidR="00C84C3D" w:rsidRPr="00593F7D">
        <w:rPr>
          <w:rFonts w:ascii="Arial" w:hAnsi="Arial" w:cs="Arial"/>
          <w:lang w:val="en-GB"/>
        </w:rPr>
        <w:t>Instead,</w:t>
      </w:r>
      <w:r w:rsidR="00B40E56" w:rsidRPr="00593F7D">
        <w:rPr>
          <w:rFonts w:ascii="Arial" w:hAnsi="Arial" w:cs="Arial"/>
          <w:lang w:val="en-GB"/>
        </w:rPr>
        <w:t xml:space="preserve"> socio-demographic variables are for the most part categorical an</w:t>
      </w:r>
      <w:r w:rsidR="00C84C3D" w:rsidRPr="00593F7D">
        <w:rPr>
          <w:rFonts w:ascii="Arial" w:hAnsi="Arial" w:cs="Arial"/>
          <w:lang w:val="en-GB"/>
        </w:rPr>
        <w:t xml:space="preserve">d </w:t>
      </w:r>
      <w:r w:rsidR="005C456F">
        <w:rPr>
          <w:rFonts w:ascii="Arial" w:hAnsi="Arial" w:cs="Arial"/>
          <w:lang w:val="en-GB"/>
        </w:rPr>
        <w:t>therefore</w:t>
      </w:r>
      <w:r w:rsidR="00C84C3D" w:rsidRPr="00593F7D">
        <w:rPr>
          <w:rFonts w:ascii="Arial" w:hAnsi="Arial" w:cs="Arial"/>
          <w:lang w:val="en-GB"/>
        </w:rPr>
        <w:t xml:space="preserve"> </w:t>
      </w:r>
      <w:r w:rsidR="00C84C3D" w:rsidRPr="00593F7D">
        <w:rPr>
          <w:rFonts w:ascii="Arial" w:hAnsi="Arial" w:cs="Arial"/>
          <w:i/>
          <w:iCs/>
          <w:lang w:val="en-GB"/>
        </w:rPr>
        <w:t>refusal</w:t>
      </w:r>
      <w:r w:rsidR="00C84C3D" w:rsidRPr="00593F7D">
        <w:rPr>
          <w:rFonts w:ascii="Arial" w:hAnsi="Arial" w:cs="Arial"/>
          <w:lang w:val="en-GB"/>
        </w:rPr>
        <w:t xml:space="preserve"> or </w:t>
      </w:r>
      <w:r w:rsidR="00C84C3D" w:rsidRPr="00593F7D">
        <w:rPr>
          <w:rFonts w:ascii="Arial" w:hAnsi="Arial" w:cs="Arial"/>
          <w:i/>
          <w:iCs/>
          <w:lang w:val="en-GB"/>
        </w:rPr>
        <w:t>dk</w:t>
      </w:r>
      <w:r w:rsidR="00C84C3D" w:rsidRPr="00593F7D">
        <w:rPr>
          <w:rFonts w:ascii="Arial" w:hAnsi="Arial" w:cs="Arial"/>
          <w:lang w:val="en-GB"/>
        </w:rPr>
        <w:t xml:space="preserve"> (don’t know) are kept among the answer choices.</w:t>
      </w:r>
      <w:r w:rsidR="00775B18" w:rsidRPr="00593F7D">
        <w:rPr>
          <w:rFonts w:ascii="Arial" w:hAnsi="Arial" w:cs="Arial"/>
          <w:lang w:val="en-GB"/>
        </w:rPr>
        <w:t xml:space="preserve"> However, some transformations are adopted in these variables. Political orientation (d1) is originally presented in a 10-points Likert scale (1</w:t>
      </w:r>
      <w:r w:rsidR="0009251C">
        <w:rPr>
          <w:rFonts w:ascii="Arial" w:hAnsi="Arial" w:cs="Arial"/>
          <w:lang w:val="en-GB"/>
        </w:rPr>
        <w:t xml:space="preserve"> =</w:t>
      </w:r>
      <w:r w:rsidR="00775B18" w:rsidRPr="00593F7D">
        <w:rPr>
          <w:rFonts w:ascii="Arial" w:hAnsi="Arial" w:cs="Arial"/>
          <w:lang w:val="en-GB"/>
        </w:rPr>
        <w:t xml:space="preserve"> left </w:t>
      </w:r>
      <w:r w:rsidR="0009251C">
        <w:rPr>
          <w:rFonts w:ascii="Arial" w:hAnsi="Arial" w:cs="Arial"/>
          <w:lang w:val="en-GB"/>
        </w:rPr>
        <w:t xml:space="preserve">to </w:t>
      </w:r>
      <w:r w:rsidR="00775B18" w:rsidRPr="00593F7D">
        <w:rPr>
          <w:rFonts w:ascii="Arial" w:hAnsi="Arial" w:cs="Arial"/>
          <w:lang w:val="en-GB"/>
        </w:rPr>
        <w:t xml:space="preserve">10 </w:t>
      </w:r>
      <w:r w:rsidR="0009251C">
        <w:rPr>
          <w:rFonts w:ascii="Arial" w:hAnsi="Arial" w:cs="Arial"/>
          <w:lang w:val="en-GB"/>
        </w:rPr>
        <w:t>=</w:t>
      </w:r>
      <w:r w:rsidR="00775B18" w:rsidRPr="00593F7D">
        <w:rPr>
          <w:rFonts w:ascii="Arial" w:hAnsi="Arial" w:cs="Arial"/>
          <w:lang w:val="en-GB"/>
        </w:rPr>
        <w:t>right). It is transformed in</w:t>
      </w:r>
      <w:r w:rsidR="005C456F">
        <w:rPr>
          <w:rFonts w:ascii="Arial" w:hAnsi="Arial" w:cs="Arial"/>
          <w:lang w:val="en-GB"/>
        </w:rPr>
        <w:t>to</w:t>
      </w:r>
      <w:r w:rsidR="00775B18" w:rsidRPr="00593F7D">
        <w:rPr>
          <w:rFonts w:ascii="Arial" w:hAnsi="Arial" w:cs="Arial"/>
          <w:lang w:val="en-GB"/>
        </w:rPr>
        <w:t xml:space="preserve"> a categorical variable: </w:t>
      </w:r>
      <w:r w:rsidR="00D9692C" w:rsidRPr="00593F7D">
        <w:rPr>
          <w:rFonts w:ascii="Arial" w:hAnsi="Arial" w:cs="Arial"/>
          <w:lang w:val="en-GB"/>
        </w:rPr>
        <w:t xml:space="preserve">the answers </w:t>
      </w:r>
      <w:r w:rsidR="00775B18" w:rsidRPr="00593F7D">
        <w:rPr>
          <w:rFonts w:ascii="Arial" w:hAnsi="Arial" w:cs="Arial"/>
          <w:lang w:val="en-GB"/>
        </w:rPr>
        <w:t>1-2 are become “left”,</w:t>
      </w:r>
      <w:r w:rsidR="00D9692C" w:rsidRPr="00593F7D">
        <w:rPr>
          <w:rFonts w:ascii="Arial" w:hAnsi="Arial" w:cs="Arial"/>
          <w:lang w:val="en-GB"/>
        </w:rPr>
        <w:t xml:space="preserve"> </w:t>
      </w:r>
      <w:r w:rsidR="00775B18" w:rsidRPr="00593F7D">
        <w:rPr>
          <w:rFonts w:ascii="Arial" w:hAnsi="Arial" w:cs="Arial"/>
          <w:lang w:val="en-GB"/>
        </w:rPr>
        <w:t xml:space="preserve">3-4 “centre-left”, 5-6 “centre”, 7-8 “centre-right”, 9-10 “right” and </w:t>
      </w:r>
      <w:r w:rsidR="00775B18" w:rsidRPr="005C456F">
        <w:rPr>
          <w:rFonts w:ascii="Arial" w:hAnsi="Arial" w:cs="Arial"/>
          <w:i/>
          <w:iCs/>
          <w:lang w:val="en-GB"/>
        </w:rPr>
        <w:t>dk</w:t>
      </w:r>
      <w:r w:rsidR="00775B18" w:rsidRPr="00593F7D">
        <w:rPr>
          <w:rFonts w:ascii="Arial" w:hAnsi="Arial" w:cs="Arial"/>
          <w:lang w:val="en-GB"/>
        </w:rPr>
        <w:t xml:space="preserve"> or </w:t>
      </w:r>
      <w:r w:rsidR="00775B18" w:rsidRPr="005C456F">
        <w:rPr>
          <w:rFonts w:ascii="Arial" w:hAnsi="Arial" w:cs="Arial"/>
          <w:i/>
          <w:iCs/>
          <w:lang w:val="en-GB"/>
        </w:rPr>
        <w:t>refusal</w:t>
      </w:r>
      <w:r w:rsidR="00775B18" w:rsidRPr="00593F7D">
        <w:rPr>
          <w:rFonts w:ascii="Arial" w:hAnsi="Arial" w:cs="Arial"/>
          <w:lang w:val="en-GB"/>
        </w:rPr>
        <w:t xml:space="preserve"> “not </w:t>
      </w:r>
      <w:proofErr w:type="spellStart"/>
      <w:r w:rsidR="00775B18" w:rsidRPr="00593F7D">
        <w:rPr>
          <w:rFonts w:ascii="Arial" w:hAnsi="Arial" w:cs="Arial"/>
          <w:lang w:val="en-GB"/>
        </w:rPr>
        <w:t>positionable</w:t>
      </w:r>
      <w:proofErr w:type="spellEnd"/>
      <w:r w:rsidR="00775B18" w:rsidRPr="00593F7D">
        <w:rPr>
          <w:rFonts w:ascii="Arial" w:hAnsi="Arial" w:cs="Arial"/>
          <w:lang w:val="en-GB"/>
        </w:rPr>
        <w:t>”</w:t>
      </w:r>
      <w:r w:rsidR="00D9692C" w:rsidRPr="00593F7D">
        <w:rPr>
          <w:rFonts w:ascii="Arial" w:hAnsi="Arial" w:cs="Arial"/>
          <w:lang w:val="en-GB"/>
        </w:rPr>
        <w:t xml:space="preserve">. For the current situation variable (d7), some new categories are created depending on whether individual has declared that he/she lives with “partner”, “partner and children” or he/she is “single” or “single </w:t>
      </w:r>
      <w:r w:rsidR="00360C02">
        <w:rPr>
          <w:rFonts w:ascii="Arial" w:hAnsi="Arial" w:cs="Arial"/>
          <w:lang w:val="en-GB"/>
        </w:rPr>
        <w:t xml:space="preserve">(and he/she lives) </w:t>
      </w:r>
      <w:r w:rsidR="00D9692C" w:rsidRPr="00593F7D">
        <w:rPr>
          <w:rFonts w:ascii="Arial" w:hAnsi="Arial" w:cs="Arial"/>
          <w:lang w:val="en-GB"/>
        </w:rPr>
        <w:t>with children”. The education variable</w:t>
      </w:r>
      <w:r w:rsidR="00DC1E6B" w:rsidRPr="00593F7D">
        <w:rPr>
          <w:rFonts w:ascii="Arial" w:hAnsi="Arial" w:cs="Arial"/>
          <w:lang w:val="en-GB"/>
        </w:rPr>
        <w:t xml:space="preserve"> (d8)</w:t>
      </w:r>
      <w:r w:rsidR="00DA4DF4" w:rsidRPr="00593F7D">
        <w:rPr>
          <w:rFonts w:ascii="Arial" w:hAnsi="Arial" w:cs="Arial"/>
          <w:lang w:val="en-GB"/>
        </w:rPr>
        <w:t xml:space="preserve">, or rather when he/she finished </w:t>
      </w:r>
      <w:r w:rsidR="00996347">
        <w:rPr>
          <w:rFonts w:ascii="Arial" w:hAnsi="Arial" w:cs="Arial"/>
          <w:lang w:val="en-GB"/>
        </w:rPr>
        <w:t>studying</w:t>
      </w:r>
      <w:r w:rsidR="00DA4DF4" w:rsidRPr="00593F7D">
        <w:rPr>
          <w:rFonts w:ascii="Arial" w:hAnsi="Arial" w:cs="Arial"/>
          <w:lang w:val="en-GB"/>
        </w:rPr>
        <w:t xml:space="preserve">, </w:t>
      </w:r>
      <w:r w:rsidR="00D9692C" w:rsidRPr="00593F7D">
        <w:rPr>
          <w:rFonts w:ascii="Arial" w:hAnsi="Arial" w:cs="Arial"/>
          <w:lang w:val="en-GB"/>
        </w:rPr>
        <w:t xml:space="preserve">is been converted from continuous to categorical. </w:t>
      </w:r>
      <w:r w:rsidR="00DC1E6B" w:rsidRPr="00593F7D">
        <w:rPr>
          <w:rFonts w:ascii="Arial" w:hAnsi="Arial" w:cs="Arial"/>
          <w:lang w:val="en-GB"/>
        </w:rPr>
        <w:t>According to scholars</w:t>
      </w:r>
      <w:r w:rsidR="00E02C15" w:rsidRPr="00593F7D">
        <w:rPr>
          <w:rFonts w:ascii="Arial" w:hAnsi="Arial" w:cs="Arial"/>
          <w:lang w:val="en-GB"/>
        </w:rPr>
        <w:t xml:space="preserve"> </w:t>
      </w:r>
      <w:r w:rsidR="00DC1E6B" w:rsidRPr="00593F7D">
        <w:rPr>
          <w:rFonts w:ascii="Arial" w:hAnsi="Arial" w:cs="Arial"/>
          <w:lang w:val="en-GB"/>
        </w:rPr>
        <w:fldChar w:fldCharType="begin"/>
      </w:r>
      <w:r w:rsidR="005B29DE" w:rsidRPr="00593F7D">
        <w:rPr>
          <w:rFonts w:ascii="Arial" w:hAnsi="Arial" w:cs="Arial"/>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593F7D">
        <w:rPr>
          <w:rFonts w:ascii="Arial" w:hAnsi="Arial" w:cs="Arial"/>
          <w:lang w:val="en-GB"/>
        </w:rPr>
        <w:fldChar w:fldCharType="separate"/>
      </w:r>
      <w:r w:rsidR="005B29DE" w:rsidRPr="00593F7D">
        <w:rPr>
          <w:rFonts w:ascii="Arial" w:hAnsi="Arial" w:cs="Arial"/>
          <w:lang w:val="en-GB"/>
        </w:rPr>
        <w:t>(Abu-Omar &amp; Rütten, 2008; Loyen, 2016)</w:t>
      </w:r>
      <w:r w:rsidR="00DC1E6B" w:rsidRPr="00593F7D">
        <w:rPr>
          <w:rFonts w:ascii="Arial" w:hAnsi="Arial" w:cs="Arial"/>
          <w:lang w:val="en-GB"/>
        </w:rPr>
        <w:fldChar w:fldCharType="end"/>
      </w:r>
      <w:r w:rsidR="00DC1E6B" w:rsidRPr="00593F7D">
        <w:rPr>
          <w:rFonts w:ascii="Arial" w:hAnsi="Arial" w:cs="Arial"/>
          <w:lang w:val="en-GB"/>
        </w:rPr>
        <w:t xml:space="preserve"> </w:t>
      </w:r>
      <w:r w:rsidR="00DA4DF4" w:rsidRPr="00593F7D">
        <w:rPr>
          <w:rFonts w:ascii="Arial" w:hAnsi="Arial" w:cs="Arial"/>
          <w:lang w:val="en-GB"/>
        </w:rPr>
        <w:t xml:space="preserve">five </w:t>
      </w:r>
      <w:r w:rsidR="00DC1E6B" w:rsidRPr="00593F7D">
        <w:rPr>
          <w:rFonts w:ascii="Arial" w:hAnsi="Arial" w:cs="Arial"/>
          <w:lang w:val="en-GB"/>
        </w:rPr>
        <w:t xml:space="preserve">categories are created: “up to 15 years”, “16-19 years”, “20+years”, “still studying” and “refusal/other”. </w:t>
      </w:r>
      <w:r w:rsidR="00DA4DF4" w:rsidRPr="00593F7D">
        <w:rPr>
          <w:rFonts w:ascii="Arial" w:hAnsi="Arial" w:cs="Arial"/>
          <w:lang w:val="en-GB"/>
        </w:rPr>
        <w:t xml:space="preserve">Gender (d10) </w:t>
      </w:r>
      <w:r w:rsidR="005B29DE" w:rsidRPr="00593F7D">
        <w:rPr>
          <w:rFonts w:ascii="Arial" w:hAnsi="Arial" w:cs="Arial"/>
          <w:lang w:val="en-GB"/>
        </w:rPr>
        <w:t xml:space="preserve">and age (d11) are not manipulated since nobody answered with “other” and therefore the first variable is a </w:t>
      </w:r>
      <w:r w:rsidR="000304AC">
        <w:rPr>
          <w:rFonts w:ascii="Arial" w:hAnsi="Arial" w:cs="Arial"/>
          <w:lang w:val="en-GB"/>
        </w:rPr>
        <w:t xml:space="preserve">dichotomous </w:t>
      </w:r>
      <w:r w:rsidR="00DA4DF4" w:rsidRPr="00593F7D">
        <w:rPr>
          <w:rFonts w:ascii="Arial" w:hAnsi="Arial" w:cs="Arial"/>
          <w:lang w:val="en-GB"/>
        </w:rPr>
        <w:t>“male” and “female”</w:t>
      </w:r>
      <w:r w:rsidR="000304AC">
        <w:rPr>
          <w:rFonts w:ascii="Arial" w:hAnsi="Arial" w:cs="Arial"/>
          <w:lang w:val="en-GB"/>
        </w:rPr>
        <w:t xml:space="preserve"> option</w:t>
      </w:r>
      <w:r w:rsidR="005B29DE" w:rsidRPr="00593F7D">
        <w:rPr>
          <w:rFonts w:ascii="Arial" w:hAnsi="Arial" w:cs="Arial"/>
          <w:lang w:val="en-GB"/>
        </w:rPr>
        <w:t xml:space="preserve">, while the second one is </w:t>
      </w:r>
      <w:r w:rsidR="00996347">
        <w:rPr>
          <w:rFonts w:ascii="Arial" w:hAnsi="Arial" w:cs="Arial"/>
          <w:lang w:val="en-GB"/>
        </w:rPr>
        <w:t xml:space="preserve">maintained as </w:t>
      </w:r>
      <w:r w:rsidR="00996347" w:rsidRPr="00593F7D">
        <w:rPr>
          <w:rFonts w:ascii="Arial" w:hAnsi="Arial" w:cs="Arial"/>
          <w:lang w:val="en-GB"/>
        </w:rPr>
        <w:t>continuous</w:t>
      </w:r>
      <w:r w:rsidR="005B29DE" w:rsidRPr="00593F7D">
        <w:rPr>
          <w:rFonts w:ascii="Arial" w:hAnsi="Arial" w:cs="Arial"/>
          <w:lang w:val="en-GB"/>
        </w:rPr>
        <w:t xml:space="preserve">. </w:t>
      </w:r>
      <w:r w:rsidR="000D3FCA" w:rsidRPr="00593F7D">
        <w:rPr>
          <w:rFonts w:ascii="Arial" w:hAnsi="Arial" w:cs="Arial"/>
          <w:lang w:val="en-GB"/>
        </w:rPr>
        <w:t xml:space="preserve">For place of residence (d25) and class identity (d63) variables, the categories proposed by the Eurobarometer are kept. </w:t>
      </w:r>
      <w:r w:rsidR="000304AC">
        <w:rPr>
          <w:rFonts w:ascii="Arial" w:hAnsi="Arial" w:cs="Arial"/>
          <w:lang w:val="en-GB"/>
        </w:rPr>
        <w:t>Respectively, t</w:t>
      </w:r>
      <w:r w:rsidR="000D3FCA" w:rsidRPr="00593F7D">
        <w:rPr>
          <w:rFonts w:ascii="Arial" w:hAnsi="Arial" w:cs="Arial"/>
          <w:lang w:val="en-GB"/>
        </w:rPr>
        <w:t xml:space="preserve">he first has the following </w:t>
      </w:r>
      <w:r w:rsidR="003C46B1" w:rsidRPr="00593F7D">
        <w:rPr>
          <w:rFonts w:ascii="Arial" w:hAnsi="Arial" w:cs="Arial"/>
          <w:lang w:val="en-GB"/>
        </w:rPr>
        <w:t>classes</w:t>
      </w:r>
      <w:r w:rsidR="000D3FCA" w:rsidRPr="00593F7D">
        <w:rPr>
          <w:rFonts w:ascii="Arial" w:hAnsi="Arial" w:cs="Arial"/>
          <w:lang w:val="en-GB"/>
        </w:rPr>
        <w:t xml:space="preserve">: “rural area or village”, “small or middle sized town”, “large town” and “dk” (don’t know). While </w:t>
      </w:r>
      <w:r w:rsidR="000304AC">
        <w:rPr>
          <w:rFonts w:ascii="Arial" w:hAnsi="Arial" w:cs="Arial"/>
          <w:lang w:val="en-GB"/>
        </w:rPr>
        <w:t>the second one</w:t>
      </w:r>
      <w:r w:rsidR="000D3FCA" w:rsidRPr="00593F7D">
        <w:rPr>
          <w:rFonts w:ascii="Arial" w:hAnsi="Arial" w:cs="Arial"/>
          <w:lang w:val="en-GB"/>
        </w:rPr>
        <w:t xml:space="preserve"> ha</w:t>
      </w:r>
      <w:r w:rsidR="000304AC">
        <w:rPr>
          <w:rFonts w:ascii="Arial" w:hAnsi="Arial" w:cs="Arial"/>
          <w:lang w:val="en-GB"/>
        </w:rPr>
        <w:t>s the options</w:t>
      </w:r>
      <w:r w:rsidR="000D3FCA" w:rsidRPr="00593F7D">
        <w:rPr>
          <w:rFonts w:ascii="Arial" w:hAnsi="Arial" w:cs="Arial"/>
          <w:lang w:val="en-GB"/>
        </w:rPr>
        <w:t>: “the working class of society”, “the lower middle class of society”, “the middle class of society”, “the upper middle class of society”, “the higher class of society”</w:t>
      </w:r>
      <w:r w:rsidR="003C46B1" w:rsidRPr="00593F7D">
        <w:rPr>
          <w:rFonts w:ascii="Arial" w:hAnsi="Arial" w:cs="Arial"/>
          <w:lang w:val="en-GB"/>
        </w:rPr>
        <w:t>.</w:t>
      </w:r>
      <w:r w:rsidR="0009251C">
        <w:rPr>
          <w:rStyle w:val="Rimandonotaapidipagina"/>
          <w:rFonts w:ascii="Arial" w:hAnsi="Arial" w:cs="Arial"/>
          <w:lang w:val="en-GB"/>
        </w:rPr>
        <w:footnoteReference w:id="3"/>
      </w:r>
      <w:r w:rsidR="00593F7D">
        <w:rPr>
          <w:rFonts w:ascii="Arial" w:hAnsi="Arial" w:cs="Arial"/>
          <w:lang w:val="en-GB"/>
        </w:rPr>
        <w:t xml:space="preserve"> </w:t>
      </w:r>
    </w:p>
    <w:p w14:paraId="4B125D8E" w14:textId="5D890ECF" w:rsidR="00775B18" w:rsidRPr="00593F7D" w:rsidRDefault="003C46B1" w:rsidP="00E4483A">
      <w:pPr>
        <w:spacing w:line="360" w:lineRule="auto"/>
        <w:jc w:val="both"/>
        <w:rPr>
          <w:rFonts w:ascii="Arial" w:hAnsi="Arial" w:cs="Arial"/>
          <w:lang w:val="en-GB"/>
        </w:rPr>
      </w:pPr>
      <w:r w:rsidRPr="00593F7D">
        <w:rPr>
          <w:rFonts w:ascii="Arial" w:hAnsi="Arial" w:cs="Arial"/>
          <w:lang w:val="en-GB"/>
        </w:rPr>
        <w:t xml:space="preserve">Lastly, country variable </w:t>
      </w:r>
      <w:r w:rsidR="00593F7D">
        <w:rPr>
          <w:rFonts w:ascii="Arial" w:hAnsi="Arial" w:cs="Arial"/>
          <w:lang w:val="en-GB"/>
        </w:rPr>
        <w:t xml:space="preserve">is </w:t>
      </w:r>
      <w:r w:rsidRPr="00593F7D">
        <w:rPr>
          <w:rFonts w:ascii="Arial" w:hAnsi="Arial" w:cs="Arial"/>
          <w:lang w:val="en-GB"/>
        </w:rPr>
        <w:t xml:space="preserve">considered. </w:t>
      </w:r>
      <w:r w:rsidRPr="000304AC">
        <w:rPr>
          <w:rFonts w:ascii="Arial" w:hAnsi="Arial" w:cs="Arial"/>
          <w:lang w:val="en-GB"/>
        </w:rPr>
        <w:t xml:space="preserve">Eurobarometer surveys collected </w:t>
      </w:r>
      <w:r w:rsidR="000304AC" w:rsidRPr="000304AC">
        <w:rPr>
          <w:rFonts w:ascii="Arial" w:hAnsi="Arial" w:cs="Arial"/>
          <w:lang w:val="en-GB"/>
        </w:rPr>
        <w:t>about</w:t>
      </w:r>
      <w:r w:rsidRPr="000304AC">
        <w:rPr>
          <w:rFonts w:ascii="Arial" w:hAnsi="Arial" w:cs="Arial"/>
          <w:lang w:val="en-GB"/>
        </w:rPr>
        <w:t xml:space="preserve"> 1000 interviews</w:t>
      </w:r>
      <w:r w:rsidR="000304AC" w:rsidRPr="000304AC">
        <w:rPr>
          <w:rFonts w:ascii="Arial" w:hAnsi="Arial" w:cs="Arial"/>
          <w:lang w:val="en-GB"/>
        </w:rPr>
        <w:t xml:space="preserve"> on the average</w:t>
      </w:r>
      <w:r w:rsidRPr="000304AC">
        <w:rPr>
          <w:rFonts w:ascii="Arial" w:hAnsi="Arial" w:cs="Arial"/>
          <w:lang w:val="en-GB"/>
        </w:rPr>
        <w:t xml:space="preserve"> </w:t>
      </w:r>
      <w:r w:rsidR="003F3839">
        <w:rPr>
          <w:rFonts w:ascii="Arial" w:hAnsi="Arial" w:cs="Arial"/>
          <w:lang w:val="en-GB"/>
        </w:rPr>
        <w:t>for each</w:t>
      </w:r>
      <w:r w:rsidRPr="000304AC">
        <w:rPr>
          <w:rFonts w:ascii="Arial" w:hAnsi="Arial" w:cs="Arial"/>
          <w:lang w:val="en-GB"/>
        </w:rPr>
        <w:t xml:space="preserve"> country</w:t>
      </w:r>
      <w:r w:rsidR="000304AC">
        <w:rPr>
          <w:rFonts w:ascii="Arial" w:hAnsi="Arial" w:cs="Arial"/>
          <w:lang w:val="en-GB"/>
        </w:rPr>
        <w:t>, except</w:t>
      </w:r>
      <w:r w:rsidR="003F3839">
        <w:rPr>
          <w:rFonts w:ascii="Arial" w:hAnsi="Arial" w:cs="Arial"/>
          <w:lang w:val="en-GB"/>
        </w:rPr>
        <w:t xml:space="preserve"> for small nations, such as</w:t>
      </w:r>
      <w:r w:rsidR="000304AC">
        <w:rPr>
          <w:rFonts w:ascii="Arial" w:hAnsi="Arial" w:cs="Arial"/>
          <w:lang w:val="en-GB"/>
        </w:rPr>
        <w:t xml:space="preserve"> Malta and </w:t>
      </w:r>
      <w:r w:rsidR="000304AC" w:rsidRPr="000304AC">
        <w:rPr>
          <w:rFonts w:ascii="Arial" w:hAnsi="Arial" w:cs="Arial"/>
          <w:lang w:val="en-GB"/>
        </w:rPr>
        <w:t>Luxembourg</w:t>
      </w:r>
      <w:r w:rsidR="000304AC">
        <w:rPr>
          <w:rFonts w:ascii="Arial" w:hAnsi="Arial" w:cs="Arial"/>
          <w:lang w:val="en-GB"/>
        </w:rPr>
        <w:t>.</w:t>
      </w:r>
      <w:r w:rsidRPr="00593F7D">
        <w:rPr>
          <w:rFonts w:ascii="Arial" w:hAnsi="Arial" w:cs="Arial"/>
          <w:lang w:val="en-GB"/>
        </w:rPr>
        <w:t xml:space="preserve"> Only a manipulation is computed: West and East Germany are </w:t>
      </w:r>
      <w:r w:rsidR="003F3839">
        <w:rPr>
          <w:rFonts w:ascii="Arial" w:hAnsi="Arial" w:cs="Arial"/>
          <w:lang w:val="en-GB"/>
        </w:rPr>
        <w:t>combined</w:t>
      </w:r>
      <w:r w:rsidRPr="00593F7D">
        <w:rPr>
          <w:rFonts w:ascii="Arial" w:hAnsi="Arial" w:cs="Arial"/>
          <w:lang w:val="en-GB"/>
        </w:rPr>
        <w:t xml:space="preserve"> in</w:t>
      </w:r>
      <w:r w:rsidR="003F3839">
        <w:rPr>
          <w:rFonts w:ascii="Arial" w:hAnsi="Arial" w:cs="Arial"/>
          <w:lang w:val="en-GB"/>
        </w:rPr>
        <w:t>to one</w:t>
      </w:r>
      <w:r w:rsidRPr="00593F7D">
        <w:rPr>
          <w:rFonts w:ascii="Arial" w:hAnsi="Arial" w:cs="Arial"/>
          <w:lang w:val="en-GB"/>
        </w:rPr>
        <w:t xml:space="preserve"> </w:t>
      </w:r>
      <w:r w:rsidR="003F3839">
        <w:rPr>
          <w:rFonts w:ascii="Arial" w:hAnsi="Arial" w:cs="Arial"/>
          <w:lang w:val="en-GB"/>
        </w:rPr>
        <w:t>country</w:t>
      </w:r>
      <w:r w:rsidRPr="00593F7D">
        <w:rPr>
          <w:rFonts w:ascii="Arial" w:hAnsi="Arial" w:cs="Arial"/>
          <w:lang w:val="en-GB"/>
        </w:rPr>
        <w:t xml:space="preserve"> “Germany”.</w:t>
      </w:r>
    </w:p>
    <w:p w14:paraId="6386BC35" w14:textId="7666C745" w:rsidR="00B32A34" w:rsidRPr="00593F7D" w:rsidRDefault="003C46B1" w:rsidP="00E4483A">
      <w:pPr>
        <w:spacing w:line="360" w:lineRule="auto"/>
        <w:jc w:val="both"/>
        <w:rPr>
          <w:rFonts w:ascii="Arial" w:hAnsi="Arial" w:cs="Arial"/>
          <w:lang w:val="en-GB"/>
        </w:rPr>
      </w:pPr>
      <w:r w:rsidRPr="00593F7D">
        <w:rPr>
          <w:rFonts w:ascii="Arial" w:hAnsi="Arial" w:cs="Arial"/>
          <w:lang w:val="en-GB"/>
        </w:rPr>
        <w:t>To sum up, t</w:t>
      </w:r>
      <w:r w:rsidR="00C84C3D" w:rsidRPr="00593F7D">
        <w:rPr>
          <w:rFonts w:ascii="Arial" w:hAnsi="Arial" w:cs="Arial"/>
          <w:lang w:val="en-GB"/>
        </w:rPr>
        <w:t>he final dataset has 21978 respondents</w:t>
      </w:r>
      <w:r w:rsidRPr="00593F7D">
        <w:rPr>
          <w:rFonts w:ascii="Arial" w:hAnsi="Arial" w:cs="Arial"/>
          <w:lang w:val="en-GB"/>
        </w:rPr>
        <w:t xml:space="preserve"> (out of 27655)</w:t>
      </w:r>
      <w:r w:rsidR="000226A6">
        <w:rPr>
          <w:rFonts w:ascii="Arial" w:hAnsi="Arial" w:cs="Arial"/>
          <w:lang w:val="en-GB"/>
        </w:rPr>
        <w:t>.</w:t>
      </w:r>
      <w:r w:rsidR="000226A6">
        <w:rPr>
          <w:rStyle w:val="Rimandonotaapidipagina"/>
          <w:rFonts w:ascii="Arial" w:hAnsi="Arial" w:cs="Arial"/>
          <w:lang w:val="en-GB"/>
        </w:rPr>
        <w:footnoteReference w:id="4"/>
      </w:r>
    </w:p>
    <w:p w14:paraId="734538AB" w14:textId="11F67648" w:rsidR="000226A6" w:rsidRDefault="000226A6" w:rsidP="00E4483A">
      <w:pPr>
        <w:jc w:val="both"/>
        <w:rPr>
          <w:rFonts w:ascii="Arial" w:hAnsi="Arial" w:cs="Arial"/>
          <w:lang w:val="en-GB"/>
        </w:rPr>
      </w:pPr>
      <w:r>
        <w:rPr>
          <w:rFonts w:ascii="Arial" w:hAnsi="Arial" w:cs="Arial"/>
          <w:lang w:val="en-GB"/>
        </w:rPr>
        <w:br w:type="page"/>
      </w:r>
    </w:p>
    <w:p w14:paraId="547D2683" w14:textId="6CC709DF" w:rsidR="008850D6" w:rsidRPr="002354BE" w:rsidRDefault="008850D6" w:rsidP="00E4483A">
      <w:pPr>
        <w:jc w:val="both"/>
        <w:rPr>
          <w:rFonts w:ascii="Arial" w:hAnsi="Arial" w:cs="Arial"/>
          <w:b/>
          <w:bCs/>
          <w:lang w:val="en-GB"/>
        </w:rPr>
      </w:pPr>
      <w:r w:rsidRPr="00C43052">
        <w:rPr>
          <w:rFonts w:ascii="Arial" w:hAnsi="Arial" w:cs="Arial"/>
          <w:b/>
          <w:bCs/>
          <w:lang w:val="en-GB"/>
        </w:rPr>
        <w:lastRenderedPageBreak/>
        <w:t>Analysis</w:t>
      </w:r>
    </w:p>
    <w:p w14:paraId="3D206642" w14:textId="0063B5EE" w:rsidR="00C43052" w:rsidRPr="00C43052" w:rsidRDefault="00C43052" w:rsidP="00E4483A">
      <w:pPr>
        <w:spacing w:line="360" w:lineRule="auto"/>
        <w:jc w:val="both"/>
        <w:rPr>
          <w:rFonts w:ascii="Arial" w:hAnsi="Arial" w:cs="Arial"/>
          <w:lang w:val="en-GB"/>
        </w:rPr>
      </w:pPr>
      <w:r w:rsidRPr="00C43052">
        <w:rPr>
          <w:rFonts w:ascii="Arial" w:hAnsi="Arial" w:cs="Arial"/>
          <w:highlight w:val="yellow"/>
          <w:lang w:val="en-GB"/>
        </w:rPr>
        <w:t xml:space="preserve">The following section illustrates the different steps undertaken to obtain a prediction model for </w:t>
      </w:r>
      <w:r w:rsidR="00593F7D">
        <w:rPr>
          <w:rFonts w:ascii="Arial" w:hAnsi="Arial" w:cs="Arial"/>
          <w:highlight w:val="yellow"/>
          <w:lang w:val="en-GB"/>
        </w:rPr>
        <w:t>pro-environmental action</w:t>
      </w:r>
      <w:r w:rsidRPr="00C43052">
        <w:rPr>
          <w:rFonts w:ascii="Arial" w:hAnsi="Arial" w:cs="Arial"/>
          <w:highlight w:val="yellow"/>
          <w:lang w:val="en-GB"/>
        </w:rPr>
        <w:t>. In particular, the first step consists of Exploratory Data Analysis</w:t>
      </w:r>
      <w:r w:rsidR="00B373A4" w:rsidRPr="00B373A4">
        <w:rPr>
          <w:rFonts w:ascii="Arial" w:hAnsi="Arial" w:cs="Arial"/>
          <w:lang w:val="en-GB"/>
        </w:rPr>
        <w:t xml:space="preserve">, in order to </w:t>
      </w:r>
      <w:r w:rsidR="00B373A4">
        <w:rPr>
          <w:rFonts w:ascii="Arial" w:hAnsi="Arial" w:cs="Arial"/>
          <w:lang w:val="en-GB"/>
        </w:rPr>
        <w:t>investigate</w:t>
      </w:r>
      <w:r w:rsidR="00B373A4" w:rsidRPr="00B373A4">
        <w:rPr>
          <w:rFonts w:ascii="Arial" w:hAnsi="Arial" w:cs="Arial"/>
          <w:lang w:val="en-GB"/>
        </w:rPr>
        <w:t xml:space="preserve"> climate change attitudes.</w:t>
      </w:r>
      <w:r w:rsidRPr="00C43052">
        <w:rPr>
          <w:rFonts w:ascii="Arial" w:hAnsi="Arial" w:cs="Arial"/>
          <w:highlight w:val="yellow"/>
          <w:lang w:val="en-GB"/>
        </w:rPr>
        <w:t xml:space="preserve"> Then, the best fitting models tested to predict the final price are presented.</w:t>
      </w:r>
    </w:p>
    <w:p w14:paraId="153261A9" w14:textId="77777777" w:rsidR="0070675A" w:rsidRDefault="008850D6" w:rsidP="00E4483A">
      <w:pPr>
        <w:spacing w:line="360" w:lineRule="auto"/>
        <w:jc w:val="both"/>
        <w:rPr>
          <w:rFonts w:ascii="Arial" w:hAnsi="Arial" w:cs="Arial"/>
          <w:b/>
          <w:bCs/>
          <w:lang w:val="en-GB"/>
        </w:rPr>
      </w:pPr>
      <w:r w:rsidRPr="00C43052">
        <w:rPr>
          <w:rFonts w:ascii="Arial" w:hAnsi="Arial" w:cs="Arial"/>
          <w:b/>
          <w:bCs/>
          <w:lang w:val="en-GB"/>
        </w:rPr>
        <w:t>Exploratory Data Analysis</w:t>
      </w:r>
    </w:p>
    <w:p w14:paraId="331E4EA8" w14:textId="0D6AAFFF" w:rsidR="009A65B5" w:rsidRDefault="009A65B5" w:rsidP="00E4483A">
      <w:pPr>
        <w:spacing w:line="360" w:lineRule="auto"/>
        <w:jc w:val="both"/>
        <w:rPr>
          <w:rFonts w:ascii="Arial" w:hAnsi="Arial" w:cs="Arial"/>
          <w:lang w:val="en-GB"/>
        </w:rPr>
      </w:pPr>
      <w:r>
        <w:rPr>
          <w:rFonts w:ascii="Arial" w:hAnsi="Arial" w:cs="Arial"/>
          <w:lang w:val="en-GB"/>
        </w:rPr>
        <w:t>C</w:t>
      </w:r>
      <w:r w:rsidRPr="00181E81">
        <w:rPr>
          <w:rFonts w:ascii="Arial" w:hAnsi="Arial" w:cs="Arial"/>
          <w:lang w:val="en-GB"/>
        </w:rPr>
        <w:t xml:space="preserve">limate change attitudes do not vary only between countries but also between citizens in the same country </w:t>
      </w:r>
      <w:r w:rsidRPr="00181E81">
        <w:rPr>
          <w:rFonts w:ascii="Arial" w:hAnsi="Arial" w:cs="Arial"/>
          <w:lang w:val="en-GB"/>
        </w:rPr>
        <w:fldChar w:fldCharType="begin"/>
      </w:r>
      <w:r w:rsidRPr="00181E81">
        <w:rPr>
          <w:rFonts w:ascii="Arial" w:hAnsi="Arial" w:cs="Arial"/>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181E81">
        <w:rPr>
          <w:rFonts w:ascii="Arial" w:hAnsi="Arial" w:cs="Arial"/>
          <w:lang w:val="en-GB"/>
        </w:rPr>
        <w:fldChar w:fldCharType="separate"/>
      </w:r>
      <w:r w:rsidRPr="00181E81">
        <w:rPr>
          <w:rFonts w:ascii="Arial" w:hAnsi="Arial" w:cs="Arial"/>
          <w:lang w:val="en-GB"/>
        </w:rPr>
        <w:t>(Xie et al., 2019)</w:t>
      </w:r>
      <w:r w:rsidRPr="00181E81">
        <w:rPr>
          <w:rFonts w:ascii="Arial" w:hAnsi="Arial" w:cs="Arial"/>
          <w:lang w:val="en-GB"/>
        </w:rPr>
        <w:fldChar w:fldCharType="end"/>
      </w:r>
      <w:r w:rsidRPr="00181E81">
        <w:rPr>
          <w:rFonts w:ascii="Arial" w:hAnsi="Arial" w:cs="Arial"/>
          <w:lang w:val="en-GB"/>
        </w:rPr>
        <w:t xml:space="preserve">. </w:t>
      </w:r>
      <w:r>
        <w:rPr>
          <w:rFonts w:ascii="Arial" w:hAnsi="Arial" w:cs="Arial"/>
          <w:lang w:val="en-GB"/>
        </w:rPr>
        <w:t xml:space="preserve">As you can see in the figure 1, </w:t>
      </w:r>
      <w:r w:rsidR="00E55547">
        <w:rPr>
          <w:rFonts w:ascii="Arial" w:hAnsi="Arial" w:cs="Arial"/>
          <w:lang w:val="en-GB"/>
        </w:rPr>
        <w:t xml:space="preserve">the percentage of those who believe that climate change is the single most serious problem varies significantly according to country. </w:t>
      </w:r>
      <w:r w:rsidR="00632F8C">
        <w:rPr>
          <w:rFonts w:ascii="Arial" w:hAnsi="Arial" w:cs="Arial"/>
          <w:lang w:val="en-GB"/>
        </w:rPr>
        <w:t xml:space="preserve">For example, Bulgaria and Croatia obtain the smaller percentage, that is 11% of citizens who think climate change is the single most serious problem. On the contrary, about 1 out 2 Sweden’s citizen </w:t>
      </w:r>
      <w:r w:rsidR="00D14881">
        <w:rPr>
          <w:rFonts w:ascii="Arial" w:hAnsi="Arial" w:cs="Arial"/>
          <w:lang w:val="en-GB"/>
        </w:rPr>
        <w:t xml:space="preserve">indicated climate change. </w:t>
      </w:r>
      <w:r w:rsidR="00632F8C">
        <w:rPr>
          <w:rFonts w:ascii="Arial" w:hAnsi="Arial" w:cs="Arial"/>
          <w:lang w:val="en-GB"/>
        </w:rPr>
        <w:t xml:space="preserve"> </w:t>
      </w:r>
    </w:p>
    <w:p w14:paraId="439FF711" w14:textId="77777777" w:rsidR="00B373A4" w:rsidRDefault="009A65B5" w:rsidP="00E4483A">
      <w:pPr>
        <w:spacing w:line="360" w:lineRule="auto"/>
        <w:jc w:val="both"/>
        <w:rPr>
          <w:rFonts w:ascii="Arial" w:hAnsi="Arial" w:cs="Arial"/>
          <w:lang w:val="en-GB"/>
        </w:rPr>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8AB8DEF" w14:textId="7091C2C5" w:rsidR="00B373A4" w:rsidRDefault="00B373A4" w:rsidP="00E4483A">
      <w:pPr>
        <w:spacing w:line="360" w:lineRule="auto"/>
        <w:jc w:val="both"/>
        <w:rPr>
          <w:rFonts w:ascii="Arial" w:hAnsi="Arial" w:cs="Arial"/>
          <w:lang w:val="en-GB"/>
        </w:rPr>
      </w:pPr>
      <w:r>
        <w:rPr>
          <w:rFonts w:ascii="Arial" w:hAnsi="Arial" w:cs="Arial"/>
          <w:lang w:val="en-GB"/>
        </w:rPr>
        <w:t xml:space="preserve">Figure 1: </w:t>
      </w:r>
      <w:r w:rsidR="0043232E">
        <w:rPr>
          <w:rFonts w:ascii="Arial" w:hAnsi="Arial" w:cs="Arial"/>
          <w:lang w:val="en-GB"/>
        </w:rPr>
        <w:t>Single Most Serious Problem</w:t>
      </w:r>
    </w:p>
    <w:p w14:paraId="2096DC1F" w14:textId="6C4F674C" w:rsidR="0043232E" w:rsidRDefault="00B373A4" w:rsidP="00E4483A">
      <w:pPr>
        <w:spacing w:line="360" w:lineRule="auto"/>
        <w:jc w:val="both"/>
        <w:rPr>
          <w:rFonts w:ascii="Arial" w:hAnsi="Arial" w:cs="Arial"/>
          <w:lang w:val="en-GB"/>
        </w:rPr>
      </w:pPr>
      <w:r>
        <w:rPr>
          <w:rFonts w:ascii="Arial" w:hAnsi="Arial" w:cs="Arial"/>
          <w:lang w:val="en-GB"/>
        </w:rPr>
        <w:t xml:space="preserve">Another interesting example is the difference in the climate change risk perception. </w:t>
      </w:r>
      <w:r w:rsidR="0043232E">
        <w:rPr>
          <w:rFonts w:ascii="Arial" w:hAnsi="Arial" w:cs="Arial"/>
          <w:lang w:val="en-GB"/>
        </w:rPr>
        <w:t xml:space="preserve">As you can see in the figure 2, about half of citizens of Malta and Luxemburg declared that they are extremely worrying about the phenomenon studied. </w:t>
      </w:r>
    </w:p>
    <w:p w14:paraId="68EBF856" w14:textId="7D1150D5" w:rsidR="00B373A4" w:rsidRDefault="0043232E" w:rsidP="00E4483A">
      <w:pPr>
        <w:spacing w:line="360" w:lineRule="auto"/>
        <w:jc w:val="both"/>
        <w:rPr>
          <w:rFonts w:ascii="Arial" w:hAnsi="Arial" w:cs="Arial"/>
          <w:lang w:val="en-GB"/>
        </w:rPr>
      </w:pPr>
      <w:r>
        <w:rPr>
          <w:rFonts w:ascii="Arial" w:hAnsi="Arial" w:cs="Arial"/>
          <w:noProof/>
          <w:lang w:val="en-GB"/>
        </w:rPr>
        <w:lastRenderedPageBreak/>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3CA72DE4" w14:textId="77777777" w:rsidR="00F104F8" w:rsidRDefault="0043232E" w:rsidP="00E4483A">
      <w:pPr>
        <w:spacing w:line="360" w:lineRule="auto"/>
        <w:jc w:val="both"/>
        <w:rPr>
          <w:rFonts w:ascii="Arial" w:hAnsi="Arial" w:cs="Arial"/>
          <w:lang w:val="en-GB"/>
        </w:rPr>
      </w:pPr>
      <w:r>
        <w:rPr>
          <w:rFonts w:ascii="Arial" w:hAnsi="Arial" w:cs="Arial"/>
          <w:lang w:val="en-GB"/>
        </w:rPr>
        <w:t>Figure 2: Climate Change Risk Perception</w:t>
      </w:r>
    </w:p>
    <w:p w14:paraId="146D2C75" w14:textId="501E0B25" w:rsidR="00C90BDF" w:rsidRDefault="0075181C" w:rsidP="00E4483A">
      <w:pPr>
        <w:spacing w:line="360" w:lineRule="auto"/>
        <w:jc w:val="both"/>
        <w:rPr>
          <w:rFonts w:ascii="Arial" w:hAnsi="Arial" w:cs="Arial"/>
          <w:lang w:val="en-GB"/>
        </w:rPr>
      </w:pPr>
      <w:r>
        <w:rPr>
          <w:rFonts w:ascii="Arial" w:hAnsi="Arial" w:cs="Arial"/>
          <w:lang w:val="en-GB"/>
        </w:rPr>
        <w:t>A</w:t>
      </w:r>
      <w:r w:rsidR="00C90BDF" w:rsidRPr="0075181C">
        <w:rPr>
          <w:rFonts w:ascii="Arial" w:hAnsi="Arial" w:cs="Arial"/>
          <w:lang w:val="en-GB"/>
        </w:rPr>
        <w:t xml:space="preserve">ttitudes among countries could be so vary since they </w:t>
      </w:r>
      <w:r w:rsidRPr="0075181C">
        <w:rPr>
          <w:rFonts w:ascii="Arial" w:hAnsi="Arial" w:cs="Arial"/>
          <w:lang w:val="en-GB"/>
        </w:rPr>
        <w:t>are influenced by</w:t>
      </w:r>
      <w:r w:rsidR="00C90BDF" w:rsidRPr="0075181C">
        <w:rPr>
          <w:rFonts w:ascii="Arial" w:hAnsi="Arial" w:cs="Arial"/>
          <w:lang w:val="en-GB"/>
        </w:rPr>
        <w:t xml:space="preserve"> different contextual </w:t>
      </w:r>
      <w:r w:rsidR="00BB1409" w:rsidRPr="0075181C">
        <w:rPr>
          <w:rFonts w:ascii="Arial" w:hAnsi="Arial" w:cs="Arial"/>
          <w:lang w:val="en-GB"/>
        </w:rPr>
        <w:t>factors</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Pr>
          <w:rFonts w:ascii="Arial" w:hAnsi="Arial" w:cs="Arial"/>
          <w:lang w:val="en-GB"/>
        </w:rPr>
        <w:fldChar w:fldCharType="separate"/>
      </w:r>
      <w:r w:rsidRPr="00DA625D">
        <w:rPr>
          <w:rFonts w:ascii="Arial" w:hAnsi="Arial" w:cs="Arial"/>
          <w:lang w:val="en-GB"/>
        </w:rPr>
        <w:t>(</w:t>
      </w:r>
      <w:proofErr w:type="spellStart"/>
      <w:r w:rsidRPr="00DA625D">
        <w:rPr>
          <w:rFonts w:ascii="Arial" w:hAnsi="Arial" w:cs="Arial"/>
          <w:lang w:val="en-GB"/>
        </w:rPr>
        <w:t>Echavarren</w:t>
      </w:r>
      <w:proofErr w:type="spellEnd"/>
      <w:r w:rsidRPr="00DA625D">
        <w:rPr>
          <w:rFonts w:ascii="Arial" w:hAnsi="Arial" w:cs="Arial"/>
          <w:lang w:val="en-GB"/>
        </w:rPr>
        <w:t xml:space="preserve"> et al., 2019; </w:t>
      </w:r>
      <w:proofErr w:type="spellStart"/>
      <w:r w:rsidRPr="00DA625D">
        <w:rPr>
          <w:rFonts w:ascii="Arial" w:hAnsi="Arial" w:cs="Arial"/>
          <w:lang w:val="en-GB"/>
        </w:rPr>
        <w:t>Krajhanzl</w:t>
      </w:r>
      <w:proofErr w:type="spellEnd"/>
      <w:r w:rsidRPr="00DA625D">
        <w:rPr>
          <w:rFonts w:ascii="Arial" w:hAnsi="Arial" w:cs="Arial"/>
          <w:lang w:val="en-GB"/>
        </w:rPr>
        <w:t>, 2010)</w:t>
      </w:r>
      <w:r>
        <w:rPr>
          <w:rFonts w:ascii="Arial" w:hAnsi="Arial" w:cs="Arial"/>
          <w:lang w:val="en-GB"/>
        </w:rPr>
        <w:fldChar w:fldCharType="end"/>
      </w:r>
      <w:r w:rsidR="00F301DA">
        <w:rPr>
          <w:rFonts w:ascii="Arial" w:hAnsi="Arial" w:cs="Arial"/>
          <w:lang w:val="en-GB"/>
        </w:rPr>
        <w:t xml:space="preserve">. </w:t>
      </w:r>
      <w:r w:rsidR="00C90BDF" w:rsidRPr="00C90BDF">
        <w:rPr>
          <w:rFonts w:ascii="Arial" w:hAnsi="Arial" w:cs="Arial"/>
          <w:lang w:val="en-GB"/>
        </w:rPr>
        <w:t xml:space="preserve">According to </w:t>
      </w:r>
      <w:proofErr w:type="spellStart"/>
      <w:r w:rsidR="00C90BDF" w:rsidRPr="00C90BDF">
        <w:rPr>
          <w:rFonts w:ascii="Arial" w:hAnsi="Arial" w:cs="Arial"/>
          <w:lang w:val="en-GB"/>
        </w:rPr>
        <w:t>Echavarren</w:t>
      </w:r>
      <w:proofErr w:type="spellEnd"/>
      <w:r w:rsidR="00C90BDF" w:rsidRPr="00C90BDF">
        <w:rPr>
          <w:rFonts w:ascii="Arial" w:hAnsi="Arial" w:cs="Arial"/>
          <w:lang w:val="en-GB"/>
        </w:rPr>
        <w:t xml:space="preserve"> and colleagues</w:t>
      </w:r>
      <w:r w:rsidR="00F301DA">
        <w:rPr>
          <w:rFonts w:ascii="Arial" w:hAnsi="Arial" w:cs="Arial"/>
          <w:lang w:val="en-GB"/>
        </w:rPr>
        <w:t xml:space="preserve"> </w:t>
      </w:r>
      <w:r w:rsidR="00F301DA">
        <w:rPr>
          <w:rFonts w:ascii="Arial" w:hAnsi="Arial" w:cs="Arial"/>
          <w:lang w:val="en-GB"/>
        </w:rPr>
        <w:fldChar w:fldCharType="begin"/>
      </w:r>
      <w:r w:rsidR="006B2DF5">
        <w:rPr>
          <w:rFonts w:ascii="Arial" w:hAnsi="Arial" w:cs="Arial"/>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Pr>
          <w:rFonts w:ascii="Arial" w:hAnsi="Arial" w:cs="Arial"/>
          <w:lang w:val="en-GB"/>
        </w:rPr>
        <w:fldChar w:fldCharType="separate"/>
      </w:r>
      <w:r w:rsidR="00F301DA" w:rsidRPr="00F301DA">
        <w:rPr>
          <w:rFonts w:ascii="Arial" w:hAnsi="Arial" w:cs="Arial"/>
          <w:lang w:val="en-GB"/>
        </w:rPr>
        <w:t>(2019)</w:t>
      </w:r>
      <w:r w:rsidR="00F301DA">
        <w:rPr>
          <w:rFonts w:ascii="Arial" w:hAnsi="Arial" w:cs="Arial"/>
          <w:lang w:val="en-GB"/>
        </w:rPr>
        <w:fldChar w:fldCharType="end"/>
      </w:r>
      <w:r w:rsidR="00C90BDF" w:rsidRPr="00C90BDF">
        <w:rPr>
          <w:rFonts w:ascii="Arial" w:hAnsi="Arial" w:cs="Arial"/>
          <w:lang w:val="en-GB"/>
        </w:rPr>
        <w:t>,</w:t>
      </w:r>
      <w:r w:rsidR="00C90BDF">
        <w:rPr>
          <w:rFonts w:ascii="Arial" w:hAnsi="Arial" w:cs="Arial"/>
          <w:lang w:val="en-GB"/>
        </w:rPr>
        <w:t xml:space="preserve"> </w:t>
      </w:r>
      <w:r>
        <w:rPr>
          <w:rFonts w:ascii="Arial" w:hAnsi="Arial" w:cs="Arial"/>
          <w:lang w:val="en-GB"/>
        </w:rPr>
        <w:t xml:space="preserve">opinion, perception </w:t>
      </w:r>
      <w:r w:rsidR="00F301DA">
        <w:rPr>
          <w:rFonts w:ascii="Arial" w:hAnsi="Arial" w:cs="Arial"/>
          <w:lang w:val="en-GB"/>
        </w:rPr>
        <w:t xml:space="preserve">and </w:t>
      </w:r>
      <w:r>
        <w:rPr>
          <w:rFonts w:ascii="Arial" w:hAnsi="Arial" w:cs="Arial"/>
          <w:lang w:val="en-GB"/>
        </w:rPr>
        <w:t>behavior</w:t>
      </w:r>
      <w:r w:rsidR="00F301DA">
        <w:rPr>
          <w:rFonts w:ascii="Arial" w:hAnsi="Arial" w:cs="Arial"/>
          <w:lang w:val="en-GB"/>
        </w:rPr>
        <w:t xml:space="preserve"> </w:t>
      </w:r>
      <w:r w:rsidR="00C90BDF">
        <w:rPr>
          <w:rFonts w:ascii="Arial" w:hAnsi="Arial" w:cs="Arial"/>
          <w:lang w:val="en-GB"/>
        </w:rPr>
        <w:t xml:space="preserve">could change due to </w:t>
      </w:r>
      <w:r w:rsidR="00F301DA">
        <w:rPr>
          <w:rFonts w:ascii="Arial" w:hAnsi="Arial" w:cs="Arial"/>
          <w:lang w:val="en-GB"/>
        </w:rPr>
        <w:t>different natural hazards and political context</w:t>
      </w:r>
      <w:r w:rsidR="001B1E84">
        <w:rPr>
          <w:rFonts w:ascii="Arial" w:hAnsi="Arial" w:cs="Arial"/>
          <w:lang w:val="en-GB"/>
        </w:rPr>
        <w:t>. For example water deficit or temperature growth regarding natural hazards and the “</w:t>
      </w:r>
      <w:r w:rsidR="001B1E84" w:rsidRPr="001B1E84">
        <w:rPr>
          <w:rFonts w:ascii="Arial" w:hAnsi="Arial" w:cs="Arial"/>
          <w:lang w:val="en-GB"/>
        </w:rPr>
        <w:t>level of environmentalism in the political arena</w:t>
      </w:r>
      <w:r w:rsidR="001B1E84">
        <w:rPr>
          <w:rFonts w:ascii="Arial" w:hAnsi="Arial" w:cs="Arial"/>
          <w:lang w:val="en-GB"/>
        </w:rPr>
        <w:t xml:space="preserve"> </w:t>
      </w:r>
      <w:r w:rsidR="001B1E84" w:rsidRPr="001B1E84">
        <w:rPr>
          <w:rFonts w:ascii="Arial" w:hAnsi="Arial" w:cs="Arial"/>
          <w:lang w:val="en-GB"/>
        </w:rPr>
        <w:t>of a given country</w:t>
      </w:r>
      <w:r w:rsidR="001B1E84">
        <w:rPr>
          <w:rFonts w:ascii="Arial" w:hAnsi="Arial" w:cs="Arial"/>
          <w:lang w:val="en-GB"/>
        </w:rPr>
        <w:t xml:space="preserve">” </w:t>
      </w:r>
      <w:r w:rsidR="001B1E84">
        <w:rPr>
          <w:rFonts w:ascii="Arial" w:hAnsi="Arial" w:cs="Arial"/>
          <w:lang w:val="en-GB"/>
        </w:rPr>
        <w:fldChar w:fldCharType="begin"/>
      </w:r>
      <w:r w:rsidR="006B2DF5">
        <w:rPr>
          <w:rFonts w:ascii="Arial" w:hAnsi="Arial" w:cs="Arial"/>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Pr>
          <w:rFonts w:ascii="Arial" w:hAnsi="Arial" w:cs="Arial"/>
          <w:lang w:val="en-GB"/>
        </w:rPr>
        <w:fldChar w:fldCharType="separate"/>
      </w:r>
      <w:r w:rsidR="001B1E84" w:rsidRPr="001B1E84">
        <w:rPr>
          <w:rFonts w:ascii="Arial" w:hAnsi="Arial" w:cs="Arial"/>
          <w:lang w:val="en-GB"/>
        </w:rPr>
        <w:t>(Echavarren et al., 2019</w:t>
      </w:r>
      <w:r w:rsidR="001B1E84">
        <w:rPr>
          <w:rFonts w:ascii="Arial" w:hAnsi="Arial" w:cs="Arial"/>
          <w:lang w:val="en-GB"/>
        </w:rPr>
        <w:t>, p. 815</w:t>
      </w:r>
      <w:r w:rsidR="001B1E84" w:rsidRPr="001B1E84">
        <w:rPr>
          <w:rFonts w:ascii="Arial" w:hAnsi="Arial" w:cs="Arial"/>
          <w:lang w:val="en-GB"/>
        </w:rPr>
        <w:t>)</w:t>
      </w:r>
      <w:r w:rsidR="001B1E84">
        <w:rPr>
          <w:rFonts w:ascii="Arial" w:hAnsi="Arial" w:cs="Arial"/>
          <w:lang w:val="en-GB"/>
        </w:rPr>
        <w:fldChar w:fldCharType="end"/>
      </w:r>
      <w:r w:rsidR="001B1E84">
        <w:rPr>
          <w:rFonts w:ascii="Arial" w:hAnsi="Arial" w:cs="Arial"/>
          <w:lang w:val="en-GB"/>
        </w:rPr>
        <w:t xml:space="preserve"> for political variables</w:t>
      </w:r>
      <w:r w:rsidR="00F301DA">
        <w:rPr>
          <w:rFonts w:ascii="Arial" w:hAnsi="Arial" w:cs="Arial"/>
          <w:lang w:val="en-GB"/>
        </w:rPr>
        <w:t>.</w:t>
      </w:r>
      <w:r w:rsidR="001B1E84">
        <w:rPr>
          <w:rFonts w:ascii="Arial" w:hAnsi="Arial" w:cs="Arial"/>
          <w:lang w:val="en-GB"/>
        </w:rPr>
        <w:t xml:space="preserve"> </w:t>
      </w:r>
      <w:r w:rsidR="00F301DA">
        <w:rPr>
          <w:rFonts w:ascii="Arial" w:hAnsi="Arial" w:cs="Arial"/>
          <w:lang w:val="en-GB"/>
        </w:rPr>
        <w:t xml:space="preserve">These macro-variables </w:t>
      </w:r>
      <w:r w:rsidR="001B1E84">
        <w:rPr>
          <w:rFonts w:ascii="Arial" w:hAnsi="Arial" w:cs="Arial"/>
          <w:lang w:val="en-GB"/>
        </w:rPr>
        <w:t xml:space="preserve">should be significant mediators in explaining risk perception or pro-environmental behaviour. </w:t>
      </w:r>
      <w:r w:rsidR="006F43DA">
        <w:rPr>
          <w:rFonts w:ascii="Arial" w:hAnsi="Arial" w:cs="Arial"/>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Pr>
          <w:rFonts w:ascii="Arial" w:hAnsi="Arial" w:cs="Arial"/>
          <w:lang w:val="en-GB"/>
        </w:rPr>
        <w:t>In addition, the aim</w:t>
      </w:r>
      <w:r w:rsidR="002517AA">
        <w:rPr>
          <w:rFonts w:ascii="Arial" w:hAnsi="Arial" w:cs="Arial"/>
          <w:lang w:val="en-GB"/>
        </w:rPr>
        <w:t xml:space="preserve"> of the research</w:t>
      </w:r>
      <w:r w:rsidR="0007451A">
        <w:rPr>
          <w:rFonts w:ascii="Arial" w:hAnsi="Arial" w:cs="Arial"/>
          <w:lang w:val="en-GB"/>
        </w:rPr>
        <w:t xml:space="preserve"> is not to evidence national or cultural differences</w:t>
      </w:r>
      <w:r w:rsidR="002517AA">
        <w:rPr>
          <w:rFonts w:ascii="Arial" w:hAnsi="Arial" w:cs="Arial"/>
          <w:lang w:val="en-GB"/>
        </w:rPr>
        <w:t xml:space="preserve">, but on the contrary, it is to find patterns at individual levels, </w:t>
      </w:r>
      <w:r w:rsidR="002517AA" w:rsidRPr="002517AA">
        <w:rPr>
          <w:rFonts w:ascii="Arial" w:hAnsi="Arial" w:cs="Arial"/>
          <w:lang w:val="en-GB"/>
        </w:rPr>
        <w:t>regardless of the place of origin</w:t>
      </w:r>
      <w:r w:rsidR="002517AA">
        <w:rPr>
          <w:rFonts w:ascii="Arial" w:hAnsi="Arial" w:cs="Arial"/>
          <w:lang w:val="en-GB"/>
        </w:rPr>
        <w:t xml:space="preserve">. However, these differences at the macro levels are presented. </w:t>
      </w:r>
    </w:p>
    <w:p w14:paraId="35B963F2" w14:textId="77777777" w:rsidR="00101268" w:rsidRDefault="00101268" w:rsidP="00E4483A">
      <w:pPr>
        <w:spacing w:line="360" w:lineRule="auto"/>
        <w:jc w:val="both"/>
        <w:rPr>
          <w:rFonts w:ascii="Arial" w:hAnsi="Arial" w:cs="Arial"/>
          <w:lang w:val="en-GB"/>
        </w:rPr>
      </w:pPr>
    </w:p>
    <w:p w14:paraId="2FFAC187" w14:textId="77777777" w:rsidR="00101268" w:rsidRDefault="00101268" w:rsidP="00E4483A">
      <w:pPr>
        <w:spacing w:line="360" w:lineRule="auto"/>
        <w:jc w:val="both"/>
        <w:rPr>
          <w:rFonts w:ascii="Arial" w:hAnsi="Arial" w:cs="Arial"/>
          <w:lang w:val="en-GB"/>
        </w:rPr>
      </w:pPr>
    </w:p>
    <w:p w14:paraId="293C0BC7" w14:textId="77777777" w:rsidR="00101268" w:rsidRDefault="00101268" w:rsidP="00E4483A">
      <w:pPr>
        <w:spacing w:line="360" w:lineRule="auto"/>
        <w:jc w:val="both"/>
        <w:rPr>
          <w:rFonts w:ascii="Arial" w:hAnsi="Arial" w:cs="Arial"/>
          <w:lang w:val="en-GB"/>
        </w:rPr>
      </w:pPr>
    </w:p>
    <w:p w14:paraId="15B0ECBC" w14:textId="77777777" w:rsidR="007142F1" w:rsidRDefault="00101268" w:rsidP="00E4483A">
      <w:pPr>
        <w:spacing w:line="360" w:lineRule="auto"/>
        <w:jc w:val="both"/>
        <w:rPr>
          <w:rFonts w:ascii="Arial" w:hAnsi="Arial" w:cs="Arial"/>
          <w:lang w:val="en-GB"/>
        </w:rPr>
      </w:pPr>
      <w:r>
        <w:rPr>
          <w:rFonts w:ascii="Arial" w:hAnsi="Arial" w:cs="Arial"/>
          <w:noProof/>
          <w:lang w:val="en-GB"/>
        </w:rPr>
        <w:lastRenderedPageBreak/>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GB"/>
        </w:rPr>
        <w:t>For the natural hazards the 2020 Environmental Performance Index (EPI) is used (the 2019 EPI is not available in order to use the same data of year of the survey)</w:t>
      </w:r>
      <w:r w:rsidR="00F613E1">
        <w:rPr>
          <w:rFonts w:ascii="Arial" w:hAnsi="Arial" w:cs="Arial"/>
          <w:lang w:val="en-GB"/>
        </w:rPr>
        <w:t xml:space="preserve"> </w:t>
      </w:r>
      <w:r w:rsidR="00F613E1">
        <w:rPr>
          <w:rFonts w:ascii="Arial" w:hAnsi="Arial" w:cs="Arial"/>
          <w:lang w:val="en-GB"/>
        </w:rPr>
        <w:fldChar w:fldCharType="begin"/>
      </w:r>
      <w:r w:rsidR="00F613E1">
        <w:rPr>
          <w:rFonts w:ascii="Arial" w:hAnsi="Arial" w:cs="Arial"/>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Pr>
          <w:rFonts w:ascii="Arial" w:hAnsi="Arial" w:cs="Arial"/>
          <w:lang w:val="en-GB"/>
        </w:rPr>
        <w:fldChar w:fldCharType="separate"/>
      </w:r>
      <w:r w:rsidR="00F613E1" w:rsidRPr="00F613E1">
        <w:rPr>
          <w:rFonts w:ascii="Arial" w:hAnsi="Arial" w:cs="Arial"/>
          <w:lang w:val="en-GB"/>
        </w:rPr>
        <w:t>(Yale Center for Environmental Law &amp; Policy, 2020)</w:t>
      </w:r>
      <w:r w:rsidR="00F613E1">
        <w:rPr>
          <w:rFonts w:ascii="Arial" w:hAnsi="Arial" w:cs="Arial"/>
          <w:lang w:val="en-GB"/>
        </w:rPr>
        <w:fldChar w:fldCharType="end"/>
      </w:r>
      <w:r>
        <w:rPr>
          <w:rFonts w:ascii="Arial" w:hAnsi="Arial" w:cs="Arial"/>
          <w:lang w:val="en-GB"/>
        </w:rPr>
        <w:t xml:space="preserve">. EPI quantifies numerically </w:t>
      </w:r>
      <w:r w:rsidRPr="002E3657">
        <w:rPr>
          <w:rFonts w:ascii="Arial" w:hAnsi="Arial" w:cs="Arial"/>
          <w:lang w:val="en-GB"/>
        </w:rPr>
        <w:t>environmental health and ecosystem vitality</w:t>
      </w:r>
      <w:r>
        <w:rPr>
          <w:rFonts w:ascii="Arial" w:hAnsi="Arial" w:cs="Arial"/>
          <w:lang w:val="en-GB"/>
        </w:rPr>
        <w:t xml:space="preserve"> around the world.</w:t>
      </w:r>
      <w:r w:rsidR="00F613E1">
        <w:rPr>
          <w:rFonts w:ascii="Arial" w:hAnsi="Arial" w:cs="Arial"/>
          <w:lang w:val="en-GB"/>
        </w:rPr>
        <w:t xml:space="preserve"> </w:t>
      </w:r>
      <w:r>
        <w:rPr>
          <w:rFonts w:ascii="Arial" w:hAnsi="Arial" w:cs="Arial"/>
          <w:lang w:val="en-GB"/>
        </w:rPr>
        <w:t>Some indicators that composed the index are: air pollution, drinking water quality, species protection.</w:t>
      </w:r>
      <w:r w:rsidR="002517AA">
        <w:rPr>
          <w:rFonts w:ascii="Arial" w:hAnsi="Arial" w:cs="Arial"/>
          <w:lang w:val="en-GB"/>
        </w:rPr>
        <w:t xml:space="preserve"> These phenomena could be positively affect climate change concerns and opinion </w:t>
      </w:r>
      <w:r w:rsidR="002517AA">
        <w:rPr>
          <w:rFonts w:ascii="Arial" w:hAnsi="Arial" w:cs="Arial"/>
          <w:lang w:val="en-GB"/>
        </w:rPr>
        <w:fldChar w:fldCharType="begin"/>
      </w:r>
      <w:r w:rsidR="002517AA">
        <w:rPr>
          <w:rFonts w:ascii="Arial" w:hAnsi="Arial" w:cs="Arial"/>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Pr>
          <w:rFonts w:ascii="Arial" w:hAnsi="Arial" w:cs="Arial"/>
          <w:lang w:val="en-GB"/>
        </w:rPr>
        <w:fldChar w:fldCharType="separate"/>
      </w:r>
      <w:r w:rsidR="002517AA" w:rsidRPr="002517AA">
        <w:rPr>
          <w:rFonts w:ascii="Arial" w:hAnsi="Arial" w:cs="Arial"/>
          <w:lang w:val="en-GB"/>
        </w:rPr>
        <w:t>(Echavarren et al., 2019)</w:t>
      </w:r>
      <w:r w:rsidR="002517AA">
        <w:rPr>
          <w:rFonts w:ascii="Arial" w:hAnsi="Arial" w:cs="Arial"/>
          <w:lang w:val="en-GB"/>
        </w:rPr>
        <w:fldChar w:fldCharType="end"/>
      </w:r>
      <w:r w:rsidR="002517AA">
        <w:rPr>
          <w:rFonts w:ascii="Arial" w:hAnsi="Arial" w:cs="Arial"/>
          <w:lang w:val="en-GB"/>
        </w:rPr>
        <w:t>. In fact, citizens should perceive biodiversity loss or temperature increases</w:t>
      </w:r>
      <w:r w:rsidR="007142F1">
        <w:rPr>
          <w:rFonts w:ascii="Arial" w:hAnsi="Arial" w:cs="Arial"/>
          <w:lang w:val="en-GB"/>
        </w:rPr>
        <w:t xml:space="preserve">, leading to greater apprehension. The figure 3 shows the score across </w:t>
      </w:r>
      <w:r w:rsidR="007142F1" w:rsidRPr="00F613E1">
        <w:rPr>
          <w:rFonts w:ascii="Arial" w:hAnsi="Arial" w:cs="Arial"/>
          <w:lang w:val="en-GB"/>
        </w:rPr>
        <w:t>European Union (EU)</w:t>
      </w:r>
      <w:r w:rsidR="007142F1">
        <w:rPr>
          <w:rFonts w:ascii="Arial" w:hAnsi="Arial" w:cs="Arial"/>
          <w:lang w:val="en-GB"/>
        </w:rPr>
        <w:t xml:space="preserve">. The best score is obtained from Denmark, while the worst from Bulgaria. </w:t>
      </w:r>
    </w:p>
    <w:p w14:paraId="3147D677" w14:textId="3776A5F7" w:rsidR="002E3657" w:rsidRDefault="002E3657" w:rsidP="00E4483A">
      <w:pPr>
        <w:spacing w:line="360" w:lineRule="auto"/>
        <w:jc w:val="both"/>
        <w:rPr>
          <w:rFonts w:ascii="Arial" w:hAnsi="Arial" w:cs="Arial"/>
          <w:noProof/>
          <w:lang w:val="en-GB"/>
        </w:rPr>
      </w:pPr>
      <w:r>
        <w:rPr>
          <w:rFonts w:ascii="Arial" w:hAnsi="Arial" w:cs="Arial"/>
          <w:noProof/>
          <w:lang w:val="en-GB"/>
        </w:rPr>
        <w:t xml:space="preserve">Figure 3: </w:t>
      </w:r>
      <w:r w:rsidR="00101268">
        <w:rPr>
          <w:rFonts w:ascii="Arial" w:hAnsi="Arial" w:cs="Arial"/>
          <w:noProof/>
          <w:lang w:val="en-GB"/>
        </w:rPr>
        <w:t xml:space="preserve">The 2020 </w:t>
      </w:r>
      <w:r>
        <w:rPr>
          <w:rFonts w:ascii="Arial" w:hAnsi="Arial" w:cs="Arial"/>
          <w:noProof/>
          <w:lang w:val="en-GB"/>
        </w:rPr>
        <w:t xml:space="preserve">EPI </w:t>
      </w:r>
    </w:p>
    <w:p w14:paraId="5DC9BF6F" w14:textId="77777777" w:rsidR="00E251AB" w:rsidRDefault="00E251AB" w:rsidP="00E4483A">
      <w:pPr>
        <w:spacing w:line="360" w:lineRule="auto"/>
        <w:jc w:val="both"/>
        <w:rPr>
          <w:rFonts w:ascii="Arial" w:hAnsi="Arial" w:cs="Arial"/>
          <w:noProof/>
          <w:lang w:val="en-GB"/>
        </w:rPr>
      </w:pPr>
    </w:p>
    <w:p w14:paraId="5AC899C2" w14:textId="306C20D7" w:rsidR="00A20025" w:rsidRDefault="00101268" w:rsidP="00E4483A">
      <w:pPr>
        <w:spacing w:line="360" w:lineRule="auto"/>
        <w:jc w:val="both"/>
        <w:rPr>
          <w:rFonts w:ascii="Arial" w:hAnsi="Arial" w:cs="Arial"/>
          <w:noProof/>
          <w:lang w:val="en-GB"/>
        </w:rPr>
      </w:pPr>
      <w:r>
        <w:rPr>
          <w:rFonts w:ascii="Arial" w:hAnsi="Arial" w:cs="Arial"/>
          <w:noProof/>
          <w:lang w:val="en-GB"/>
        </w:rPr>
        <w:t xml:space="preserve">For the political context the 2019 </w:t>
      </w:r>
      <w:r w:rsidR="00E348A8">
        <w:rPr>
          <w:rFonts w:ascii="Arial" w:hAnsi="Arial" w:cs="Arial"/>
          <w:noProof/>
          <w:lang w:val="en-GB"/>
        </w:rPr>
        <w:t xml:space="preserve">Climate Change Policy Performance </w:t>
      </w:r>
      <w:r>
        <w:rPr>
          <w:rFonts w:ascii="Arial" w:hAnsi="Arial" w:cs="Arial"/>
          <w:noProof/>
          <w:lang w:val="en-GB"/>
        </w:rPr>
        <w:t>is selected</w:t>
      </w:r>
      <w:r w:rsidR="00E348A8">
        <w:rPr>
          <w:rFonts w:ascii="Arial" w:hAnsi="Arial" w:cs="Arial"/>
          <w:noProof/>
          <w:lang w:val="en-GB"/>
        </w:rPr>
        <w:t>, which is a mesarument of national and international climate policies</w:t>
      </w:r>
      <w:r w:rsidR="00F613E1">
        <w:rPr>
          <w:rFonts w:ascii="Arial" w:hAnsi="Arial" w:cs="Arial"/>
          <w:noProof/>
          <w:lang w:val="en-GB"/>
        </w:rPr>
        <w:t xml:space="preserve"> </w:t>
      </w:r>
      <w:r w:rsidR="00F613E1">
        <w:rPr>
          <w:rFonts w:ascii="Arial" w:hAnsi="Arial" w:cs="Arial"/>
          <w:noProof/>
          <w:lang w:val="en-GB"/>
        </w:rPr>
        <w:fldChar w:fldCharType="begin"/>
      </w:r>
      <w:r w:rsidR="00F613E1">
        <w:rPr>
          <w:rFonts w:ascii="Arial" w:hAnsi="Arial" w:cs="Arial"/>
          <w:noProof/>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Pr>
          <w:rFonts w:ascii="Arial" w:hAnsi="Arial" w:cs="Arial"/>
          <w:noProof/>
          <w:lang w:val="en-GB"/>
        </w:rPr>
        <w:fldChar w:fldCharType="separate"/>
      </w:r>
      <w:r w:rsidR="00F613E1" w:rsidRPr="00F613E1">
        <w:rPr>
          <w:rFonts w:ascii="Arial" w:hAnsi="Arial" w:cs="Arial"/>
          <w:lang w:val="en-GB"/>
        </w:rPr>
        <w:t>(Burck, 2018)</w:t>
      </w:r>
      <w:r w:rsidR="00F613E1">
        <w:rPr>
          <w:rFonts w:ascii="Arial" w:hAnsi="Arial" w:cs="Arial"/>
          <w:noProof/>
          <w:lang w:val="en-GB"/>
        </w:rPr>
        <w:fldChar w:fldCharType="end"/>
      </w:r>
      <w:r w:rsidR="00F613E1">
        <w:rPr>
          <w:rFonts w:ascii="Arial" w:hAnsi="Arial" w:cs="Arial"/>
          <w:noProof/>
          <w:lang w:val="en-GB"/>
        </w:rPr>
        <w:t xml:space="preserve"> developed by</w:t>
      </w:r>
      <w:r w:rsidR="00F613E1" w:rsidRPr="00F613E1">
        <w:rPr>
          <w:lang w:val="en-GB"/>
        </w:rPr>
        <w:t xml:space="preserve"> </w:t>
      </w:r>
      <w:r w:rsidR="00F613E1" w:rsidRPr="00F613E1">
        <w:rPr>
          <w:rFonts w:ascii="Arial" w:hAnsi="Arial" w:cs="Arial"/>
          <w:noProof/>
          <w:lang w:val="en-GB"/>
        </w:rPr>
        <w:t>organisation</w:t>
      </w:r>
      <w:r w:rsidR="00F613E1">
        <w:rPr>
          <w:rFonts w:ascii="Arial" w:hAnsi="Arial" w:cs="Arial"/>
          <w:noProof/>
          <w:lang w:val="en-GB"/>
        </w:rPr>
        <w:t xml:space="preserve"> Germanwatch</w:t>
      </w:r>
      <w:r>
        <w:rPr>
          <w:rFonts w:ascii="Arial" w:hAnsi="Arial" w:cs="Arial"/>
          <w:noProof/>
          <w:lang w:val="en-GB"/>
        </w:rPr>
        <w:t>.</w:t>
      </w:r>
      <w:r w:rsidR="00D87D91">
        <w:rPr>
          <w:rFonts w:ascii="Arial" w:hAnsi="Arial" w:cs="Arial"/>
          <w:noProof/>
          <w:lang w:val="en-GB"/>
        </w:rPr>
        <w:t xml:space="preserve"> </w:t>
      </w:r>
      <w:r w:rsidR="00E348A8">
        <w:rPr>
          <w:rFonts w:ascii="Arial" w:hAnsi="Arial" w:cs="Arial"/>
          <w:noProof/>
          <w:lang w:val="en-GB"/>
        </w:rPr>
        <w:t xml:space="preserve">It is one of the indicators that belongs to the Climate Change Performance Index (CCPI). </w:t>
      </w:r>
      <w:r w:rsidR="00D87D91">
        <w:rPr>
          <w:rFonts w:ascii="Arial" w:hAnsi="Arial" w:cs="Arial"/>
          <w:noProof/>
          <w:lang w:val="en-GB"/>
        </w:rPr>
        <w:t xml:space="preserve">The </w:t>
      </w:r>
      <w:r w:rsidR="00E348A8">
        <w:rPr>
          <w:rFonts w:ascii="Arial" w:hAnsi="Arial" w:cs="Arial"/>
          <w:noProof/>
          <w:lang w:val="en-GB"/>
        </w:rPr>
        <w:t xml:space="preserve">indicator constitutes the measurements taken by governments in order to reduce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GHG </w:t>
      </w:r>
      <w:r w:rsidR="00D87D91">
        <w:rPr>
          <w:rFonts w:ascii="Arial" w:hAnsi="Arial" w:cs="Arial"/>
          <w:noProof/>
          <w:lang w:val="en-GB"/>
        </w:rPr>
        <w:t>e</w:t>
      </w:r>
      <w:r w:rsidR="00F452D9" w:rsidRPr="00F452D9">
        <w:rPr>
          <w:rFonts w:ascii="Arial" w:hAnsi="Arial" w:cs="Arial"/>
          <w:noProof/>
          <w:lang w:val="en-GB"/>
        </w:rPr>
        <w:t xml:space="preserve">missions per </w:t>
      </w:r>
      <w:r w:rsidR="00D87D91">
        <w:rPr>
          <w:rFonts w:ascii="Arial" w:hAnsi="Arial" w:cs="Arial"/>
          <w:noProof/>
          <w:lang w:val="en-GB"/>
        </w:rPr>
        <w:t>c</w:t>
      </w:r>
      <w:r w:rsidR="00F452D9" w:rsidRPr="00F452D9">
        <w:rPr>
          <w:rFonts w:ascii="Arial" w:hAnsi="Arial" w:cs="Arial"/>
          <w:noProof/>
          <w:lang w:val="en-GB"/>
        </w:rPr>
        <w:t>apita</w:t>
      </w:r>
      <w:r w:rsidR="00E348A8">
        <w:rPr>
          <w:rFonts w:ascii="Arial" w:hAnsi="Arial" w:cs="Arial"/>
          <w:noProof/>
          <w:lang w:val="en-GB"/>
        </w:rPr>
        <w:t xml:space="preserve"> or the use of renewavle energy</w:t>
      </w:r>
      <w:r w:rsidR="001C014D">
        <w:rPr>
          <w:rFonts w:ascii="Arial" w:hAnsi="Arial" w:cs="Arial"/>
          <w:noProof/>
          <w:lang w:val="en-GB"/>
        </w:rPr>
        <w:t xml:space="preserve">. </w:t>
      </w:r>
      <w:r w:rsidR="00D87D91">
        <w:rPr>
          <w:rFonts w:ascii="Arial" w:hAnsi="Arial" w:cs="Arial"/>
          <w:noProof/>
          <w:lang w:val="en-GB"/>
        </w:rPr>
        <w:t>Briefly it is defined as a measure of</w:t>
      </w:r>
      <w:r w:rsidR="00E251AB">
        <w:rPr>
          <w:rFonts w:ascii="Arial" w:hAnsi="Arial" w:cs="Arial"/>
          <w:noProof/>
          <w:lang w:val="en-GB"/>
        </w:rPr>
        <w:t xml:space="preserve"> countries’</w:t>
      </w:r>
      <w:r w:rsidR="00D87D91">
        <w:rPr>
          <w:rFonts w:ascii="Arial" w:hAnsi="Arial" w:cs="Arial"/>
          <w:noProof/>
          <w:lang w:val="en-GB"/>
        </w:rPr>
        <w:t xml:space="preserve"> </w:t>
      </w:r>
      <w:r w:rsidR="00E251AB">
        <w:rPr>
          <w:rFonts w:ascii="Arial" w:hAnsi="Arial" w:cs="Arial"/>
          <w:noProof/>
          <w:lang w:val="en-GB"/>
        </w:rPr>
        <w:t xml:space="preserve">progress and their capacity to climate protection </w:t>
      </w:r>
      <w:r w:rsidR="00E251AB">
        <w:rPr>
          <w:rFonts w:ascii="Arial" w:hAnsi="Arial" w:cs="Arial"/>
          <w:noProof/>
          <w:lang w:val="en-GB"/>
        </w:rPr>
        <w:fldChar w:fldCharType="begin"/>
      </w:r>
      <w:r w:rsidR="006B2DF5">
        <w:rPr>
          <w:rFonts w:ascii="Arial" w:hAnsi="Arial" w:cs="Arial"/>
          <w:noProof/>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Pr>
          <w:rFonts w:ascii="Arial" w:hAnsi="Arial" w:cs="Arial"/>
          <w:noProof/>
          <w:lang w:val="en-GB"/>
        </w:rPr>
        <w:fldChar w:fldCharType="separate"/>
      </w:r>
      <w:r w:rsidR="00E251AB" w:rsidRPr="00F613E1">
        <w:rPr>
          <w:rFonts w:ascii="Arial" w:hAnsi="Arial" w:cs="Arial"/>
          <w:lang w:val="en-GB"/>
        </w:rPr>
        <w:t xml:space="preserve">(Burck, </w:t>
      </w:r>
      <w:r w:rsidR="00E251AB" w:rsidRPr="00F613E1">
        <w:rPr>
          <w:rFonts w:ascii="Arial" w:hAnsi="Arial" w:cs="Arial"/>
          <w:lang w:val="en-GB"/>
        </w:rPr>
        <w:lastRenderedPageBreak/>
        <w:t>2018)</w:t>
      </w:r>
      <w:r w:rsidR="00E251AB">
        <w:rPr>
          <w:rFonts w:ascii="Arial" w:hAnsi="Arial" w:cs="Arial"/>
          <w:noProof/>
          <w:lang w:val="en-GB"/>
        </w:rPr>
        <w:fldChar w:fldCharType="end"/>
      </w:r>
      <w:r w:rsidR="00E251AB">
        <w:rPr>
          <w:rFonts w:ascii="Arial" w:hAnsi="Arial" w:cs="Arial"/>
          <w:noProof/>
          <w:lang w:val="en-GB"/>
        </w:rPr>
        <w:t>.</w:t>
      </w:r>
      <w:r w:rsidR="00C05264">
        <w:rPr>
          <w:rFonts w:ascii="Arial" w:hAnsi="Arial" w:cs="Arial"/>
          <w:noProof/>
          <w:lang w:val="en-GB"/>
        </w:rPr>
        <w:t xml:space="preserve"> In the </w:t>
      </w:r>
      <w:r w:rsidR="001C014D">
        <w:rPr>
          <w:rFonts w:ascii="Arial" w:hAnsi="Arial" w:cs="Arial"/>
          <w:noProof/>
          <w:lang w:val="en-GB"/>
        </w:rPr>
        <w:t>Climate Change Policy</w:t>
      </w:r>
      <w:r w:rsidR="00C05264">
        <w:rPr>
          <w:rFonts w:ascii="Arial" w:hAnsi="Arial" w:cs="Arial"/>
          <w:noProof/>
          <w:lang w:val="en-GB"/>
        </w:rPr>
        <w:t xml:space="preserve"> the record goes to </w:t>
      </w:r>
      <w:r w:rsidR="001C014D">
        <w:rPr>
          <w:rFonts w:ascii="Arial" w:hAnsi="Arial" w:cs="Arial"/>
          <w:noProof/>
          <w:lang w:val="en-GB"/>
        </w:rPr>
        <w:t>Portugal</w:t>
      </w:r>
      <w:r w:rsidR="00C05264">
        <w:rPr>
          <w:rFonts w:ascii="Arial" w:hAnsi="Arial" w:cs="Arial"/>
          <w:noProof/>
          <w:lang w:val="en-GB"/>
        </w:rPr>
        <w:t xml:space="preserve"> and </w:t>
      </w:r>
      <w:r w:rsidR="001C014D">
        <w:rPr>
          <w:rFonts w:ascii="Arial" w:hAnsi="Arial" w:cs="Arial"/>
          <w:noProof/>
          <w:lang w:val="en-GB"/>
        </w:rPr>
        <w:t>Bulgaria</w:t>
      </w:r>
      <w:r w:rsidR="00C05264">
        <w:rPr>
          <w:rFonts w:ascii="Arial" w:hAnsi="Arial" w:cs="Arial"/>
          <w:noProof/>
          <w:lang w:val="en-GB"/>
        </w:rPr>
        <w:t xml:space="preserve"> gets the lowest score in all European Union</w:t>
      </w:r>
      <w:r w:rsidR="00C74C6E">
        <w:rPr>
          <w:rFonts w:ascii="Arial" w:hAnsi="Arial" w:cs="Arial"/>
          <w:noProof/>
          <w:lang w:val="en-GB"/>
        </w:rPr>
        <w:t>, as the figure 4 shows</w:t>
      </w:r>
      <w:r w:rsidR="00C05264">
        <w:rPr>
          <w:rFonts w:ascii="Arial" w:hAnsi="Arial" w:cs="Arial"/>
          <w:noProof/>
          <w:lang w:val="en-GB"/>
        </w:rPr>
        <w:t xml:space="preserve">. </w:t>
      </w:r>
    </w:p>
    <w:p w14:paraId="4774F0C0" w14:textId="77777777" w:rsidR="007142F1" w:rsidRDefault="007142F1" w:rsidP="00E4483A">
      <w:pPr>
        <w:spacing w:line="360" w:lineRule="auto"/>
        <w:jc w:val="both"/>
        <w:rPr>
          <w:rFonts w:ascii="Arial" w:hAnsi="Arial" w:cs="Arial"/>
          <w:noProof/>
          <w:lang w:val="en-GB"/>
        </w:rPr>
      </w:pPr>
    </w:p>
    <w:p w14:paraId="4B4F83EA" w14:textId="3FAF69A7" w:rsidR="0007451A" w:rsidRDefault="0007451A" w:rsidP="00E4483A">
      <w:pPr>
        <w:spacing w:line="360" w:lineRule="auto"/>
        <w:jc w:val="both"/>
        <w:rPr>
          <w:rFonts w:ascii="Arial" w:hAnsi="Arial" w:cs="Arial"/>
          <w:noProof/>
          <w:lang w:val="en-GB"/>
        </w:rPr>
      </w:pPr>
      <w:r>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 xml:space="preserve">According to </w:t>
      </w:r>
      <w:r w:rsidR="000510CB">
        <w:rPr>
          <w:rFonts w:ascii="Arial" w:hAnsi="Arial" w:cs="Arial"/>
          <w:noProof/>
          <w:lang w:val="en-GB"/>
        </w:rPr>
        <w:t>scholars</w:t>
      </w:r>
      <w:r w:rsidR="006B2DF5">
        <w:rPr>
          <w:rFonts w:ascii="Arial" w:hAnsi="Arial" w:cs="Arial"/>
          <w:noProof/>
          <w:lang w:val="en-GB"/>
        </w:rPr>
        <w:t xml:space="preserve"> </w:t>
      </w:r>
      <w:r w:rsidR="006B2DF5">
        <w:rPr>
          <w:rFonts w:ascii="Arial" w:hAnsi="Arial" w:cs="Arial"/>
          <w:noProof/>
          <w:lang w:val="en-GB"/>
        </w:rPr>
        <w:fldChar w:fldCharType="begin"/>
      </w:r>
      <w:r w:rsidR="000510CB">
        <w:rPr>
          <w:rFonts w:ascii="Arial" w:hAnsi="Arial" w:cs="Arial"/>
          <w:noProof/>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Pr>
          <w:rFonts w:ascii="Arial" w:hAnsi="Arial" w:cs="Arial"/>
          <w:noProof/>
          <w:lang w:val="en-GB"/>
        </w:rPr>
        <w:fldChar w:fldCharType="separate"/>
      </w:r>
      <w:r w:rsidR="000510CB" w:rsidRPr="000510CB">
        <w:rPr>
          <w:rFonts w:ascii="Arial" w:hAnsi="Arial" w:cs="Arial"/>
          <w:lang w:val="en-GB"/>
        </w:rPr>
        <w:t>(Echavarren et al., 2019; van der Linden, 2015)</w:t>
      </w:r>
      <w:r w:rsidR="006B2DF5">
        <w:rPr>
          <w:rFonts w:ascii="Arial" w:hAnsi="Arial" w:cs="Arial"/>
          <w:noProof/>
          <w:lang w:val="en-GB"/>
        </w:rPr>
        <w:fldChar w:fldCharType="end"/>
      </w:r>
      <w:r w:rsidR="006B2DF5">
        <w:rPr>
          <w:rFonts w:ascii="Arial" w:hAnsi="Arial" w:cs="Arial"/>
          <w:noProof/>
          <w:lang w:val="en-GB"/>
        </w:rPr>
        <w:t xml:space="preserve"> </w:t>
      </w:r>
      <w:r w:rsidR="000510CB">
        <w:rPr>
          <w:rFonts w:ascii="Arial" w:hAnsi="Arial" w:cs="Arial"/>
          <w:noProof/>
          <w:lang w:val="en-GB"/>
        </w:rPr>
        <w:t>socio-cultural context influces individual attitudes towards climate change</w:t>
      </w:r>
      <w:r w:rsidR="001C014D">
        <w:rPr>
          <w:rFonts w:ascii="Arial" w:hAnsi="Arial" w:cs="Arial"/>
          <w:noProof/>
          <w:lang w:val="en-GB"/>
        </w:rPr>
        <w:t xml:space="preserve"> concerns</w:t>
      </w:r>
      <w:r w:rsidR="000510CB">
        <w:rPr>
          <w:rFonts w:ascii="Arial" w:hAnsi="Arial" w:cs="Arial"/>
          <w:noProof/>
          <w:lang w:val="en-GB"/>
        </w:rPr>
        <w:t>.</w:t>
      </w:r>
      <w:r w:rsidR="00A20025">
        <w:rPr>
          <w:rFonts w:ascii="Arial" w:hAnsi="Arial" w:cs="Arial"/>
          <w:noProof/>
          <w:lang w:val="en-GB"/>
        </w:rPr>
        <w:t xml:space="preserve"> Therefore, the notable diferencess</w:t>
      </w:r>
      <w:r w:rsidR="000510CB">
        <w:rPr>
          <w:rFonts w:ascii="Arial" w:hAnsi="Arial" w:cs="Arial"/>
          <w:noProof/>
          <w:lang w:val="en-GB"/>
        </w:rPr>
        <w:t xml:space="preserve"> </w:t>
      </w:r>
      <w:r w:rsidR="00A20025">
        <w:rPr>
          <w:rFonts w:ascii="Arial" w:hAnsi="Arial" w:cs="Arial"/>
          <w:noProof/>
          <w:lang w:val="en-GB"/>
        </w:rPr>
        <w:t xml:space="preserve">in attitudes across coutries should be </w:t>
      </w:r>
      <w:r w:rsidR="00E152ED">
        <w:rPr>
          <w:rFonts w:ascii="Arial" w:hAnsi="Arial" w:cs="Arial"/>
          <w:noProof/>
          <w:lang w:val="en-GB"/>
        </w:rPr>
        <w:t xml:space="preserve">also </w:t>
      </w:r>
      <w:r w:rsidR="00A20025">
        <w:rPr>
          <w:rFonts w:ascii="Arial" w:hAnsi="Arial" w:cs="Arial"/>
          <w:noProof/>
          <w:lang w:val="en-GB"/>
        </w:rPr>
        <w:t xml:space="preserve">due to these </w:t>
      </w:r>
      <w:r w:rsidR="00E152ED">
        <w:rPr>
          <w:rFonts w:ascii="Arial" w:hAnsi="Arial" w:cs="Arial"/>
          <w:noProof/>
          <w:lang w:val="en-GB"/>
        </w:rPr>
        <w:t>indicators</w:t>
      </w:r>
      <w:r w:rsidR="00A20025">
        <w:rPr>
          <w:rFonts w:ascii="Arial" w:hAnsi="Arial" w:cs="Arial"/>
          <w:noProof/>
          <w:lang w:val="en-GB"/>
        </w:rPr>
        <w:t xml:space="preserve">. </w:t>
      </w:r>
      <w:r w:rsidR="001C014D">
        <w:rPr>
          <w:rFonts w:ascii="Arial" w:hAnsi="Arial" w:cs="Arial"/>
          <w:noProof/>
          <w:lang w:val="en-GB"/>
        </w:rPr>
        <w:t xml:space="preserve"> </w:t>
      </w:r>
      <w:r w:rsidR="007C0B2A">
        <w:rPr>
          <w:rFonts w:ascii="Arial" w:hAnsi="Arial" w:cs="Arial"/>
          <w:noProof/>
          <w:lang w:val="en-GB"/>
        </w:rPr>
        <w:t>In fact</w:t>
      </w:r>
      <w:r w:rsidR="007C0B2A" w:rsidRPr="007C0B2A">
        <w:rPr>
          <w:rFonts w:ascii="Arial" w:hAnsi="Arial" w:cs="Arial"/>
          <w:noProof/>
          <w:lang w:val="en-GB"/>
        </w:rPr>
        <w:t>, “sociological research suggests that contextual factors and processes can be powerful forces shaping how individuals and communities engage with the issue”</w:t>
      </w:r>
      <w:r>
        <w:rPr>
          <w:rFonts w:ascii="Arial" w:hAnsi="Arial" w:cs="Arial"/>
          <w:noProof/>
          <w:lang w:val="en-GB"/>
        </w:rPr>
        <w:t xml:space="preserve"> </w:t>
      </w:r>
      <w:r w:rsidR="007C0B2A">
        <w:rPr>
          <w:rFonts w:ascii="Arial" w:hAnsi="Arial" w:cs="Arial"/>
          <w:noProof/>
          <w:lang w:val="en-GB"/>
        </w:rPr>
        <w:fldChar w:fldCharType="begin"/>
      </w:r>
      <w:r w:rsidR="00C02BE6">
        <w:rPr>
          <w:rFonts w:ascii="Arial" w:hAnsi="Arial" w:cs="Arial"/>
          <w:noProof/>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Pr>
          <w:rFonts w:ascii="Arial" w:hAnsi="Arial" w:cs="Arial"/>
          <w:noProof/>
          <w:lang w:val="en-GB"/>
        </w:rPr>
        <w:fldChar w:fldCharType="separate"/>
      </w:r>
      <w:r w:rsidR="007C0B2A" w:rsidRPr="007C0B2A">
        <w:rPr>
          <w:rFonts w:ascii="Arial" w:hAnsi="Arial" w:cs="Arial"/>
          <w:lang w:val="en-GB"/>
        </w:rPr>
        <w:t>(Lee et al., 2015</w:t>
      </w:r>
      <w:r w:rsidR="007C0B2A">
        <w:rPr>
          <w:rFonts w:ascii="Arial" w:hAnsi="Arial" w:cs="Arial"/>
          <w:lang w:val="en-GB"/>
        </w:rPr>
        <w:t>, p. 1014</w:t>
      </w:r>
      <w:r w:rsidR="007C0B2A" w:rsidRPr="007C0B2A">
        <w:rPr>
          <w:rFonts w:ascii="Arial" w:hAnsi="Arial" w:cs="Arial"/>
          <w:lang w:val="en-GB"/>
        </w:rPr>
        <w:t>)</w:t>
      </w:r>
      <w:r w:rsidR="007C0B2A">
        <w:rPr>
          <w:rFonts w:ascii="Arial" w:hAnsi="Arial" w:cs="Arial"/>
          <w:noProof/>
          <w:lang w:val="en-GB"/>
        </w:rPr>
        <w:fldChar w:fldCharType="end"/>
      </w:r>
      <w:r w:rsidR="007C0B2A" w:rsidRPr="007C0B2A">
        <w:rPr>
          <w:rFonts w:ascii="Arial" w:hAnsi="Arial" w:cs="Arial"/>
          <w:noProof/>
          <w:lang w:val="en-GB"/>
        </w:rPr>
        <w:t xml:space="preserve">. </w:t>
      </w:r>
      <w:r>
        <w:rPr>
          <w:rFonts w:ascii="Arial" w:hAnsi="Arial" w:cs="Arial"/>
          <w:noProof/>
          <w:lang w:val="en-GB"/>
        </w:rPr>
        <w:t>There are different ecological tax reforms or cultural habits that affect and shape individual climate change attitudes and behavior.</w:t>
      </w:r>
    </w:p>
    <w:p w14:paraId="4EFEBFD6" w14:textId="1A15A45F" w:rsidR="006B2DF5" w:rsidRDefault="004E7BAB" w:rsidP="00E4483A">
      <w:pPr>
        <w:spacing w:line="360" w:lineRule="auto"/>
        <w:jc w:val="both"/>
        <w:rPr>
          <w:rFonts w:ascii="Arial" w:hAnsi="Arial" w:cs="Arial"/>
          <w:noProof/>
          <w:lang w:val="en-GB"/>
        </w:rPr>
      </w:pPr>
      <w:r>
        <w:rPr>
          <w:rFonts w:ascii="Arial" w:hAnsi="Arial" w:cs="Arial"/>
          <w:noProof/>
          <w:lang w:val="en-GB"/>
        </w:rPr>
        <w:t xml:space="preserve">In this way, </w:t>
      </w:r>
      <w:r w:rsidR="00A20025">
        <w:rPr>
          <w:rFonts w:ascii="Arial" w:hAnsi="Arial" w:cs="Arial"/>
          <w:noProof/>
          <w:lang w:val="en-GB"/>
        </w:rPr>
        <w:t>I</w:t>
      </w:r>
      <w:r>
        <w:rPr>
          <w:rFonts w:ascii="Arial" w:hAnsi="Arial" w:cs="Arial"/>
          <w:noProof/>
          <w:lang w:val="en-GB"/>
        </w:rPr>
        <w:t>t</w:t>
      </w:r>
      <w:r w:rsidR="000510CB">
        <w:rPr>
          <w:rFonts w:ascii="Arial" w:hAnsi="Arial" w:cs="Arial"/>
          <w:noProof/>
          <w:lang w:val="en-GB"/>
        </w:rPr>
        <w:t xml:space="preserve"> is important to remember that </w:t>
      </w:r>
      <w:r w:rsidR="00A20025">
        <w:rPr>
          <w:rFonts w:ascii="Arial" w:hAnsi="Arial" w:cs="Arial"/>
          <w:noProof/>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28C804DD" w14:textId="09F1767C" w:rsidR="00101268" w:rsidRDefault="00101268" w:rsidP="00E4483A">
      <w:pPr>
        <w:spacing w:line="360" w:lineRule="auto"/>
        <w:jc w:val="both"/>
        <w:rPr>
          <w:rFonts w:ascii="Arial" w:hAnsi="Arial" w:cs="Arial"/>
          <w:noProof/>
          <w:lang w:val="en-GB"/>
        </w:rPr>
      </w:pPr>
      <w:r>
        <w:rPr>
          <w:rFonts w:ascii="Arial" w:hAnsi="Arial" w:cs="Arial"/>
          <w:noProof/>
          <w:lang w:val="en-GB"/>
        </w:rPr>
        <w:t xml:space="preserve">Figure 4: The 2019 </w:t>
      </w:r>
      <w:r w:rsidR="00F452D9">
        <w:rPr>
          <w:rFonts w:ascii="Arial" w:hAnsi="Arial" w:cs="Arial"/>
          <w:noProof/>
          <w:lang w:val="en-GB"/>
        </w:rPr>
        <w:t xml:space="preserve">Climate </w:t>
      </w:r>
      <w:r w:rsidR="007142F1">
        <w:rPr>
          <w:rFonts w:ascii="Arial" w:hAnsi="Arial" w:cs="Arial"/>
          <w:noProof/>
          <w:lang w:val="en-GB"/>
        </w:rPr>
        <w:t xml:space="preserve">Change </w:t>
      </w:r>
      <w:r w:rsidR="00F452D9">
        <w:rPr>
          <w:rFonts w:ascii="Arial" w:hAnsi="Arial" w:cs="Arial"/>
          <w:noProof/>
          <w:lang w:val="en-GB"/>
        </w:rPr>
        <w:t xml:space="preserve">Policy </w:t>
      </w: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DA625D"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DA625D"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1" w:name="_Hlk54778069"/>
            <w:r w:rsidRPr="00EF02C2">
              <w:rPr>
                <w:rFonts w:ascii="Arial" w:hAnsi="Arial" w:cs="Arial"/>
                <w:sz w:val="18"/>
                <w:szCs w:val="18"/>
                <w:lang w:val="en-GB"/>
              </w:rPr>
              <w:t>how serious a problem do you think climate change is at this moment? Please use a scale from 1 to 10, with '1' meaning it is "not at all a serious problem" and '10' meaning it is "an extremely serious problem"</w:t>
            </w:r>
            <w:bookmarkEnd w:id="1"/>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DA625D"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Taking action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DA625D"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DA625D"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DA625D"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provides support for improving energy efficiency by 2030 (e.g.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DA625D"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Small or middle sized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
    </w:tbl>
    <w:p w14:paraId="6C0C567E" w14:textId="77777777" w:rsidR="00C94FB6" w:rsidRDefault="00C94FB6" w:rsidP="00E4483A">
      <w:pPr>
        <w:spacing w:line="360" w:lineRule="auto"/>
        <w:jc w:val="both"/>
        <w:rPr>
          <w:rFonts w:ascii="Arial" w:hAnsi="Arial" w:cs="Arial"/>
          <w:b/>
          <w:bCs/>
          <w:lang w:val="en-GB"/>
        </w:rPr>
      </w:pPr>
    </w:p>
    <w:p w14:paraId="6EABEEEE" w14:textId="6CBEDEE1" w:rsidR="008850D6" w:rsidRPr="00C43052" w:rsidRDefault="00C94FB6" w:rsidP="00E4483A">
      <w:pPr>
        <w:jc w:val="both"/>
        <w:rPr>
          <w:rFonts w:ascii="Arial" w:hAnsi="Arial" w:cs="Arial"/>
          <w:b/>
          <w:bCs/>
          <w:lang w:val="en-GB"/>
        </w:rPr>
      </w:pPr>
      <w:r>
        <w:rPr>
          <w:rFonts w:ascii="Arial" w:hAnsi="Arial" w:cs="Arial"/>
          <w:b/>
          <w:bCs/>
          <w:lang w:val="en-GB"/>
        </w:rPr>
        <w:br w:type="page"/>
      </w:r>
      <w:r w:rsidR="008850D6" w:rsidRPr="00C43052">
        <w:rPr>
          <w:rFonts w:ascii="Arial" w:hAnsi="Arial" w:cs="Arial"/>
          <w:b/>
          <w:bCs/>
          <w:lang w:val="en-GB"/>
        </w:rPr>
        <w:lastRenderedPageBreak/>
        <w:t>REFERENCES</w:t>
      </w:r>
    </w:p>
    <w:p w14:paraId="0B5F0322" w14:textId="77777777" w:rsidR="00217242" w:rsidRPr="00217242" w:rsidRDefault="008850D6" w:rsidP="00217242">
      <w:pPr>
        <w:pStyle w:val="Bibliografia"/>
        <w:rPr>
          <w:rFonts w:ascii="Arial" w:hAnsi="Arial" w:cs="Arial"/>
          <w:lang w:val="en-GB"/>
        </w:rPr>
      </w:pPr>
      <w:r w:rsidRPr="00C43052">
        <w:rPr>
          <w:rFonts w:ascii="Arial" w:hAnsi="Arial" w:cs="Arial"/>
          <w:b/>
          <w:bCs/>
          <w:lang w:val="en-GB"/>
        </w:rPr>
        <w:fldChar w:fldCharType="begin"/>
      </w:r>
      <w:r w:rsidR="006142F2">
        <w:rPr>
          <w:rFonts w:ascii="Arial" w:hAnsi="Arial" w:cs="Arial"/>
          <w:b/>
          <w:bCs/>
          <w:lang w:val="en-GB"/>
        </w:rPr>
        <w:instrText xml:space="preserve"> ADDIN ZOTERO_BIBL {"uncited":[],"omitted":[],"custom":[]} CSL_BIBLIOGRAPHY </w:instrText>
      </w:r>
      <w:r w:rsidRPr="00C43052">
        <w:rPr>
          <w:rFonts w:ascii="Arial" w:hAnsi="Arial" w:cs="Arial"/>
          <w:b/>
          <w:bCs/>
          <w:lang w:val="en-GB"/>
        </w:rPr>
        <w:fldChar w:fldCharType="separate"/>
      </w:r>
      <w:r w:rsidR="00217242" w:rsidRPr="00217242">
        <w:rPr>
          <w:rFonts w:ascii="Arial" w:hAnsi="Arial" w:cs="Arial"/>
          <w:lang w:val="en-GB"/>
        </w:rPr>
        <w:t xml:space="preserve">Abu-Omar, K., &amp; </w:t>
      </w:r>
      <w:proofErr w:type="spellStart"/>
      <w:r w:rsidR="00217242" w:rsidRPr="00217242">
        <w:rPr>
          <w:rFonts w:ascii="Arial" w:hAnsi="Arial" w:cs="Arial"/>
          <w:lang w:val="en-GB"/>
        </w:rPr>
        <w:t>Rütten</w:t>
      </w:r>
      <w:proofErr w:type="spellEnd"/>
      <w:r w:rsidR="00217242" w:rsidRPr="00217242">
        <w:rPr>
          <w:rFonts w:ascii="Arial" w:hAnsi="Arial" w:cs="Arial"/>
          <w:lang w:val="en-GB"/>
        </w:rPr>
        <w:t xml:space="preserve">, A. (2008). Relation of leisure time, occupational, domestic, and commuting physical activity to health indicators in Europe. </w:t>
      </w:r>
      <w:r w:rsidR="00217242" w:rsidRPr="00217242">
        <w:rPr>
          <w:rFonts w:ascii="Arial" w:hAnsi="Arial" w:cs="Arial"/>
          <w:i/>
          <w:iCs/>
          <w:lang w:val="en-GB"/>
        </w:rPr>
        <w:t>Preventive Medicine</w:t>
      </w:r>
      <w:r w:rsidR="00217242" w:rsidRPr="00217242">
        <w:rPr>
          <w:rFonts w:ascii="Arial" w:hAnsi="Arial" w:cs="Arial"/>
          <w:lang w:val="en-GB"/>
        </w:rPr>
        <w:t xml:space="preserve">, </w:t>
      </w:r>
      <w:r w:rsidR="00217242" w:rsidRPr="00217242">
        <w:rPr>
          <w:rFonts w:ascii="Arial" w:hAnsi="Arial" w:cs="Arial"/>
          <w:i/>
          <w:iCs/>
          <w:lang w:val="en-GB"/>
        </w:rPr>
        <w:t>47</w:t>
      </w:r>
      <w:r w:rsidR="00217242" w:rsidRPr="00217242">
        <w:rPr>
          <w:rFonts w:ascii="Arial" w:hAnsi="Arial" w:cs="Arial"/>
          <w:lang w:val="en-GB"/>
        </w:rPr>
        <w:t>(3), 319–323. https://doi.org/10.1016/j.ypmed.2008.03.012</w:t>
      </w:r>
    </w:p>
    <w:p w14:paraId="5707D677"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t>Belgiu</w:t>
      </w:r>
      <w:proofErr w:type="spellEnd"/>
      <w:r w:rsidRPr="00217242">
        <w:rPr>
          <w:rFonts w:ascii="Arial" w:hAnsi="Arial" w:cs="Arial"/>
          <w:lang w:val="en-GB"/>
        </w:rPr>
        <w:t xml:space="preserve">, M. (2016). Random forest in remote sensing: A review of applications and future directions. </w:t>
      </w:r>
      <w:r w:rsidRPr="00217242">
        <w:rPr>
          <w:rFonts w:ascii="Arial" w:hAnsi="Arial" w:cs="Arial"/>
          <w:i/>
          <w:iCs/>
          <w:lang w:val="en-GB"/>
        </w:rPr>
        <w:t>ISPRS Journal of Photogrammetry and Remote Sensing</w:t>
      </w:r>
      <w:r w:rsidRPr="00217242">
        <w:rPr>
          <w:rFonts w:ascii="Arial" w:hAnsi="Arial" w:cs="Arial"/>
          <w:lang w:val="en-GB"/>
        </w:rPr>
        <w:t>, 8.</w:t>
      </w:r>
    </w:p>
    <w:p w14:paraId="62BB7D05"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t>Biau</w:t>
      </w:r>
      <w:proofErr w:type="spellEnd"/>
      <w:r w:rsidRPr="00217242">
        <w:rPr>
          <w:rFonts w:ascii="Arial" w:hAnsi="Arial" w:cs="Arial"/>
          <w:lang w:val="en-GB"/>
        </w:rPr>
        <w:t xml:space="preserve">, G., &amp; </w:t>
      </w:r>
      <w:proofErr w:type="spellStart"/>
      <w:r w:rsidRPr="00217242">
        <w:rPr>
          <w:rFonts w:ascii="Arial" w:hAnsi="Arial" w:cs="Arial"/>
          <w:lang w:val="en-GB"/>
        </w:rPr>
        <w:t>Scornet</w:t>
      </w:r>
      <w:proofErr w:type="spellEnd"/>
      <w:r w:rsidRPr="00217242">
        <w:rPr>
          <w:rFonts w:ascii="Arial" w:hAnsi="Arial" w:cs="Arial"/>
          <w:lang w:val="en-GB"/>
        </w:rPr>
        <w:t xml:space="preserve">, E. (2016). A random forest guided tour. </w:t>
      </w:r>
      <w:r w:rsidRPr="00217242">
        <w:rPr>
          <w:rFonts w:ascii="Arial" w:hAnsi="Arial" w:cs="Arial"/>
          <w:i/>
          <w:iCs/>
          <w:lang w:val="en-GB"/>
        </w:rPr>
        <w:t>TEST</w:t>
      </w:r>
      <w:r w:rsidRPr="00217242">
        <w:rPr>
          <w:rFonts w:ascii="Arial" w:hAnsi="Arial" w:cs="Arial"/>
          <w:lang w:val="en-GB"/>
        </w:rPr>
        <w:t xml:space="preserve">, </w:t>
      </w:r>
      <w:r w:rsidRPr="00217242">
        <w:rPr>
          <w:rFonts w:ascii="Arial" w:hAnsi="Arial" w:cs="Arial"/>
          <w:i/>
          <w:iCs/>
          <w:lang w:val="en-GB"/>
        </w:rPr>
        <w:t>25</w:t>
      </w:r>
      <w:r w:rsidRPr="00217242">
        <w:rPr>
          <w:rFonts w:ascii="Arial" w:hAnsi="Arial" w:cs="Arial"/>
          <w:lang w:val="en-GB"/>
        </w:rPr>
        <w:t>(2), 197–227. https://doi.org/10.1007/s11749-016-0481-7</w:t>
      </w:r>
    </w:p>
    <w:p w14:paraId="4DB805A7"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Boutyline, A. (2017). Improving the Measurement of Shared Cultural Schemas with Correlational Class Analysis: Theory and Method. </w:t>
      </w:r>
      <w:r w:rsidRPr="00217242">
        <w:rPr>
          <w:rFonts w:ascii="Arial" w:hAnsi="Arial" w:cs="Arial"/>
          <w:i/>
          <w:iCs/>
          <w:lang w:val="en-GB"/>
        </w:rPr>
        <w:t>Sociological Science</w:t>
      </w:r>
      <w:r w:rsidRPr="00217242">
        <w:rPr>
          <w:rFonts w:ascii="Arial" w:hAnsi="Arial" w:cs="Arial"/>
          <w:lang w:val="en-GB"/>
        </w:rPr>
        <w:t xml:space="preserve">, </w:t>
      </w:r>
      <w:r w:rsidRPr="00217242">
        <w:rPr>
          <w:rFonts w:ascii="Arial" w:hAnsi="Arial" w:cs="Arial"/>
          <w:i/>
          <w:iCs/>
          <w:lang w:val="en-GB"/>
        </w:rPr>
        <w:t>4</w:t>
      </w:r>
      <w:r w:rsidRPr="00217242">
        <w:rPr>
          <w:rFonts w:ascii="Arial" w:hAnsi="Arial" w:cs="Arial"/>
          <w:lang w:val="en-GB"/>
        </w:rPr>
        <w:t>, 353–393. https://doi.org/10.15195/v4.a15</w:t>
      </w:r>
    </w:p>
    <w:p w14:paraId="27BDB388"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t>Brulle</w:t>
      </w:r>
      <w:proofErr w:type="spellEnd"/>
      <w:r w:rsidRPr="00217242">
        <w:rPr>
          <w:rFonts w:ascii="Arial" w:hAnsi="Arial" w:cs="Arial"/>
          <w:lang w:val="en-GB"/>
        </w:rPr>
        <w:t xml:space="preserve">, R. J., Carmichael, J., &amp; Jenkins, J. C. (2012). Shifting public opinion on climate change: An empirical assessment of factors influencing concern over climate change in the U.S., 2002–2010. </w:t>
      </w:r>
      <w:r w:rsidRPr="00217242">
        <w:rPr>
          <w:rFonts w:ascii="Arial" w:hAnsi="Arial" w:cs="Arial"/>
          <w:i/>
          <w:iCs/>
          <w:lang w:val="en-GB"/>
        </w:rPr>
        <w:t>Climatic Change</w:t>
      </w:r>
      <w:r w:rsidRPr="00217242">
        <w:rPr>
          <w:rFonts w:ascii="Arial" w:hAnsi="Arial" w:cs="Arial"/>
          <w:lang w:val="en-GB"/>
        </w:rPr>
        <w:t>, 21.</w:t>
      </w:r>
    </w:p>
    <w:p w14:paraId="339D3668"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t>Burck</w:t>
      </w:r>
      <w:proofErr w:type="spellEnd"/>
      <w:r w:rsidRPr="00217242">
        <w:rPr>
          <w:rFonts w:ascii="Arial" w:hAnsi="Arial" w:cs="Arial"/>
          <w:lang w:val="en-GB"/>
        </w:rPr>
        <w:t xml:space="preserve">, J. (2018). </w:t>
      </w:r>
      <w:r w:rsidRPr="00217242">
        <w:rPr>
          <w:rFonts w:ascii="Arial" w:hAnsi="Arial" w:cs="Arial"/>
          <w:i/>
          <w:iCs/>
          <w:lang w:val="en-GB"/>
        </w:rPr>
        <w:t>CCPI, climate change performance index background and methodology</w:t>
      </w:r>
      <w:r w:rsidRPr="00217242">
        <w:rPr>
          <w:rFonts w:ascii="Arial" w:hAnsi="Arial" w:cs="Arial"/>
          <w:lang w:val="en-GB"/>
        </w:rPr>
        <w:t>.</w:t>
      </w:r>
    </w:p>
    <w:p w14:paraId="313D10FE"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Driscoll, D. (2019). Assessing Sociodemographic Predictors of Climate Change Concern, 1994–2016. </w:t>
      </w:r>
      <w:r w:rsidRPr="00217242">
        <w:rPr>
          <w:rFonts w:ascii="Arial" w:hAnsi="Arial" w:cs="Arial"/>
          <w:i/>
          <w:iCs/>
          <w:lang w:val="en-GB"/>
        </w:rPr>
        <w:t>Social Science Quarterly</w:t>
      </w:r>
      <w:r w:rsidRPr="00217242">
        <w:rPr>
          <w:rFonts w:ascii="Arial" w:hAnsi="Arial" w:cs="Arial"/>
          <w:lang w:val="en-GB"/>
        </w:rPr>
        <w:t>, 1699–1708. https://doi.org/10.1111/ssqu.12683</w:t>
      </w:r>
    </w:p>
    <w:p w14:paraId="0EC1B89E"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t>Echavarren</w:t>
      </w:r>
      <w:proofErr w:type="spellEnd"/>
      <w:r w:rsidRPr="00217242">
        <w:rPr>
          <w:rFonts w:ascii="Arial" w:hAnsi="Arial" w:cs="Arial"/>
          <w:lang w:val="en-GB"/>
        </w:rPr>
        <w:t xml:space="preserve">, J. M., </w:t>
      </w:r>
      <w:proofErr w:type="spellStart"/>
      <w:r w:rsidRPr="00217242">
        <w:rPr>
          <w:rFonts w:ascii="Arial" w:hAnsi="Arial" w:cs="Arial"/>
          <w:lang w:val="en-GB"/>
        </w:rPr>
        <w:t>Balžekienė</w:t>
      </w:r>
      <w:proofErr w:type="spellEnd"/>
      <w:r w:rsidRPr="00217242">
        <w:rPr>
          <w:rFonts w:ascii="Arial" w:hAnsi="Arial" w:cs="Arial"/>
          <w:lang w:val="en-GB"/>
        </w:rPr>
        <w:t xml:space="preserve">, A., &amp; </w:t>
      </w:r>
      <w:proofErr w:type="spellStart"/>
      <w:r w:rsidRPr="00217242">
        <w:rPr>
          <w:rFonts w:ascii="Arial" w:hAnsi="Arial" w:cs="Arial"/>
          <w:lang w:val="en-GB"/>
        </w:rPr>
        <w:t>Telešienė</w:t>
      </w:r>
      <w:proofErr w:type="spellEnd"/>
      <w:r w:rsidRPr="00217242">
        <w:rPr>
          <w:rFonts w:ascii="Arial" w:hAnsi="Arial" w:cs="Arial"/>
          <w:lang w:val="en-GB"/>
        </w:rPr>
        <w:t xml:space="preserve">, A. (2019). Multilevel analysis of climate change risk perception in Europe: Natural hazards, political contexts and mediating individual effects. </w:t>
      </w:r>
      <w:r w:rsidRPr="00217242">
        <w:rPr>
          <w:rFonts w:ascii="Arial" w:hAnsi="Arial" w:cs="Arial"/>
          <w:i/>
          <w:iCs/>
          <w:lang w:val="en-GB"/>
        </w:rPr>
        <w:t>Safety Science</w:t>
      </w:r>
      <w:r w:rsidRPr="00217242">
        <w:rPr>
          <w:rFonts w:ascii="Arial" w:hAnsi="Arial" w:cs="Arial"/>
          <w:lang w:val="en-GB"/>
        </w:rPr>
        <w:t xml:space="preserve">, </w:t>
      </w:r>
      <w:r w:rsidRPr="00217242">
        <w:rPr>
          <w:rFonts w:ascii="Arial" w:hAnsi="Arial" w:cs="Arial"/>
          <w:i/>
          <w:iCs/>
          <w:lang w:val="en-GB"/>
        </w:rPr>
        <w:t>120</w:t>
      </w:r>
      <w:r w:rsidRPr="00217242">
        <w:rPr>
          <w:rFonts w:ascii="Arial" w:hAnsi="Arial" w:cs="Arial"/>
          <w:lang w:val="en-GB"/>
        </w:rPr>
        <w:t>, 813–823. https://doi.org/10.1016/j.ssci.2019.08.024</w:t>
      </w:r>
    </w:p>
    <w:p w14:paraId="38D43ECB"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Egan, P. J., &amp; Mullin, M. (2017). Climate Change: US Public Opinion. </w:t>
      </w:r>
      <w:r w:rsidRPr="00217242">
        <w:rPr>
          <w:rFonts w:ascii="Arial" w:hAnsi="Arial" w:cs="Arial"/>
          <w:i/>
          <w:iCs/>
          <w:lang w:val="en-GB"/>
        </w:rPr>
        <w:t>Annual Review of Political Science</w:t>
      </w:r>
      <w:r w:rsidRPr="00217242">
        <w:rPr>
          <w:rFonts w:ascii="Arial" w:hAnsi="Arial" w:cs="Arial"/>
          <w:lang w:val="en-GB"/>
        </w:rPr>
        <w:t xml:space="preserve">, </w:t>
      </w:r>
      <w:r w:rsidRPr="00217242">
        <w:rPr>
          <w:rFonts w:ascii="Arial" w:hAnsi="Arial" w:cs="Arial"/>
          <w:i/>
          <w:iCs/>
          <w:lang w:val="en-GB"/>
        </w:rPr>
        <w:t>20</w:t>
      </w:r>
      <w:r w:rsidRPr="00217242">
        <w:rPr>
          <w:rFonts w:ascii="Arial" w:hAnsi="Arial" w:cs="Arial"/>
          <w:lang w:val="en-GB"/>
        </w:rPr>
        <w:t>(1), 209–227. https://doi.org/10.1146/annurev-polisci-051215-022857</w:t>
      </w:r>
    </w:p>
    <w:p w14:paraId="4179D0D5"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European Commission, Brussels. (2019). </w:t>
      </w:r>
      <w:r w:rsidRPr="00217242">
        <w:rPr>
          <w:rFonts w:ascii="Arial" w:hAnsi="Arial" w:cs="Arial"/>
          <w:i/>
          <w:iCs/>
          <w:lang w:val="en-GB"/>
        </w:rPr>
        <w:t>Eurobarometer 91.3 (2019)Eurobarometer 91.3 (2019): Rule of Law, and Climate Change: Rule of Law, and Climate Change</w:t>
      </w:r>
      <w:r w:rsidRPr="00217242">
        <w:rPr>
          <w:rFonts w:ascii="Arial" w:hAnsi="Arial" w:cs="Arial"/>
          <w:lang w:val="en-GB"/>
        </w:rPr>
        <w:t xml:space="preserve"> (1.0.0) [Data set]. GESIS Data Archive. https://doi.org/10.4232/1.13372</w:t>
      </w:r>
    </w:p>
    <w:p w14:paraId="794D421C"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Fonseca, J. R. S. (2013). Clustering in the field of social sciences: That is your choice. </w:t>
      </w:r>
      <w:r w:rsidRPr="00217242">
        <w:rPr>
          <w:rFonts w:ascii="Arial" w:hAnsi="Arial" w:cs="Arial"/>
          <w:i/>
          <w:iCs/>
          <w:lang w:val="en-GB"/>
        </w:rPr>
        <w:t>International Journal of Social Research Methodology</w:t>
      </w:r>
      <w:r w:rsidRPr="00217242">
        <w:rPr>
          <w:rFonts w:ascii="Arial" w:hAnsi="Arial" w:cs="Arial"/>
          <w:lang w:val="en-GB"/>
        </w:rPr>
        <w:t xml:space="preserve">, </w:t>
      </w:r>
      <w:r w:rsidRPr="00217242">
        <w:rPr>
          <w:rFonts w:ascii="Arial" w:hAnsi="Arial" w:cs="Arial"/>
          <w:i/>
          <w:iCs/>
          <w:lang w:val="en-GB"/>
        </w:rPr>
        <w:t>16</w:t>
      </w:r>
      <w:r w:rsidRPr="00217242">
        <w:rPr>
          <w:rFonts w:ascii="Arial" w:hAnsi="Arial" w:cs="Arial"/>
          <w:lang w:val="en-GB"/>
        </w:rPr>
        <w:t>(5), 403–428. https://doi.org/10.1080/13645579.2012.716973</w:t>
      </w:r>
    </w:p>
    <w:p w14:paraId="23EE17FF"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Goldberg, A. (2011). Mapping Shared Understandings Using Relational Class Analysis: The Case of the Cultural Omnivore </w:t>
      </w:r>
      <w:proofErr w:type="spellStart"/>
      <w:r w:rsidRPr="00217242">
        <w:rPr>
          <w:rFonts w:ascii="Arial" w:hAnsi="Arial" w:cs="Arial"/>
          <w:lang w:val="en-GB"/>
        </w:rPr>
        <w:t>Reexamined</w:t>
      </w:r>
      <w:proofErr w:type="spellEnd"/>
      <w:r w:rsidRPr="00217242">
        <w:rPr>
          <w:rFonts w:ascii="Arial" w:hAnsi="Arial" w:cs="Arial"/>
          <w:lang w:val="en-GB"/>
        </w:rPr>
        <w:t xml:space="preserve">. </w:t>
      </w:r>
      <w:r w:rsidRPr="00217242">
        <w:rPr>
          <w:rFonts w:ascii="Arial" w:hAnsi="Arial" w:cs="Arial"/>
          <w:i/>
          <w:iCs/>
          <w:lang w:val="en-GB"/>
        </w:rPr>
        <w:t>American Journal of Sociology</w:t>
      </w:r>
      <w:r w:rsidRPr="00217242">
        <w:rPr>
          <w:rFonts w:ascii="Arial" w:hAnsi="Arial" w:cs="Arial"/>
          <w:lang w:val="en-GB"/>
        </w:rPr>
        <w:t xml:space="preserve">, </w:t>
      </w:r>
      <w:r w:rsidRPr="00217242">
        <w:rPr>
          <w:rFonts w:ascii="Arial" w:hAnsi="Arial" w:cs="Arial"/>
          <w:i/>
          <w:iCs/>
          <w:lang w:val="en-GB"/>
        </w:rPr>
        <w:t>116</w:t>
      </w:r>
      <w:r w:rsidRPr="00217242">
        <w:rPr>
          <w:rFonts w:ascii="Arial" w:hAnsi="Arial" w:cs="Arial"/>
          <w:lang w:val="en-GB"/>
        </w:rPr>
        <w:t>(5), 1397–1436. https://doi.org/10.1086/657976</w:t>
      </w:r>
    </w:p>
    <w:p w14:paraId="001B53CD"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James, G., Witten, D., Hastie, T., &amp; </w:t>
      </w:r>
      <w:proofErr w:type="spellStart"/>
      <w:r w:rsidRPr="00217242">
        <w:rPr>
          <w:rFonts w:ascii="Arial" w:hAnsi="Arial" w:cs="Arial"/>
          <w:lang w:val="en-GB"/>
        </w:rPr>
        <w:t>Tibshirani</w:t>
      </w:r>
      <w:proofErr w:type="spellEnd"/>
      <w:r w:rsidRPr="00217242">
        <w:rPr>
          <w:rFonts w:ascii="Arial" w:hAnsi="Arial" w:cs="Arial"/>
          <w:lang w:val="en-GB"/>
        </w:rPr>
        <w:t xml:space="preserve">, R. (2013). </w:t>
      </w:r>
      <w:r w:rsidRPr="00217242">
        <w:rPr>
          <w:rFonts w:ascii="Arial" w:hAnsi="Arial" w:cs="Arial"/>
          <w:i/>
          <w:iCs/>
          <w:lang w:val="en-GB"/>
        </w:rPr>
        <w:t>An Introduction to Statistical Learning: With Applications in R</w:t>
      </w:r>
      <w:r w:rsidRPr="00217242">
        <w:rPr>
          <w:rFonts w:ascii="Arial" w:hAnsi="Arial" w:cs="Arial"/>
          <w:lang w:val="en-GB"/>
        </w:rPr>
        <w:t xml:space="preserve"> (Vol. 103). </w:t>
      </w:r>
      <w:proofErr w:type="spellStart"/>
      <w:r w:rsidRPr="00217242">
        <w:rPr>
          <w:rFonts w:ascii="Arial" w:hAnsi="Arial" w:cs="Arial"/>
          <w:lang w:val="en-GB"/>
        </w:rPr>
        <w:t>Spinger</w:t>
      </w:r>
      <w:proofErr w:type="spellEnd"/>
      <w:r w:rsidRPr="00217242">
        <w:rPr>
          <w:rFonts w:ascii="Arial" w:hAnsi="Arial" w:cs="Arial"/>
          <w:lang w:val="en-GB"/>
        </w:rPr>
        <w:t>.</w:t>
      </w:r>
    </w:p>
    <w:p w14:paraId="336AA1DC"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lastRenderedPageBreak/>
        <w:t>Jenhani</w:t>
      </w:r>
      <w:proofErr w:type="spellEnd"/>
      <w:r w:rsidRPr="00217242">
        <w:rPr>
          <w:rFonts w:ascii="Arial" w:hAnsi="Arial" w:cs="Arial"/>
          <w:lang w:val="en-GB"/>
        </w:rPr>
        <w:t xml:space="preserve">, I., Amor, N. B., &amp; </w:t>
      </w:r>
      <w:proofErr w:type="spellStart"/>
      <w:r w:rsidRPr="00217242">
        <w:rPr>
          <w:rFonts w:ascii="Arial" w:hAnsi="Arial" w:cs="Arial"/>
          <w:lang w:val="en-GB"/>
        </w:rPr>
        <w:t>Elouedi</w:t>
      </w:r>
      <w:proofErr w:type="spellEnd"/>
      <w:r w:rsidRPr="00217242">
        <w:rPr>
          <w:rFonts w:ascii="Arial" w:hAnsi="Arial" w:cs="Arial"/>
          <w:lang w:val="en-GB"/>
        </w:rPr>
        <w:t xml:space="preserve">, Z. (2008). Decision trees as possibilistic classifiers. </w:t>
      </w:r>
      <w:r w:rsidRPr="00217242">
        <w:rPr>
          <w:rFonts w:ascii="Arial" w:hAnsi="Arial" w:cs="Arial"/>
          <w:i/>
          <w:iCs/>
          <w:lang w:val="en-GB"/>
        </w:rPr>
        <w:t>International Journal of Approximate Reasoning</w:t>
      </w:r>
      <w:r w:rsidRPr="00217242">
        <w:rPr>
          <w:rFonts w:ascii="Arial" w:hAnsi="Arial" w:cs="Arial"/>
          <w:lang w:val="en-GB"/>
        </w:rPr>
        <w:t xml:space="preserve">, </w:t>
      </w:r>
      <w:r w:rsidRPr="00217242">
        <w:rPr>
          <w:rFonts w:ascii="Arial" w:hAnsi="Arial" w:cs="Arial"/>
          <w:i/>
          <w:iCs/>
          <w:lang w:val="en-GB"/>
        </w:rPr>
        <w:t>48</w:t>
      </w:r>
      <w:r w:rsidRPr="00217242">
        <w:rPr>
          <w:rFonts w:ascii="Arial" w:hAnsi="Arial" w:cs="Arial"/>
          <w:lang w:val="en-GB"/>
        </w:rPr>
        <w:t>(3), 784–807. https://doi.org/10.1016/j.ijar.2007.12.002</w:t>
      </w:r>
    </w:p>
    <w:p w14:paraId="1CD04C38"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t>Krajhanzl</w:t>
      </w:r>
      <w:proofErr w:type="spellEnd"/>
      <w:r w:rsidRPr="00217242">
        <w:rPr>
          <w:rFonts w:ascii="Arial" w:hAnsi="Arial" w:cs="Arial"/>
          <w:lang w:val="en-GB"/>
        </w:rPr>
        <w:t xml:space="preserve">, J. (2010). </w:t>
      </w:r>
      <w:r w:rsidRPr="00217242">
        <w:rPr>
          <w:rFonts w:ascii="Arial" w:hAnsi="Arial" w:cs="Arial"/>
          <w:i/>
          <w:iCs/>
          <w:lang w:val="en-GB"/>
        </w:rPr>
        <w:t>Environmental and Pro-environmental Behavior</w:t>
      </w:r>
      <w:r w:rsidRPr="00217242">
        <w:rPr>
          <w:rFonts w:ascii="Arial" w:hAnsi="Arial" w:cs="Arial"/>
          <w:lang w:val="en-GB"/>
        </w:rPr>
        <w:t xml:space="preserve">. </w:t>
      </w:r>
      <w:r w:rsidRPr="00217242">
        <w:rPr>
          <w:rFonts w:ascii="Arial" w:hAnsi="Arial" w:cs="Arial"/>
          <w:i/>
          <w:iCs/>
          <w:lang w:val="en-GB"/>
        </w:rPr>
        <w:t>School and Health</w:t>
      </w:r>
      <w:r w:rsidRPr="00217242">
        <w:rPr>
          <w:rFonts w:ascii="Arial" w:hAnsi="Arial" w:cs="Arial"/>
          <w:lang w:val="en-GB"/>
        </w:rPr>
        <w:t>, 251–274.</w:t>
      </w:r>
    </w:p>
    <w:p w14:paraId="7E08B34B"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Lacasse, K. (2015). The Importance of Being Green: The Influence of Green </w:t>
      </w:r>
      <w:proofErr w:type="spellStart"/>
      <w:r w:rsidRPr="00217242">
        <w:rPr>
          <w:rFonts w:ascii="Arial" w:hAnsi="Arial" w:cs="Arial"/>
          <w:lang w:val="en-GB"/>
        </w:rPr>
        <w:t>Behaviors</w:t>
      </w:r>
      <w:proofErr w:type="spellEnd"/>
      <w:r w:rsidRPr="00217242">
        <w:rPr>
          <w:rFonts w:ascii="Arial" w:hAnsi="Arial" w:cs="Arial"/>
          <w:lang w:val="en-GB"/>
        </w:rPr>
        <w:t xml:space="preserve"> on Americans’ Political Attitudes Toward Climate Change. </w:t>
      </w:r>
      <w:r w:rsidRPr="00217242">
        <w:rPr>
          <w:rFonts w:ascii="Arial" w:hAnsi="Arial" w:cs="Arial"/>
          <w:i/>
          <w:iCs/>
          <w:lang w:val="en-GB"/>
        </w:rPr>
        <w:t>Environment and Behavior</w:t>
      </w:r>
      <w:r w:rsidRPr="00217242">
        <w:rPr>
          <w:rFonts w:ascii="Arial" w:hAnsi="Arial" w:cs="Arial"/>
          <w:lang w:val="en-GB"/>
        </w:rPr>
        <w:t xml:space="preserve">, </w:t>
      </w:r>
      <w:r w:rsidRPr="00217242">
        <w:rPr>
          <w:rFonts w:ascii="Arial" w:hAnsi="Arial" w:cs="Arial"/>
          <w:i/>
          <w:iCs/>
          <w:lang w:val="en-GB"/>
        </w:rPr>
        <w:t>47</w:t>
      </w:r>
      <w:r w:rsidRPr="00217242">
        <w:rPr>
          <w:rFonts w:ascii="Arial" w:hAnsi="Arial" w:cs="Arial"/>
          <w:lang w:val="en-GB"/>
        </w:rPr>
        <w:t>(7), 754–781. https://doi.org/10.1177/0013916513520491</w:t>
      </w:r>
    </w:p>
    <w:p w14:paraId="2ED331DE"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Lee, T. M., Markowitz, E. M., Howe, P. D., Ko, C.-Y., &amp; Leiserowitz, A. A. (2015). Predictors of public climate change awareness and risk perception around the world. </w:t>
      </w:r>
      <w:r w:rsidRPr="00217242">
        <w:rPr>
          <w:rFonts w:ascii="Arial" w:hAnsi="Arial" w:cs="Arial"/>
          <w:i/>
          <w:iCs/>
          <w:lang w:val="en-GB"/>
        </w:rPr>
        <w:t>Nature Climate Change</w:t>
      </w:r>
      <w:r w:rsidRPr="00217242">
        <w:rPr>
          <w:rFonts w:ascii="Arial" w:hAnsi="Arial" w:cs="Arial"/>
          <w:lang w:val="en-GB"/>
        </w:rPr>
        <w:t xml:space="preserve">, </w:t>
      </w:r>
      <w:r w:rsidRPr="00217242">
        <w:rPr>
          <w:rFonts w:ascii="Arial" w:hAnsi="Arial" w:cs="Arial"/>
          <w:i/>
          <w:iCs/>
          <w:lang w:val="en-GB"/>
        </w:rPr>
        <w:t>5</w:t>
      </w:r>
      <w:r w:rsidRPr="00217242">
        <w:rPr>
          <w:rFonts w:ascii="Arial" w:hAnsi="Arial" w:cs="Arial"/>
          <w:lang w:val="en-GB"/>
        </w:rPr>
        <w:t>(11), 1014–1020. https://doi.org/10.1038/nclimate2728</w:t>
      </w:r>
    </w:p>
    <w:p w14:paraId="772CE198"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t>Lorenzoni</w:t>
      </w:r>
      <w:proofErr w:type="spellEnd"/>
      <w:r w:rsidRPr="00217242">
        <w:rPr>
          <w:rFonts w:ascii="Arial" w:hAnsi="Arial" w:cs="Arial"/>
          <w:lang w:val="en-GB"/>
        </w:rPr>
        <w:t xml:space="preserve">, I., &amp; Pidgeon, N. F. (2006). Public Views on Climate Change: European and USA Perspectives. </w:t>
      </w:r>
      <w:r w:rsidRPr="00217242">
        <w:rPr>
          <w:rFonts w:ascii="Arial" w:hAnsi="Arial" w:cs="Arial"/>
          <w:i/>
          <w:iCs/>
          <w:lang w:val="en-GB"/>
        </w:rPr>
        <w:t>Climatic Change</w:t>
      </w:r>
      <w:r w:rsidRPr="00217242">
        <w:rPr>
          <w:rFonts w:ascii="Arial" w:hAnsi="Arial" w:cs="Arial"/>
          <w:lang w:val="en-GB"/>
        </w:rPr>
        <w:t xml:space="preserve">, </w:t>
      </w:r>
      <w:r w:rsidRPr="00217242">
        <w:rPr>
          <w:rFonts w:ascii="Arial" w:hAnsi="Arial" w:cs="Arial"/>
          <w:i/>
          <w:iCs/>
          <w:lang w:val="en-GB"/>
        </w:rPr>
        <w:t>77</w:t>
      </w:r>
      <w:r w:rsidRPr="00217242">
        <w:rPr>
          <w:rFonts w:ascii="Arial" w:hAnsi="Arial" w:cs="Arial"/>
          <w:lang w:val="en-GB"/>
        </w:rPr>
        <w:t>(1–2), 73–95. https://doi.org/10.1007/s10584-006-9072-z</w:t>
      </w:r>
    </w:p>
    <w:p w14:paraId="0FD77D28"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t>Loyen</w:t>
      </w:r>
      <w:proofErr w:type="spellEnd"/>
      <w:r w:rsidRPr="00217242">
        <w:rPr>
          <w:rFonts w:ascii="Arial" w:hAnsi="Arial" w:cs="Arial"/>
          <w:lang w:val="en-GB"/>
        </w:rPr>
        <w:t xml:space="preserve">, A. (2016). European Sitting Championship: Prevalence and Correlates of Self-Reported Sitting Time in the 28 European Union Member States. </w:t>
      </w:r>
      <w:r w:rsidRPr="00217242">
        <w:rPr>
          <w:rFonts w:ascii="Arial" w:hAnsi="Arial" w:cs="Arial"/>
          <w:i/>
          <w:iCs/>
          <w:lang w:val="en-GB"/>
        </w:rPr>
        <w:t>PLOS ONE</w:t>
      </w:r>
      <w:r w:rsidRPr="00217242">
        <w:rPr>
          <w:rFonts w:ascii="Arial" w:hAnsi="Arial" w:cs="Arial"/>
          <w:lang w:val="en-GB"/>
        </w:rPr>
        <w:t>, 17.</w:t>
      </w:r>
    </w:p>
    <w:p w14:paraId="58E92199"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Na, S., </w:t>
      </w:r>
      <w:proofErr w:type="spellStart"/>
      <w:r w:rsidRPr="00217242">
        <w:rPr>
          <w:rFonts w:ascii="Arial" w:hAnsi="Arial" w:cs="Arial"/>
          <w:lang w:val="en-GB"/>
        </w:rPr>
        <w:t>Xumin</w:t>
      </w:r>
      <w:proofErr w:type="spellEnd"/>
      <w:r w:rsidRPr="00217242">
        <w:rPr>
          <w:rFonts w:ascii="Arial" w:hAnsi="Arial" w:cs="Arial"/>
          <w:lang w:val="en-GB"/>
        </w:rPr>
        <w:t xml:space="preserve">, L., &amp; Yong, G. (2010). Research on k-means Clustering Algorithm: An Improved k-means Clustering Algorithm. </w:t>
      </w:r>
      <w:r w:rsidRPr="00217242">
        <w:rPr>
          <w:rFonts w:ascii="Arial" w:hAnsi="Arial" w:cs="Arial"/>
          <w:i/>
          <w:iCs/>
          <w:lang w:val="en-GB"/>
        </w:rPr>
        <w:t>2010 Third International Symposium on Intelligent Information Technology and Security Informatics</w:t>
      </w:r>
      <w:r w:rsidRPr="00217242">
        <w:rPr>
          <w:rFonts w:ascii="Arial" w:hAnsi="Arial" w:cs="Arial"/>
          <w:lang w:val="en-GB"/>
        </w:rPr>
        <w:t>, 63–67. https://doi.org/10.1109/IITSI.2010.74</w:t>
      </w:r>
    </w:p>
    <w:p w14:paraId="02BAE206"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Norman, G. (2010). Likert scales, levels of measurement and the “laws” of statistics. </w:t>
      </w:r>
      <w:r w:rsidRPr="00217242">
        <w:rPr>
          <w:rFonts w:ascii="Arial" w:hAnsi="Arial" w:cs="Arial"/>
          <w:i/>
          <w:iCs/>
          <w:lang w:val="en-GB"/>
        </w:rPr>
        <w:t>Advances in Health Sciences Education</w:t>
      </w:r>
      <w:r w:rsidRPr="00217242">
        <w:rPr>
          <w:rFonts w:ascii="Arial" w:hAnsi="Arial" w:cs="Arial"/>
          <w:lang w:val="en-GB"/>
        </w:rPr>
        <w:t xml:space="preserve">, </w:t>
      </w:r>
      <w:r w:rsidRPr="00217242">
        <w:rPr>
          <w:rFonts w:ascii="Arial" w:hAnsi="Arial" w:cs="Arial"/>
          <w:i/>
          <w:iCs/>
          <w:lang w:val="en-GB"/>
        </w:rPr>
        <w:t>15</w:t>
      </w:r>
      <w:r w:rsidRPr="00217242">
        <w:rPr>
          <w:rFonts w:ascii="Arial" w:hAnsi="Arial" w:cs="Arial"/>
          <w:lang w:val="en-GB"/>
        </w:rPr>
        <w:t>(5), 625–632. https://doi.org/10.1007/s10459-010-9222-y</w:t>
      </w:r>
    </w:p>
    <w:p w14:paraId="567DA1D2"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O’Connor, R. E., Bard, R. J., &amp; Fisher, A. (1999). Risk Perceptions, General Environmental Beliefs, and Willingness to Address Climate Change. </w:t>
      </w:r>
      <w:r w:rsidRPr="00217242">
        <w:rPr>
          <w:rFonts w:ascii="Arial" w:hAnsi="Arial" w:cs="Arial"/>
          <w:i/>
          <w:iCs/>
          <w:lang w:val="en-GB"/>
        </w:rPr>
        <w:t>Risk Analysis</w:t>
      </w:r>
      <w:r w:rsidRPr="00217242">
        <w:rPr>
          <w:rFonts w:ascii="Arial" w:hAnsi="Arial" w:cs="Arial"/>
          <w:lang w:val="en-GB"/>
        </w:rPr>
        <w:t xml:space="preserve">, </w:t>
      </w:r>
      <w:r w:rsidRPr="00217242">
        <w:rPr>
          <w:rFonts w:ascii="Arial" w:hAnsi="Arial" w:cs="Arial"/>
          <w:i/>
          <w:iCs/>
          <w:lang w:val="en-GB"/>
        </w:rPr>
        <w:t>19</w:t>
      </w:r>
      <w:r w:rsidRPr="00217242">
        <w:rPr>
          <w:rFonts w:ascii="Arial" w:hAnsi="Arial" w:cs="Arial"/>
          <w:lang w:val="en-GB"/>
        </w:rPr>
        <w:t>(3), 461–471. https://doi.org/10.1111/j.1539-6924.1999.tb00421.x</w:t>
      </w:r>
    </w:p>
    <w:p w14:paraId="2CB5E47D" w14:textId="77777777" w:rsidR="00217242" w:rsidRPr="00217242" w:rsidRDefault="00217242" w:rsidP="00217242">
      <w:pPr>
        <w:pStyle w:val="Bibliografia"/>
        <w:rPr>
          <w:rFonts w:ascii="Arial" w:hAnsi="Arial" w:cs="Arial"/>
        </w:rPr>
      </w:pPr>
      <w:r w:rsidRPr="00217242">
        <w:rPr>
          <w:rFonts w:ascii="Arial" w:hAnsi="Arial" w:cs="Arial"/>
          <w:lang w:val="en-GB"/>
        </w:rPr>
        <w:t xml:space="preserve">Peng, C.-Y. J., So, T.-S. H., Stage, F. K., &amp; John, E. P. S. (2002). </w:t>
      </w:r>
      <w:r w:rsidRPr="00217242">
        <w:rPr>
          <w:rFonts w:ascii="Arial" w:hAnsi="Arial" w:cs="Arial"/>
          <w:i/>
          <w:iCs/>
          <w:lang w:val="en-GB"/>
        </w:rPr>
        <w:t>THE USE AND INTERPRETATION OF LOGISTIC REGRESSION IN HIGHER EDUCATION JOURNALS: 1988–1999</w:t>
      </w:r>
      <w:r w:rsidRPr="00217242">
        <w:rPr>
          <w:rFonts w:ascii="Arial" w:hAnsi="Arial" w:cs="Arial"/>
          <w:lang w:val="en-GB"/>
        </w:rPr>
        <w:t xml:space="preserve">. </w:t>
      </w:r>
      <w:r w:rsidRPr="00217242">
        <w:rPr>
          <w:rFonts w:ascii="Arial" w:hAnsi="Arial" w:cs="Arial"/>
        </w:rPr>
        <w:t>35.</w:t>
      </w:r>
    </w:p>
    <w:p w14:paraId="590B48CE" w14:textId="77777777" w:rsidR="00217242" w:rsidRPr="00217242" w:rsidRDefault="00217242" w:rsidP="00217242">
      <w:pPr>
        <w:pStyle w:val="Bibliografia"/>
        <w:rPr>
          <w:rFonts w:ascii="Arial" w:hAnsi="Arial" w:cs="Arial"/>
          <w:lang w:val="en-GB"/>
        </w:rPr>
      </w:pPr>
      <w:r w:rsidRPr="00217242">
        <w:rPr>
          <w:rFonts w:ascii="Arial" w:hAnsi="Arial" w:cs="Arial"/>
        </w:rPr>
        <w:t xml:space="preserve">Rossoni, L., </w:t>
      </w:r>
      <w:proofErr w:type="spellStart"/>
      <w:r w:rsidRPr="00217242">
        <w:rPr>
          <w:rFonts w:ascii="Arial" w:hAnsi="Arial" w:cs="Arial"/>
        </w:rPr>
        <w:t>Gonçalves</w:t>
      </w:r>
      <w:proofErr w:type="spellEnd"/>
      <w:r w:rsidRPr="00217242">
        <w:rPr>
          <w:rFonts w:ascii="Arial" w:hAnsi="Arial" w:cs="Arial"/>
        </w:rPr>
        <w:t xml:space="preserve">, C. P., da Silva, M. P., &amp; </w:t>
      </w:r>
      <w:proofErr w:type="spellStart"/>
      <w:r w:rsidRPr="00217242">
        <w:rPr>
          <w:rFonts w:ascii="Arial" w:hAnsi="Arial" w:cs="Arial"/>
        </w:rPr>
        <w:t>Gonçalves</w:t>
      </w:r>
      <w:proofErr w:type="spellEnd"/>
      <w:r w:rsidRPr="00217242">
        <w:rPr>
          <w:rFonts w:ascii="Arial" w:hAnsi="Arial" w:cs="Arial"/>
        </w:rPr>
        <w:t xml:space="preserve">, A. F. (2020). </w:t>
      </w:r>
      <w:r w:rsidRPr="00217242">
        <w:rPr>
          <w:rFonts w:ascii="Arial" w:hAnsi="Arial" w:cs="Arial"/>
          <w:i/>
          <w:iCs/>
          <w:lang w:val="en-GB"/>
        </w:rPr>
        <w:t>Mapping Organizational Culture Schemes Based on Correlational Class Analysis</w:t>
      </w:r>
      <w:r w:rsidRPr="00217242">
        <w:rPr>
          <w:rFonts w:ascii="Arial" w:hAnsi="Arial" w:cs="Arial"/>
          <w:lang w:val="en-GB"/>
        </w:rPr>
        <w:t xml:space="preserve"> [Preprint]. </w:t>
      </w:r>
      <w:proofErr w:type="spellStart"/>
      <w:r w:rsidRPr="00217242">
        <w:rPr>
          <w:rFonts w:ascii="Arial" w:hAnsi="Arial" w:cs="Arial"/>
          <w:lang w:val="en-GB"/>
        </w:rPr>
        <w:t>SocArXiv</w:t>
      </w:r>
      <w:proofErr w:type="spellEnd"/>
      <w:r w:rsidRPr="00217242">
        <w:rPr>
          <w:rFonts w:ascii="Arial" w:hAnsi="Arial" w:cs="Arial"/>
          <w:lang w:val="en-GB"/>
        </w:rPr>
        <w:t>. https://doi.org/10.31235/osf.io/sf2v4</w:t>
      </w:r>
    </w:p>
    <w:p w14:paraId="20F4E5EC"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t>Shwom</w:t>
      </w:r>
      <w:proofErr w:type="spellEnd"/>
      <w:r w:rsidRPr="00217242">
        <w:rPr>
          <w:rFonts w:ascii="Arial" w:hAnsi="Arial" w:cs="Arial"/>
          <w:lang w:val="en-GB"/>
        </w:rPr>
        <w:t xml:space="preserve">, R. L., </w:t>
      </w:r>
      <w:proofErr w:type="spellStart"/>
      <w:r w:rsidRPr="00217242">
        <w:rPr>
          <w:rFonts w:ascii="Arial" w:hAnsi="Arial" w:cs="Arial"/>
          <w:lang w:val="en-GB"/>
        </w:rPr>
        <w:t>McCright</w:t>
      </w:r>
      <w:proofErr w:type="spellEnd"/>
      <w:r w:rsidRPr="00217242">
        <w:rPr>
          <w:rFonts w:ascii="Arial" w:hAnsi="Arial" w:cs="Arial"/>
          <w:lang w:val="en-GB"/>
        </w:rPr>
        <w:t xml:space="preserve">, A. M., </w:t>
      </w:r>
      <w:proofErr w:type="spellStart"/>
      <w:r w:rsidRPr="00217242">
        <w:rPr>
          <w:rFonts w:ascii="Arial" w:hAnsi="Arial" w:cs="Arial"/>
          <w:lang w:val="en-GB"/>
        </w:rPr>
        <w:t>Brechin</w:t>
      </w:r>
      <w:proofErr w:type="spellEnd"/>
      <w:r w:rsidRPr="00217242">
        <w:rPr>
          <w:rFonts w:ascii="Arial" w:hAnsi="Arial" w:cs="Arial"/>
          <w:lang w:val="en-GB"/>
        </w:rPr>
        <w:t>, S. R., Dunlap, R. E., Marquart-</w:t>
      </w:r>
      <w:proofErr w:type="spellStart"/>
      <w:r w:rsidRPr="00217242">
        <w:rPr>
          <w:rFonts w:ascii="Arial" w:hAnsi="Arial" w:cs="Arial"/>
          <w:lang w:val="en-GB"/>
        </w:rPr>
        <w:t>Pyatt</w:t>
      </w:r>
      <w:proofErr w:type="spellEnd"/>
      <w:r w:rsidRPr="00217242">
        <w:rPr>
          <w:rFonts w:ascii="Arial" w:hAnsi="Arial" w:cs="Arial"/>
          <w:lang w:val="en-GB"/>
        </w:rPr>
        <w:t xml:space="preserve">, S. T., &amp; Hamilton, L. C. (2015). Public Opinion on Climate Change. In R. E. Dunlap &amp; R. J. </w:t>
      </w:r>
      <w:proofErr w:type="spellStart"/>
      <w:r w:rsidRPr="00217242">
        <w:rPr>
          <w:rFonts w:ascii="Arial" w:hAnsi="Arial" w:cs="Arial"/>
          <w:lang w:val="en-GB"/>
        </w:rPr>
        <w:t>Brulle</w:t>
      </w:r>
      <w:proofErr w:type="spellEnd"/>
      <w:r w:rsidRPr="00217242">
        <w:rPr>
          <w:rFonts w:ascii="Arial" w:hAnsi="Arial" w:cs="Arial"/>
          <w:lang w:val="en-GB"/>
        </w:rPr>
        <w:t xml:space="preserve"> (A c. Di), </w:t>
      </w:r>
      <w:r w:rsidRPr="00217242">
        <w:rPr>
          <w:rFonts w:ascii="Arial" w:hAnsi="Arial" w:cs="Arial"/>
          <w:i/>
          <w:iCs/>
          <w:lang w:val="en-GB"/>
        </w:rPr>
        <w:t>Climate Change and Society</w:t>
      </w:r>
      <w:r w:rsidRPr="00217242">
        <w:rPr>
          <w:rFonts w:ascii="Arial" w:hAnsi="Arial" w:cs="Arial"/>
          <w:lang w:val="en-GB"/>
        </w:rPr>
        <w:t xml:space="preserve"> (</w:t>
      </w:r>
      <w:proofErr w:type="spellStart"/>
      <w:r w:rsidRPr="00217242">
        <w:rPr>
          <w:rFonts w:ascii="Arial" w:hAnsi="Arial" w:cs="Arial"/>
          <w:lang w:val="en-GB"/>
        </w:rPr>
        <w:t>pagg</w:t>
      </w:r>
      <w:proofErr w:type="spellEnd"/>
      <w:r w:rsidRPr="00217242">
        <w:rPr>
          <w:rFonts w:ascii="Arial" w:hAnsi="Arial" w:cs="Arial"/>
          <w:lang w:val="en-GB"/>
        </w:rPr>
        <w:t>. 269–299). Oxford University Press. https://doi.org/10.1093/acprof:oso/9780199356102.003.0009</w:t>
      </w:r>
    </w:p>
    <w:p w14:paraId="6E255577" w14:textId="77777777" w:rsidR="00217242" w:rsidRPr="00217242" w:rsidRDefault="00217242" w:rsidP="00217242">
      <w:pPr>
        <w:pStyle w:val="Bibliografia"/>
        <w:rPr>
          <w:rFonts w:ascii="Arial" w:hAnsi="Arial" w:cs="Arial"/>
          <w:lang w:val="en-GB"/>
        </w:rPr>
      </w:pPr>
      <w:r w:rsidRPr="00217242">
        <w:rPr>
          <w:rFonts w:ascii="Arial" w:hAnsi="Arial" w:cs="Arial"/>
          <w:lang w:val="en-GB"/>
        </w:rPr>
        <w:lastRenderedPageBreak/>
        <w:t xml:space="preserve">Stoltzfus, J. C. (2011). Logistic Regression: A Brief Primer: LOGISTIC REGRESSION: A BRIEF PRIMER. </w:t>
      </w:r>
      <w:r w:rsidRPr="00217242">
        <w:rPr>
          <w:rFonts w:ascii="Arial" w:hAnsi="Arial" w:cs="Arial"/>
          <w:i/>
          <w:iCs/>
          <w:lang w:val="en-GB"/>
        </w:rPr>
        <w:t>Academic Emergency Medicine</w:t>
      </w:r>
      <w:r w:rsidRPr="00217242">
        <w:rPr>
          <w:rFonts w:ascii="Arial" w:hAnsi="Arial" w:cs="Arial"/>
          <w:lang w:val="en-GB"/>
        </w:rPr>
        <w:t xml:space="preserve">, </w:t>
      </w:r>
      <w:r w:rsidRPr="00217242">
        <w:rPr>
          <w:rFonts w:ascii="Arial" w:hAnsi="Arial" w:cs="Arial"/>
          <w:i/>
          <w:iCs/>
          <w:lang w:val="en-GB"/>
        </w:rPr>
        <w:t>18</w:t>
      </w:r>
      <w:r w:rsidRPr="00217242">
        <w:rPr>
          <w:rFonts w:ascii="Arial" w:hAnsi="Arial" w:cs="Arial"/>
          <w:lang w:val="en-GB"/>
        </w:rPr>
        <w:t>(10), 1099–1104. https://doi.org/10.1111/j.1553-2712.2011.01185.x</w:t>
      </w:r>
    </w:p>
    <w:p w14:paraId="294CA20E"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Sullivan, G. M., &amp; </w:t>
      </w:r>
      <w:proofErr w:type="spellStart"/>
      <w:r w:rsidRPr="00217242">
        <w:rPr>
          <w:rFonts w:ascii="Arial" w:hAnsi="Arial" w:cs="Arial"/>
          <w:lang w:val="en-GB"/>
        </w:rPr>
        <w:t>Artino</w:t>
      </w:r>
      <w:proofErr w:type="spellEnd"/>
      <w:r w:rsidRPr="00217242">
        <w:rPr>
          <w:rFonts w:ascii="Arial" w:hAnsi="Arial" w:cs="Arial"/>
          <w:lang w:val="en-GB"/>
        </w:rPr>
        <w:t xml:space="preserve">, A. R. (2013). </w:t>
      </w:r>
      <w:proofErr w:type="spellStart"/>
      <w:r w:rsidRPr="00217242">
        <w:rPr>
          <w:rFonts w:ascii="Arial" w:hAnsi="Arial" w:cs="Arial"/>
          <w:lang w:val="en-GB"/>
        </w:rPr>
        <w:t>Analyzing</w:t>
      </w:r>
      <w:proofErr w:type="spellEnd"/>
      <w:r w:rsidRPr="00217242">
        <w:rPr>
          <w:rFonts w:ascii="Arial" w:hAnsi="Arial" w:cs="Arial"/>
          <w:lang w:val="en-GB"/>
        </w:rPr>
        <w:t xml:space="preserve"> and Interpreting Data From Likert-Type Scales. </w:t>
      </w:r>
      <w:r w:rsidRPr="00217242">
        <w:rPr>
          <w:rFonts w:ascii="Arial" w:hAnsi="Arial" w:cs="Arial"/>
          <w:i/>
          <w:iCs/>
          <w:lang w:val="en-GB"/>
        </w:rPr>
        <w:t>Journal of Graduate Medical Education</w:t>
      </w:r>
      <w:r w:rsidRPr="00217242">
        <w:rPr>
          <w:rFonts w:ascii="Arial" w:hAnsi="Arial" w:cs="Arial"/>
          <w:lang w:val="en-GB"/>
        </w:rPr>
        <w:t xml:space="preserve">, </w:t>
      </w:r>
      <w:r w:rsidRPr="00217242">
        <w:rPr>
          <w:rFonts w:ascii="Arial" w:hAnsi="Arial" w:cs="Arial"/>
          <w:i/>
          <w:iCs/>
          <w:lang w:val="en-GB"/>
        </w:rPr>
        <w:t>5</w:t>
      </w:r>
      <w:r w:rsidRPr="00217242">
        <w:rPr>
          <w:rFonts w:ascii="Arial" w:hAnsi="Arial" w:cs="Arial"/>
          <w:lang w:val="en-GB"/>
        </w:rPr>
        <w:t>(4), 541–542. https://doi.org/10.4300/JGME-5-4-18</w:t>
      </w:r>
    </w:p>
    <w:p w14:paraId="7BF1B53F"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Sun, Y., &amp; Han, Z. (2018). Climate Change Risk Perception in Taiwan: Correlation with Individual and Societal Factors. </w:t>
      </w:r>
      <w:r w:rsidRPr="00217242">
        <w:rPr>
          <w:rFonts w:ascii="Arial" w:hAnsi="Arial" w:cs="Arial"/>
          <w:i/>
          <w:iCs/>
          <w:lang w:val="en-GB"/>
        </w:rPr>
        <w:t>International Journal of Environmental Research and Public Health</w:t>
      </w:r>
      <w:r w:rsidRPr="00217242">
        <w:rPr>
          <w:rFonts w:ascii="Arial" w:hAnsi="Arial" w:cs="Arial"/>
          <w:lang w:val="en-GB"/>
        </w:rPr>
        <w:t xml:space="preserve">, </w:t>
      </w:r>
      <w:r w:rsidRPr="00217242">
        <w:rPr>
          <w:rFonts w:ascii="Arial" w:hAnsi="Arial" w:cs="Arial"/>
          <w:i/>
          <w:iCs/>
          <w:lang w:val="en-GB"/>
        </w:rPr>
        <w:t>15</w:t>
      </w:r>
      <w:r w:rsidRPr="00217242">
        <w:rPr>
          <w:rFonts w:ascii="Arial" w:hAnsi="Arial" w:cs="Arial"/>
          <w:lang w:val="en-GB"/>
        </w:rPr>
        <w:t>(1), 1–12. https://doi.org/10.3390/ijerph15010091</w:t>
      </w:r>
    </w:p>
    <w:p w14:paraId="02C31AA4"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t>Vainio</w:t>
      </w:r>
      <w:proofErr w:type="spellEnd"/>
      <w:r w:rsidRPr="00217242">
        <w:rPr>
          <w:rFonts w:ascii="Arial" w:hAnsi="Arial" w:cs="Arial"/>
          <w:lang w:val="en-GB"/>
        </w:rPr>
        <w:t xml:space="preserve">, A., &amp; </w:t>
      </w:r>
      <w:proofErr w:type="spellStart"/>
      <w:r w:rsidRPr="00217242">
        <w:rPr>
          <w:rFonts w:ascii="Arial" w:hAnsi="Arial" w:cs="Arial"/>
          <w:lang w:val="en-GB"/>
        </w:rPr>
        <w:t>Paloniemi</w:t>
      </w:r>
      <w:proofErr w:type="spellEnd"/>
      <w:r w:rsidRPr="00217242">
        <w:rPr>
          <w:rFonts w:ascii="Arial" w:hAnsi="Arial" w:cs="Arial"/>
          <w:lang w:val="en-GB"/>
        </w:rPr>
        <w:t xml:space="preserve">, R. (2013). Does belief matter in climate change action? </w:t>
      </w:r>
      <w:r w:rsidRPr="00217242">
        <w:rPr>
          <w:rFonts w:ascii="Arial" w:hAnsi="Arial" w:cs="Arial"/>
          <w:i/>
          <w:iCs/>
          <w:lang w:val="en-GB"/>
        </w:rPr>
        <w:t>Public Understanding of Science</w:t>
      </w:r>
      <w:r w:rsidRPr="00217242">
        <w:rPr>
          <w:rFonts w:ascii="Arial" w:hAnsi="Arial" w:cs="Arial"/>
          <w:lang w:val="en-GB"/>
        </w:rPr>
        <w:t xml:space="preserve">, </w:t>
      </w:r>
      <w:r w:rsidRPr="00217242">
        <w:rPr>
          <w:rFonts w:ascii="Arial" w:hAnsi="Arial" w:cs="Arial"/>
          <w:i/>
          <w:iCs/>
          <w:lang w:val="en-GB"/>
        </w:rPr>
        <w:t>22</w:t>
      </w:r>
      <w:r w:rsidRPr="00217242">
        <w:rPr>
          <w:rFonts w:ascii="Arial" w:hAnsi="Arial" w:cs="Arial"/>
          <w:lang w:val="en-GB"/>
        </w:rPr>
        <w:t>(4), 382–395. https://doi.org/10.1177/0963662511410268</w:t>
      </w:r>
    </w:p>
    <w:p w14:paraId="11E1B6A9"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van der Linden, S. (2015). The social-psychological determinants of climate change risk perceptions: Towards a comprehensive model. </w:t>
      </w:r>
      <w:r w:rsidRPr="00217242">
        <w:rPr>
          <w:rFonts w:ascii="Arial" w:hAnsi="Arial" w:cs="Arial"/>
          <w:i/>
          <w:iCs/>
          <w:lang w:val="en-GB"/>
        </w:rPr>
        <w:t>Journal of Environmental Psychology</w:t>
      </w:r>
      <w:r w:rsidRPr="00217242">
        <w:rPr>
          <w:rFonts w:ascii="Arial" w:hAnsi="Arial" w:cs="Arial"/>
          <w:lang w:val="en-GB"/>
        </w:rPr>
        <w:t xml:space="preserve">, </w:t>
      </w:r>
      <w:r w:rsidRPr="00217242">
        <w:rPr>
          <w:rFonts w:ascii="Arial" w:hAnsi="Arial" w:cs="Arial"/>
          <w:i/>
          <w:iCs/>
          <w:lang w:val="en-GB"/>
        </w:rPr>
        <w:t>41</w:t>
      </w:r>
      <w:r w:rsidRPr="00217242">
        <w:rPr>
          <w:rFonts w:ascii="Arial" w:hAnsi="Arial" w:cs="Arial"/>
          <w:lang w:val="en-GB"/>
        </w:rPr>
        <w:t>, 112–124. https://doi.org/10.1016/j.jenvp.2014.11.012</w:t>
      </w:r>
    </w:p>
    <w:p w14:paraId="1B2923E7" w14:textId="77777777" w:rsidR="00217242" w:rsidRPr="00217242" w:rsidRDefault="00217242" w:rsidP="00217242">
      <w:pPr>
        <w:pStyle w:val="Bibliografia"/>
        <w:rPr>
          <w:rFonts w:ascii="Arial" w:hAnsi="Arial" w:cs="Arial"/>
          <w:lang w:val="en-GB"/>
        </w:rPr>
      </w:pPr>
      <w:proofErr w:type="spellStart"/>
      <w:r w:rsidRPr="00217242">
        <w:rPr>
          <w:rFonts w:ascii="Arial" w:hAnsi="Arial" w:cs="Arial"/>
          <w:lang w:val="en-GB"/>
        </w:rPr>
        <w:t>Xie</w:t>
      </w:r>
      <w:proofErr w:type="spellEnd"/>
      <w:r w:rsidRPr="00217242">
        <w:rPr>
          <w:rFonts w:ascii="Arial" w:hAnsi="Arial" w:cs="Arial"/>
          <w:lang w:val="en-GB"/>
        </w:rPr>
        <w:t xml:space="preserve">, B., Brewer, M. B., Hayes, B. K., McDonald, R. I., &amp; Newell, B. R. (2019). Predicting climate change risk perception and willingness to act. </w:t>
      </w:r>
      <w:r w:rsidRPr="00217242">
        <w:rPr>
          <w:rFonts w:ascii="Arial" w:hAnsi="Arial" w:cs="Arial"/>
          <w:i/>
          <w:iCs/>
          <w:lang w:val="en-GB"/>
        </w:rPr>
        <w:t>Journal of Environmental Psychology</w:t>
      </w:r>
      <w:r w:rsidRPr="00217242">
        <w:rPr>
          <w:rFonts w:ascii="Arial" w:hAnsi="Arial" w:cs="Arial"/>
          <w:lang w:val="en-GB"/>
        </w:rPr>
        <w:t xml:space="preserve">, </w:t>
      </w:r>
      <w:r w:rsidRPr="00217242">
        <w:rPr>
          <w:rFonts w:ascii="Arial" w:hAnsi="Arial" w:cs="Arial"/>
          <w:i/>
          <w:iCs/>
          <w:lang w:val="en-GB"/>
        </w:rPr>
        <w:t>65</w:t>
      </w:r>
      <w:r w:rsidRPr="00217242">
        <w:rPr>
          <w:rFonts w:ascii="Arial" w:hAnsi="Arial" w:cs="Arial"/>
          <w:lang w:val="en-GB"/>
        </w:rPr>
        <w:t>, 101331. https://doi.org/10.1016/j.jenvp.2019.101331</w:t>
      </w:r>
    </w:p>
    <w:p w14:paraId="1453095F"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Yale </w:t>
      </w:r>
      <w:proofErr w:type="spellStart"/>
      <w:r w:rsidRPr="00217242">
        <w:rPr>
          <w:rFonts w:ascii="Arial" w:hAnsi="Arial" w:cs="Arial"/>
          <w:lang w:val="en-GB"/>
        </w:rPr>
        <w:t>Center</w:t>
      </w:r>
      <w:proofErr w:type="spellEnd"/>
      <w:r w:rsidRPr="00217242">
        <w:rPr>
          <w:rFonts w:ascii="Arial" w:hAnsi="Arial" w:cs="Arial"/>
          <w:lang w:val="en-GB"/>
        </w:rPr>
        <w:t xml:space="preserve"> for Environmental Law &amp; Policy. (2020). </w:t>
      </w:r>
      <w:r w:rsidRPr="00217242">
        <w:rPr>
          <w:rFonts w:ascii="Arial" w:hAnsi="Arial" w:cs="Arial"/>
          <w:i/>
          <w:iCs/>
          <w:lang w:val="en-GB"/>
        </w:rPr>
        <w:t>Environmental Performance Index 2020</w:t>
      </w:r>
      <w:r w:rsidRPr="00217242">
        <w:rPr>
          <w:rFonts w:ascii="Arial" w:hAnsi="Arial" w:cs="Arial"/>
          <w:lang w:val="en-GB"/>
        </w:rPr>
        <w:t>. https://epi.yale.edu/</w:t>
      </w:r>
    </w:p>
    <w:p w14:paraId="71351357" w14:textId="6C7A6035" w:rsidR="008850D6" w:rsidRPr="00C43052" w:rsidRDefault="008850D6" w:rsidP="00E4483A">
      <w:pPr>
        <w:spacing w:line="360" w:lineRule="auto"/>
        <w:ind w:left="709" w:hanging="709"/>
        <w:jc w:val="both"/>
        <w:rPr>
          <w:rFonts w:ascii="Arial" w:hAnsi="Arial" w:cs="Arial"/>
          <w:b/>
          <w:bCs/>
          <w:lang w:val="en-GB"/>
        </w:rPr>
      </w:pPr>
      <w:r w:rsidRPr="00C43052">
        <w:rPr>
          <w:rFonts w:ascii="Arial" w:hAnsi="Arial" w:cs="Arial"/>
          <w:b/>
          <w:bCs/>
          <w:lang w:val="en-GB"/>
        </w:rPr>
        <w:fldChar w:fldCharType="end"/>
      </w:r>
    </w:p>
    <w:p w14:paraId="2DACE3F6" w14:textId="77777777" w:rsidR="00C061A6" w:rsidRPr="00C43052" w:rsidRDefault="00C061A6" w:rsidP="00E4483A">
      <w:pPr>
        <w:spacing w:line="360" w:lineRule="auto"/>
        <w:jc w:val="both"/>
        <w:rPr>
          <w:rFonts w:ascii="Arial" w:hAnsi="Arial" w:cs="Arial"/>
          <w:b/>
          <w:bCs/>
          <w:lang w:val="en-GB"/>
        </w:rPr>
      </w:pPr>
    </w:p>
    <w:sectPr w:rsidR="00C061A6" w:rsidRPr="00C43052" w:rsidSect="00564E15">
      <w:footerReference w:type="default" r:id="rId14"/>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492BD" w14:textId="77777777" w:rsidR="00354046" w:rsidRDefault="00354046" w:rsidP="00564E15">
      <w:pPr>
        <w:spacing w:after="0" w:line="240" w:lineRule="auto"/>
      </w:pPr>
      <w:r>
        <w:separator/>
      </w:r>
    </w:p>
  </w:endnote>
  <w:endnote w:type="continuationSeparator" w:id="0">
    <w:p w14:paraId="102E4C37" w14:textId="77777777" w:rsidR="00354046" w:rsidRDefault="00354046"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Content>
      <w:p w14:paraId="496B911E" w14:textId="77777777" w:rsidR="00DA625D" w:rsidRDefault="00DA625D">
        <w:pPr>
          <w:pStyle w:val="Pidipagina"/>
          <w:jc w:val="center"/>
        </w:pPr>
      </w:p>
      <w:p w14:paraId="397A7551" w14:textId="5C768224" w:rsidR="00DA625D" w:rsidRDefault="00DA625D">
        <w:pPr>
          <w:pStyle w:val="Pidipagina"/>
          <w:jc w:val="center"/>
        </w:pPr>
        <w:r>
          <w:fldChar w:fldCharType="begin"/>
        </w:r>
        <w:r>
          <w:instrText>PAGE   \* MERGEFORMAT</w:instrText>
        </w:r>
        <w:r>
          <w:fldChar w:fldCharType="separate"/>
        </w:r>
        <w:r>
          <w:t>2</w:t>
        </w:r>
        <w:r>
          <w:fldChar w:fldCharType="end"/>
        </w:r>
      </w:p>
    </w:sdtContent>
  </w:sdt>
  <w:p w14:paraId="73521433" w14:textId="77777777" w:rsidR="00DA625D" w:rsidRDefault="00DA62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ED0E0" w14:textId="77777777" w:rsidR="00354046" w:rsidRDefault="00354046" w:rsidP="00564E15">
      <w:pPr>
        <w:spacing w:after="0" w:line="240" w:lineRule="auto"/>
      </w:pPr>
      <w:r>
        <w:separator/>
      </w:r>
    </w:p>
  </w:footnote>
  <w:footnote w:type="continuationSeparator" w:id="0">
    <w:p w14:paraId="6ADB004B" w14:textId="77777777" w:rsidR="00354046" w:rsidRDefault="00354046" w:rsidP="00564E15">
      <w:pPr>
        <w:spacing w:after="0" w:line="240" w:lineRule="auto"/>
      </w:pPr>
      <w:r>
        <w:continuationSeparator/>
      </w:r>
    </w:p>
  </w:footnote>
  <w:footnote w:id="1">
    <w:p w14:paraId="02B94379" w14:textId="6231D898" w:rsidR="00DA625D" w:rsidRPr="00DF1C46" w:rsidRDefault="00DA625D">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DA625D" w:rsidRPr="0009251C" w:rsidRDefault="00DA625D">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DA625D" w:rsidRPr="0009251C" w:rsidRDefault="00DA625D"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DA625D" w:rsidRPr="0009251C" w:rsidRDefault="00DA625D">
      <w:pPr>
        <w:pStyle w:val="Testonotaapidipagina"/>
        <w:rPr>
          <w:lang w:val="en-GB"/>
        </w:rPr>
      </w:pPr>
    </w:p>
  </w:footnote>
  <w:footnote w:id="4">
    <w:p w14:paraId="522463D5" w14:textId="6AE6CE58" w:rsidR="00DA625D" w:rsidRPr="000226A6" w:rsidRDefault="00DA625D">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304AC"/>
    <w:rsid w:val="00042BA5"/>
    <w:rsid w:val="000510CB"/>
    <w:rsid w:val="00073FB6"/>
    <w:rsid w:val="0007451A"/>
    <w:rsid w:val="0009251C"/>
    <w:rsid w:val="000967E8"/>
    <w:rsid w:val="000A148D"/>
    <w:rsid w:val="000C0FBE"/>
    <w:rsid w:val="000D3FCA"/>
    <w:rsid w:val="000E5951"/>
    <w:rsid w:val="00101268"/>
    <w:rsid w:val="001115E4"/>
    <w:rsid w:val="001208B5"/>
    <w:rsid w:val="00131A34"/>
    <w:rsid w:val="001B1E84"/>
    <w:rsid w:val="001C014D"/>
    <w:rsid w:val="001D3C5D"/>
    <w:rsid w:val="001D5641"/>
    <w:rsid w:val="001E768F"/>
    <w:rsid w:val="001F1332"/>
    <w:rsid w:val="00201F89"/>
    <w:rsid w:val="0020635D"/>
    <w:rsid w:val="00217242"/>
    <w:rsid w:val="00222C18"/>
    <w:rsid w:val="0023405F"/>
    <w:rsid w:val="002354BE"/>
    <w:rsid w:val="002517AA"/>
    <w:rsid w:val="00251DCD"/>
    <w:rsid w:val="00261BDD"/>
    <w:rsid w:val="002A1CB1"/>
    <w:rsid w:val="002B0218"/>
    <w:rsid w:val="002E3657"/>
    <w:rsid w:val="002E5728"/>
    <w:rsid w:val="002E5FE6"/>
    <w:rsid w:val="002F065E"/>
    <w:rsid w:val="00305F7D"/>
    <w:rsid w:val="00306A94"/>
    <w:rsid w:val="0032309C"/>
    <w:rsid w:val="00354046"/>
    <w:rsid w:val="00360C02"/>
    <w:rsid w:val="00364626"/>
    <w:rsid w:val="00364EE2"/>
    <w:rsid w:val="0038437B"/>
    <w:rsid w:val="003910CA"/>
    <w:rsid w:val="0039533F"/>
    <w:rsid w:val="003C46B1"/>
    <w:rsid w:val="003C745A"/>
    <w:rsid w:val="003E5355"/>
    <w:rsid w:val="003E7F54"/>
    <w:rsid w:val="003F3839"/>
    <w:rsid w:val="0043232E"/>
    <w:rsid w:val="004E7BAB"/>
    <w:rsid w:val="004F24CF"/>
    <w:rsid w:val="00504B74"/>
    <w:rsid w:val="005179C7"/>
    <w:rsid w:val="00523439"/>
    <w:rsid w:val="00556046"/>
    <w:rsid w:val="00564E15"/>
    <w:rsid w:val="005743CE"/>
    <w:rsid w:val="0058418B"/>
    <w:rsid w:val="005868F0"/>
    <w:rsid w:val="00593F7D"/>
    <w:rsid w:val="005B29DE"/>
    <w:rsid w:val="005B4A7C"/>
    <w:rsid w:val="005B6D0D"/>
    <w:rsid w:val="005C456F"/>
    <w:rsid w:val="005D7AB6"/>
    <w:rsid w:val="006059E8"/>
    <w:rsid w:val="006142F2"/>
    <w:rsid w:val="006164CB"/>
    <w:rsid w:val="00631C98"/>
    <w:rsid w:val="00632F8C"/>
    <w:rsid w:val="00633EEE"/>
    <w:rsid w:val="006829D2"/>
    <w:rsid w:val="006973EE"/>
    <w:rsid w:val="006A76DE"/>
    <w:rsid w:val="006B2DF5"/>
    <w:rsid w:val="006C414E"/>
    <w:rsid w:val="006E34F9"/>
    <w:rsid w:val="006F43DA"/>
    <w:rsid w:val="0070675A"/>
    <w:rsid w:val="00707CC3"/>
    <w:rsid w:val="0071395D"/>
    <w:rsid w:val="007142F1"/>
    <w:rsid w:val="00717907"/>
    <w:rsid w:val="00730FDF"/>
    <w:rsid w:val="0075181C"/>
    <w:rsid w:val="00775515"/>
    <w:rsid w:val="00775B18"/>
    <w:rsid w:val="00781A6E"/>
    <w:rsid w:val="007C0B2A"/>
    <w:rsid w:val="007D0AC9"/>
    <w:rsid w:val="007D7F28"/>
    <w:rsid w:val="007E6BEF"/>
    <w:rsid w:val="0081149B"/>
    <w:rsid w:val="008450B8"/>
    <w:rsid w:val="00853530"/>
    <w:rsid w:val="00855BB3"/>
    <w:rsid w:val="00856FA8"/>
    <w:rsid w:val="00870EB1"/>
    <w:rsid w:val="008850D6"/>
    <w:rsid w:val="00891983"/>
    <w:rsid w:val="008B2744"/>
    <w:rsid w:val="0092546F"/>
    <w:rsid w:val="0093512A"/>
    <w:rsid w:val="0097062D"/>
    <w:rsid w:val="00975CE7"/>
    <w:rsid w:val="00996347"/>
    <w:rsid w:val="009A5761"/>
    <w:rsid w:val="009A65B5"/>
    <w:rsid w:val="009E2719"/>
    <w:rsid w:val="00A13AA1"/>
    <w:rsid w:val="00A20025"/>
    <w:rsid w:val="00A2332D"/>
    <w:rsid w:val="00A23B4A"/>
    <w:rsid w:val="00A429DF"/>
    <w:rsid w:val="00A909A9"/>
    <w:rsid w:val="00A94CF8"/>
    <w:rsid w:val="00A95FEF"/>
    <w:rsid w:val="00AA3BE1"/>
    <w:rsid w:val="00AA6A0D"/>
    <w:rsid w:val="00AC2E7D"/>
    <w:rsid w:val="00AC60EA"/>
    <w:rsid w:val="00AF347B"/>
    <w:rsid w:val="00B12452"/>
    <w:rsid w:val="00B32A34"/>
    <w:rsid w:val="00B3626C"/>
    <w:rsid w:val="00B373A4"/>
    <w:rsid w:val="00B40E56"/>
    <w:rsid w:val="00B50AD6"/>
    <w:rsid w:val="00B559F7"/>
    <w:rsid w:val="00B803FE"/>
    <w:rsid w:val="00B8398A"/>
    <w:rsid w:val="00B91AA7"/>
    <w:rsid w:val="00BB1409"/>
    <w:rsid w:val="00BC0D9B"/>
    <w:rsid w:val="00BD45B7"/>
    <w:rsid w:val="00BF7516"/>
    <w:rsid w:val="00C02BE6"/>
    <w:rsid w:val="00C05264"/>
    <w:rsid w:val="00C061A6"/>
    <w:rsid w:val="00C061ED"/>
    <w:rsid w:val="00C417CF"/>
    <w:rsid w:val="00C41AD3"/>
    <w:rsid w:val="00C43052"/>
    <w:rsid w:val="00C600C6"/>
    <w:rsid w:val="00C74C6E"/>
    <w:rsid w:val="00C84C3D"/>
    <w:rsid w:val="00C90BDF"/>
    <w:rsid w:val="00C94FB6"/>
    <w:rsid w:val="00C96FCE"/>
    <w:rsid w:val="00CA672C"/>
    <w:rsid w:val="00CD6C16"/>
    <w:rsid w:val="00CE21D4"/>
    <w:rsid w:val="00CE4AA1"/>
    <w:rsid w:val="00D017A6"/>
    <w:rsid w:val="00D0694D"/>
    <w:rsid w:val="00D1334F"/>
    <w:rsid w:val="00D14881"/>
    <w:rsid w:val="00D81C1F"/>
    <w:rsid w:val="00D87D91"/>
    <w:rsid w:val="00D9692C"/>
    <w:rsid w:val="00DA4DF4"/>
    <w:rsid w:val="00DA625D"/>
    <w:rsid w:val="00DC1E6B"/>
    <w:rsid w:val="00DE4CD6"/>
    <w:rsid w:val="00DF1C46"/>
    <w:rsid w:val="00E02C15"/>
    <w:rsid w:val="00E14B72"/>
    <w:rsid w:val="00E152ED"/>
    <w:rsid w:val="00E251AB"/>
    <w:rsid w:val="00E348A8"/>
    <w:rsid w:val="00E4483A"/>
    <w:rsid w:val="00E55547"/>
    <w:rsid w:val="00E55D2C"/>
    <w:rsid w:val="00E61616"/>
    <w:rsid w:val="00E64BE0"/>
    <w:rsid w:val="00E81CC2"/>
    <w:rsid w:val="00E87D3A"/>
    <w:rsid w:val="00EA15A6"/>
    <w:rsid w:val="00EA599D"/>
    <w:rsid w:val="00ED5BF2"/>
    <w:rsid w:val="00EF02C2"/>
    <w:rsid w:val="00EF5EEE"/>
    <w:rsid w:val="00F104F8"/>
    <w:rsid w:val="00F15666"/>
    <w:rsid w:val="00F20069"/>
    <w:rsid w:val="00F20C35"/>
    <w:rsid w:val="00F301DA"/>
    <w:rsid w:val="00F40370"/>
    <w:rsid w:val="00F452D9"/>
    <w:rsid w:val="00F502F7"/>
    <w:rsid w:val="00F52875"/>
    <w:rsid w:val="00F613E1"/>
    <w:rsid w:val="00F63BF3"/>
    <w:rsid w:val="00FA00F8"/>
    <w:rsid w:val="00FA2DB4"/>
    <w:rsid w:val="00FE6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17696</Words>
  <Characters>100872</Characters>
  <Application>Microsoft Office Word</Application>
  <DocSecurity>0</DocSecurity>
  <Lines>840</Lines>
  <Paragraphs>236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223</cp:revision>
  <dcterms:created xsi:type="dcterms:W3CDTF">2020-12-22T10:01:00Z</dcterms:created>
  <dcterms:modified xsi:type="dcterms:W3CDTF">2021-01-25T11:46:00Z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id="EagdbKG4"/&gt;&lt;style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