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4BE77" w14:textId="77777777" w:rsidR="00714EA0" w:rsidRPr="008C2884" w:rsidRDefault="00714EA0" w:rsidP="00714EA0">
      <w:pPr>
        <w:spacing w:line="360" w:lineRule="auto"/>
        <w:jc w:val="both"/>
        <w:rPr>
          <w:rFonts w:ascii="Arial" w:hAnsi="Arial" w:cs="Arial"/>
          <w:b/>
          <w:bCs/>
          <w:sz w:val="24"/>
          <w:szCs w:val="24"/>
          <w:lang w:val="en-GB"/>
        </w:rPr>
      </w:pPr>
      <w:r w:rsidRPr="008C2884">
        <w:rPr>
          <w:rFonts w:ascii="Arial" w:hAnsi="Arial" w:cs="Arial"/>
          <w:b/>
          <w:bCs/>
          <w:sz w:val="24"/>
          <w:szCs w:val="24"/>
          <w:lang w:val="en-GB"/>
        </w:rPr>
        <w:t>Analysis</w:t>
      </w:r>
    </w:p>
    <w:p w14:paraId="482BA5C9" w14:textId="77777777" w:rsidR="00714EA0" w:rsidRPr="008C2884" w:rsidRDefault="00714EA0" w:rsidP="00714EA0">
      <w:pPr>
        <w:spacing w:line="360" w:lineRule="auto"/>
        <w:jc w:val="both"/>
        <w:rPr>
          <w:rFonts w:ascii="Arial" w:hAnsi="Arial" w:cs="Arial"/>
          <w:sz w:val="24"/>
          <w:szCs w:val="24"/>
          <w:lang w:val="en-GB"/>
        </w:rPr>
      </w:pPr>
      <w:r w:rsidRPr="008C2884">
        <w:rPr>
          <w:rFonts w:ascii="Arial" w:hAnsi="Arial" w:cs="Arial"/>
          <w:sz w:val="24"/>
          <w:szCs w:val="24"/>
          <w:highlight w:val="yellow"/>
          <w:lang w:val="en-GB"/>
        </w:rPr>
        <w:t>The following section illustrates the different steps undertaken to obtain a prediction model for pro-environmental action. In particular, the first step consists of Exploratory Data Analysis</w:t>
      </w:r>
      <w:r w:rsidRPr="008C2884">
        <w:rPr>
          <w:rFonts w:ascii="Arial" w:hAnsi="Arial" w:cs="Arial"/>
          <w:sz w:val="24"/>
          <w:szCs w:val="24"/>
          <w:lang w:val="en-GB"/>
        </w:rPr>
        <w:t>, in order to investigate climate change attitudes.</w:t>
      </w:r>
      <w:r w:rsidRPr="008C2884">
        <w:rPr>
          <w:rFonts w:ascii="Arial" w:hAnsi="Arial" w:cs="Arial"/>
          <w:sz w:val="24"/>
          <w:szCs w:val="24"/>
          <w:highlight w:val="yellow"/>
          <w:lang w:val="en-GB"/>
        </w:rPr>
        <w:t xml:space="preserve"> Then, the best fitting models tested to predict the final price are presented.</w:t>
      </w:r>
    </w:p>
    <w:p w14:paraId="113BC1B9" w14:textId="77777777" w:rsidR="00714EA0" w:rsidRDefault="00714EA0" w:rsidP="00714EA0">
      <w:pPr>
        <w:spacing w:line="360" w:lineRule="auto"/>
        <w:jc w:val="both"/>
        <w:rPr>
          <w:rFonts w:ascii="Arial" w:hAnsi="Arial" w:cs="Arial"/>
          <w:b/>
          <w:bCs/>
          <w:sz w:val="24"/>
          <w:szCs w:val="24"/>
          <w:lang w:val="en-GB"/>
        </w:rPr>
      </w:pPr>
    </w:p>
    <w:p w14:paraId="4D83DF98" w14:textId="1F0EAE27" w:rsidR="00714EA0" w:rsidRPr="008C2884" w:rsidRDefault="00714EA0" w:rsidP="00714EA0">
      <w:pPr>
        <w:spacing w:line="360" w:lineRule="auto"/>
        <w:jc w:val="both"/>
        <w:rPr>
          <w:rFonts w:ascii="Arial" w:hAnsi="Arial" w:cs="Arial"/>
          <w:b/>
          <w:bCs/>
          <w:sz w:val="24"/>
          <w:szCs w:val="24"/>
          <w:lang w:val="en-GB"/>
        </w:rPr>
      </w:pPr>
      <w:r w:rsidRPr="008C2884">
        <w:rPr>
          <w:rFonts w:ascii="Arial" w:hAnsi="Arial" w:cs="Arial"/>
          <w:b/>
          <w:bCs/>
          <w:sz w:val="24"/>
          <w:szCs w:val="24"/>
          <w:lang w:val="en-GB"/>
        </w:rPr>
        <w:t>Exploratory Data Analysis</w:t>
      </w:r>
    </w:p>
    <w:p w14:paraId="5725A04F" w14:textId="77777777" w:rsidR="00714EA0" w:rsidRPr="008C2884" w:rsidRDefault="00714EA0" w:rsidP="00714EA0">
      <w:pPr>
        <w:spacing w:line="360" w:lineRule="auto"/>
        <w:jc w:val="both"/>
        <w:rPr>
          <w:rFonts w:ascii="Arial" w:hAnsi="Arial" w:cs="Arial"/>
          <w:sz w:val="24"/>
          <w:szCs w:val="24"/>
          <w:lang w:val="en-GB"/>
        </w:rPr>
      </w:pPr>
      <w:r w:rsidRPr="008C2884">
        <w:rPr>
          <w:rFonts w:ascii="Arial" w:hAnsi="Arial" w:cs="Arial"/>
          <w:sz w:val="24"/>
          <w:szCs w:val="24"/>
          <w:lang w:val="en-GB"/>
        </w:rPr>
        <w:t xml:space="preserve">Climate change attitudes do not vary only between countries but also between citizens in the same country </w:t>
      </w:r>
      <w:r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{"citationID":"599tlTZa","properties":{"formattedCitation":"(Xie et al., 2019)","plainCitation":"(Xie et al., 2019)","noteIndex":0},"citationItems":[{"id":27,"uris":["http://zotero.org/users/local/pE4cGXV6/items/KDM26KUG"],"uri":["http://zotero.org/users/local/pE4cGXV6/items/KDM26KUG"],"itemData":{"id":27,"type":"article-journal","abstract":"We extended a recent model of climate change risk perception (van der Linden, 2015) to predict the risk perception of Australians and their willingness to engage in mitigation behaviours (N = 921). Aﬀect, mitigation response ineﬃcacy, and descriptive norms were the most important predictors of risk perception, highlighting the inﬂuence of aﬀective, cognitive, and socio-cultural factors. Aﬀect and mitigation response ineﬃcacy were also important predictors of behavioural willingness, but socio-cultural inﬂuences (free-market ideology, prescriptive norms, and biospheric values) played a relatively larger role in explaining the variance of behavioural willingness. Structural equation modelling provided further evidence that risk perception and behavioural willingness are separable constructs, as some factors in the model had direct eﬀects on willingness independent of risk perception. We discuss the need for future research to develop a comprehensive model of behavioural willingness, and the need for public communication to combat mitigation response ineﬃcacy.","container-title":"Journal of Environmental Psychology","DOI":"10.1016/j.jenvp.2019.101331","ISSN":"02724944","journalAbbreviation":"Journal of Environmental Psychology","language":"en","page":"101331","source":"DOI.org (Crossref)","title":"Predicting climate change risk perception and willingness to act","volume":"65","author":[{"family":"Xie","given":"Belinda"},{"family":"Brewer","given":"Marilynn B."},{"family":"Hayes","given":"Brett K."},{"family":"McDonald","given":"Rachel I."},{"family":"Newell","given":"Ben R."}],"issued":{"date-parts":[["2019",10]]}}}],"schema":"https://github.com/citation-style-language/schema/raw/master/csl-citation.json"} </w:instrText>
      </w:r>
      <w:r w:rsidRPr="008C2884">
        <w:rPr>
          <w:rFonts w:ascii="Arial" w:hAnsi="Arial" w:cs="Arial"/>
          <w:sz w:val="24"/>
          <w:szCs w:val="24"/>
          <w:lang w:val="en-GB"/>
        </w:rPr>
        <w:fldChar w:fldCharType="separate"/>
      </w:r>
      <w:r w:rsidRPr="008C2884">
        <w:rPr>
          <w:rFonts w:ascii="Arial" w:hAnsi="Arial" w:cs="Arial"/>
          <w:sz w:val="24"/>
          <w:szCs w:val="24"/>
          <w:lang w:val="en-GB"/>
        </w:rPr>
        <w:t>(Xie et al., 2019)</w:t>
      </w:r>
      <w:r w:rsidRPr="008C2884">
        <w:rPr>
          <w:rFonts w:ascii="Arial" w:hAnsi="Arial" w:cs="Arial"/>
          <w:sz w:val="24"/>
          <w:szCs w:val="24"/>
          <w:lang w:val="en-GB"/>
        </w:rPr>
        <w:fldChar w:fldCharType="end"/>
      </w:r>
      <w:r w:rsidRPr="008C2884">
        <w:rPr>
          <w:rFonts w:ascii="Arial" w:hAnsi="Arial" w:cs="Arial"/>
          <w:sz w:val="24"/>
          <w:szCs w:val="24"/>
          <w:lang w:val="en-GB"/>
        </w:rPr>
        <w:t xml:space="preserve">. As you can see in the figure 1, the percentage of those who believe that climate change is the single most serious problem varies significantly according to country. For example, Bulgaria and Croatia obtain the smaller percentage, that is 11% of citizens who think climate change is the single most serious problem. On the contrary, about 1 out 2 Sweden’s citizen indicated climate change.  </w:t>
      </w:r>
    </w:p>
    <w:p w14:paraId="5983EB96" w14:textId="77777777" w:rsidR="00714EA0" w:rsidRDefault="00714EA0" w:rsidP="00714EA0">
      <w:pPr>
        <w:keepNext/>
        <w:spacing w:line="360" w:lineRule="auto"/>
        <w:jc w:val="both"/>
      </w:pPr>
      <w:r>
        <w:rPr>
          <w:rFonts w:ascii="Arial" w:hAnsi="Arial" w:cs="Arial"/>
          <w:lang w:val="en-GB"/>
        </w:rPr>
        <w:t xml:space="preserve"> </w:t>
      </w:r>
      <w:r>
        <w:rPr>
          <w:rFonts w:ascii="Arial" w:hAnsi="Arial" w:cs="Arial"/>
          <w:noProof/>
          <w:lang w:val="en-GB"/>
        </w:rPr>
        <w:drawing>
          <wp:inline distT="0" distB="0" distL="0" distR="0" wp14:anchorId="22A766BC" wp14:editId="0B1CF92A">
            <wp:extent cx="5038725" cy="313372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8725" cy="3133725"/>
                    </a:xfrm>
                    <a:prstGeom prst="rect">
                      <a:avLst/>
                    </a:prstGeom>
                    <a:noFill/>
                    <a:ln>
                      <a:noFill/>
                    </a:ln>
                  </pic:spPr>
                </pic:pic>
              </a:graphicData>
            </a:graphic>
          </wp:inline>
        </w:drawing>
      </w:r>
    </w:p>
    <w:p w14:paraId="34F1C11E" w14:textId="5CDA88D8" w:rsidR="00714EA0" w:rsidRPr="00A36358" w:rsidRDefault="00714EA0" w:rsidP="00714EA0">
      <w:pPr>
        <w:pStyle w:val="Didascalia"/>
        <w:spacing w:line="360" w:lineRule="auto"/>
        <w:jc w:val="both"/>
        <w:rPr>
          <w:rFonts w:ascii="Arial" w:hAnsi="Arial" w:cs="Arial"/>
          <w:color w:val="auto"/>
          <w:lang w:val="en-GB"/>
        </w:rPr>
      </w:pPr>
      <w:bookmarkStart w:id="0" w:name="_Toc63158276"/>
      <w:r w:rsidRPr="00A36358">
        <w:rPr>
          <w:rFonts w:ascii="Arial" w:hAnsi="Arial" w:cs="Arial"/>
          <w:color w:val="auto"/>
          <w:lang w:val="en-GB"/>
        </w:rPr>
        <w:t xml:space="preserve">Figure </w:t>
      </w:r>
      <w:r w:rsidRPr="00A36358">
        <w:rPr>
          <w:rFonts w:ascii="Arial" w:hAnsi="Arial" w:cs="Arial"/>
          <w:color w:val="auto"/>
        </w:rPr>
        <w:fldChar w:fldCharType="begin"/>
      </w:r>
      <w:r w:rsidRPr="00A36358">
        <w:rPr>
          <w:rFonts w:ascii="Arial" w:hAnsi="Arial" w:cs="Arial"/>
          <w:color w:val="auto"/>
          <w:lang w:val="en-GB"/>
        </w:rPr>
        <w:instrText xml:space="preserve"> SEQ Figure \* ARABIC </w:instrText>
      </w:r>
      <w:r w:rsidRPr="00A36358">
        <w:rPr>
          <w:rFonts w:ascii="Arial" w:hAnsi="Arial" w:cs="Arial"/>
          <w:color w:val="auto"/>
        </w:rPr>
        <w:fldChar w:fldCharType="separate"/>
      </w:r>
      <w:r w:rsidR="00DF1ABE">
        <w:rPr>
          <w:rFonts w:ascii="Arial" w:hAnsi="Arial" w:cs="Arial"/>
          <w:noProof/>
          <w:color w:val="auto"/>
          <w:lang w:val="en-GB"/>
        </w:rPr>
        <w:t>1</w:t>
      </w:r>
      <w:r w:rsidRPr="00A36358">
        <w:rPr>
          <w:rFonts w:ascii="Arial" w:hAnsi="Arial" w:cs="Arial"/>
          <w:color w:val="auto"/>
        </w:rPr>
        <w:fldChar w:fldCharType="end"/>
      </w:r>
      <w:r w:rsidRPr="00A36358">
        <w:rPr>
          <w:rFonts w:ascii="Arial" w:hAnsi="Arial" w:cs="Arial"/>
          <w:color w:val="auto"/>
          <w:lang w:val="en-GB"/>
        </w:rPr>
        <w:t>: Single Most Serious Problem</w:t>
      </w:r>
      <w:bookmarkEnd w:id="0"/>
    </w:p>
    <w:p w14:paraId="398A7DC1" w14:textId="77777777" w:rsidR="00714EA0" w:rsidRPr="008C2884" w:rsidRDefault="00714EA0" w:rsidP="00714EA0">
      <w:pPr>
        <w:spacing w:line="360" w:lineRule="auto"/>
        <w:jc w:val="both"/>
        <w:rPr>
          <w:rFonts w:ascii="Arial" w:hAnsi="Arial" w:cs="Arial"/>
          <w:sz w:val="24"/>
          <w:szCs w:val="24"/>
          <w:lang w:val="en-GB"/>
        </w:rPr>
      </w:pPr>
    </w:p>
    <w:p w14:paraId="1107377F" w14:textId="77777777" w:rsidR="00714EA0" w:rsidRPr="008C2884" w:rsidRDefault="00714EA0" w:rsidP="00714EA0">
      <w:pPr>
        <w:spacing w:line="360" w:lineRule="auto"/>
        <w:jc w:val="both"/>
        <w:rPr>
          <w:rFonts w:ascii="Arial" w:hAnsi="Arial" w:cs="Arial"/>
          <w:sz w:val="24"/>
          <w:szCs w:val="24"/>
          <w:lang w:val="en-GB"/>
        </w:rPr>
      </w:pPr>
      <w:r w:rsidRPr="008C2884">
        <w:rPr>
          <w:rFonts w:ascii="Arial" w:hAnsi="Arial" w:cs="Arial"/>
          <w:sz w:val="24"/>
          <w:szCs w:val="24"/>
          <w:lang w:val="en-GB"/>
        </w:rPr>
        <w:lastRenderedPageBreak/>
        <w:t xml:space="preserve">Another interesting example is the difference in the climate change risk perception. As you can see in the figure 2, about half of citizens of Malta and Luxemburg declared that they are extremely worrying about the phenomenon studied. </w:t>
      </w:r>
    </w:p>
    <w:p w14:paraId="5CE8C991" w14:textId="77777777" w:rsidR="00714EA0" w:rsidRPr="008C2884" w:rsidRDefault="00714EA0" w:rsidP="00714EA0">
      <w:pPr>
        <w:keepNext/>
        <w:spacing w:line="360" w:lineRule="auto"/>
        <w:jc w:val="both"/>
        <w:rPr>
          <w:sz w:val="24"/>
          <w:szCs w:val="24"/>
        </w:rPr>
      </w:pPr>
      <w:r w:rsidRPr="008C2884">
        <w:rPr>
          <w:rFonts w:ascii="Arial" w:hAnsi="Arial" w:cs="Arial"/>
          <w:noProof/>
          <w:sz w:val="24"/>
          <w:szCs w:val="24"/>
          <w:lang w:val="en-GB"/>
        </w:rPr>
        <w:drawing>
          <wp:inline distT="0" distB="0" distL="0" distR="0" wp14:anchorId="718F82F1" wp14:editId="299F4AB8">
            <wp:extent cx="5029200" cy="2828925"/>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200" cy="2828925"/>
                    </a:xfrm>
                    <a:prstGeom prst="rect">
                      <a:avLst/>
                    </a:prstGeom>
                    <a:noFill/>
                    <a:ln>
                      <a:noFill/>
                    </a:ln>
                  </pic:spPr>
                </pic:pic>
              </a:graphicData>
            </a:graphic>
          </wp:inline>
        </w:drawing>
      </w:r>
    </w:p>
    <w:p w14:paraId="6989B5FC" w14:textId="674412BA" w:rsidR="00714EA0" w:rsidRPr="00A36358" w:rsidRDefault="00714EA0" w:rsidP="00714EA0">
      <w:pPr>
        <w:pStyle w:val="Didascalia"/>
        <w:spacing w:line="360" w:lineRule="auto"/>
        <w:jc w:val="both"/>
        <w:rPr>
          <w:rFonts w:ascii="Arial" w:hAnsi="Arial" w:cs="Arial"/>
          <w:color w:val="auto"/>
          <w:lang w:val="en-GB"/>
        </w:rPr>
      </w:pPr>
      <w:bookmarkStart w:id="1" w:name="_Toc63158277"/>
      <w:r w:rsidRPr="00A36358">
        <w:rPr>
          <w:rFonts w:ascii="Arial" w:hAnsi="Arial" w:cs="Arial"/>
          <w:color w:val="auto"/>
          <w:lang w:val="en-GB"/>
        </w:rPr>
        <w:t xml:space="preserve">Figure </w:t>
      </w:r>
      <w:r w:rsidRPr="00A36358">
        <w:rPr>
          <w:rFonts w:ascii="Arial" w:hAnsi="Arial" w:cs="Arial"/>
          <w:color w:val="auto"/>
        </w:rPr>
        <w:fldChar w:fldCharType="begin"/>
      </w:r>
      <w:r w:rsidRPr="00A36358">
        <w:rPr>
          <w:rFonts w:ascii="Arial" w:hAnsi="Arial" w:cs="Arial"/>
          <w:color w:val="auto"/>
          <w:lang w:val="en-GB"/>
        </w:rPr>
        <w:instrText xml:space="preserve"> SEQ Figure \* ARABIC </w:instrText>
      </w:r>
      <w:r w:rsidRPr="00A36358">
        <w:rPr>
          <w:rFonts w:ascii="Arial" w:hAnsi="Arial" w:cs="Arial"/>
          <w:color w:val="auto"/>
        </w:rPr>
        <w:fldChar w:fldCharType="separate"/>
      </w:r>
      <w:r w:rsidR="00DF1ABE">
        <w:rPr>
          <w:rFonts w:ascii="Arial" w:hAnsi="Arial" w:cs="Arial"/>
          <w:noProof/>
          <w:color w:val="auto"/>
          <w:lang w:val="en-GB"/>
        </w:rPr>
        <w:t>2</w:t>
      </w:r>
      <w:r w:rsidRPr="00A36358">
        <w:rPr>
          <w:rFonts w:ascii="Arial" w:hAnsi="Arial" w:cs="Arial"/>
          <w:color w:val="auto"/>
        </w:rPr>
        <w:fldChar w:fldCharType="end"/>
      </w:r>
      <w:r w:rsidRPr="00A36358">
        <w:rPr>
          <w:rFonts w:ascii="Arial" w:hAnsi="Arial" w:cs="Arial"/>
          <w:color w:val="auto"/>
          <w:lang w:val="en-GB"/>
        </w:rPr>
        <w:t>: Climate Change Risk Perception</w:t>
      </w:r>
      <w:bookmarkEnd w:id="1"/>
    </w:p>
    <w:p w14:paraId="63177D7B" w14:textId="77777777" w:rsidR="00714EA0" w:rsidRDefault="00714EA0" w:rsidP="00714EA0">
      <w:pPr>
        <w:spacing w:line="360" w:lineRule="auto"/>
        <w:jc w:val="both"/>
        <w:rPr>
          <w:rFonts w:ascii="Arial" w:hAnsi="Arial" w:cs="Arial"/>
          <w:lang w:val="en-GB"/>
        </w:rPr>
      </w:pPr>
    </w:p>
    <w:p w14:paraId="1735B7F8" w14:textId="77777777" w:rsidR="00714EA0" w:rsidRPr="008C2884" w:rsidRDefault="00714EA0" w:rsidP="00714EA0">
      <w:pPr>
        <w:spacing w:line="360" w:lineRule="auto"/>
        <w:jc w:val="both"/>
        <w:rPr>
          <w:rFonts w:ascii="Arial" w:hAnsi="Arial" w:cs="Arial"/>
          <w:sz w:val="24"/>
          <w:szCs w:val="24"/>
          <w:lang w:val="en-GB"/>
        </w:rPr>
      </w:pPr>
      <w:r w:rsidRPr="008C2884">
        <w:rPr>
          <w:rFonts w:ascii="Arial" w:hAnsi="Arial" w:cs="Arial"/>
          <w:sz w:val="24"/>
          <w:szCs w:val="24"/>
          <w:lang w:val="en-GB"/>
        </w:rPr>
        <w:t xml:space="preserve">Attitudes among countries could be so vary since they are influenced by different contextual factors </w:t>
      </w:r>
      <w:r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{"citationID":"92juk6mV","properties":{"formattedCitation":"(Echavarren et al., 2019; Krajhanzl, 2010)","plainCitation":"(Echavarren et al., 2019; Krajhanzl, 2010)","noteIndex":0},"citationItems":[{"id":8,"uris":["http://zotero.org/users/local/pE4cGXV6/items/2XUAJYI5"],"uri":["http://zotero.org/users/local/pE4cGXV6/items/2XUAJYI5"],"itemData":{"id":8,"type":"article-journal","abstract":"This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id":81,"uris":["http://zotero.org/users/local/pE4cGXV6/items/SBAILPDB"],"uri":["http://zotero.org/users/local/pE4cGXV6/items/SBAILPDB"],"itemData":{"id":81,"type":"article-journal","abstract":"One of important areas of interest in psychology is the so-called environmental or pro-environmental behaviour. The author offers a concept that may facilitate orientation in the many factors that affect our environmental behaviour. He presents a methodological procedure that support environmentally friendly behaviour in practice. He lists ﬁve characteristics of personal relationship with nature and explains how important it is to clearly distinguish between them in both professional theory and practice. The author also emphasizes the importance of people forming a personal relationship with nature. In this respect, study of individual personal understanding of general terms of environmental education and the building of a common understanding seem of paramount importance.","language":"en","page":"251-274","source":"Zotero","title":"Environmental and Pro-environmental Behavior","volume":"School and Health","author":[{"family":"Krajhanzl","given":"Jan"}],"issued":{"date-parts":[["2010"]]}}}],"schema":"https://github.com/citation-style-language/schema/raw/master/csl-citation.json"} </w:instrText>
      </w:r>
      <w:r w:rsidRPr="008C2884">
        <w:rPr>
          <w:rFonts w:ascii="Arial" w:hAnsi="Arial" w:cs="Arial"/>
          <w:sz w:val="24"/>
          <w:szCs w:val="24"/>
          <w:lang w:val="en-GB"/>
        </w:rPr>
        <w:fldChar w:fldCharType="separate"/>
      </w:r>
      <w:r w:rsidRPr="008C2884">
        <w:rPr>
          <w:rFonts w:ascii="Arial" w:hAnsi="Arial" w:cs="Arial"/>
          <w:sz w:val="24"/>
          <w:szCs w:val="24"/>
          <w:lang w:val="en-GB"/>
        </w:rPr>
        <w:t>(Echavarren et al., 2019; Krajhanzl, 2010)</w:t>
      </w:r>
      <w:r w:rsidRPr="008C2884">
        <w:rPr>
          <w:rFonts w:ascii="Arial" w:hAnsi="Arial" w:cs="Arial"/>
          <w:sz w:val="24"/>
          <w:szCs w:val="24"/>
          <w:lang w:val="en-GB"/>
        </w:rPr>
        <w:fldChar w:fldCharType="end"/>
      </w:r>
      <w:r w:rsidRPr="008C2884">
        <w:rPr>
          <w:rFonts w:ascii="Arial" w:hAnsi="Arial" w:cs="Arial"/>
          <w:sz w:val="24"/>
          <w:szCs w:val="24"/>
          <w:lang w:val="en-GB"/>
        </w:rPr>
        <w:t xml:space="preserve">. According to </w:t>
      </w:r>
      <w:proofErr w:type="spellStart"/>
      <w:r w:rsidRPr="008C2884">
        <w:rPr>
          <w:rFonts w:ascii="Arial" w:hAnsi="Arial" w:cs="Arial"/>
          <w:sz w:val="24"/>
          <w:szCs w:val="24"/>
          <w:lang w:val="en-GB"/>
        </w:rPr>
        <w:t>Echavarren</w:t>
      </w:r>
      <w:proofErr w:type="spellEnd"/>
      <w:r w:rsidRPr="008C2884">
        <w:rPr>
          <w:rFonts w:ascii="Arial" w:hAnsi="Arial" w:cs="Arial"/>
          <w:sz w:val="24"/>
          <w:szCs w:val="24"/>
          <w:lang w:val="en-GB"/>
        </w:rPr>
        <w:t xml:space="preserve"> and colleagues </w:t>
      </w:r>
      <w:r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{"citationID":"VIzLYZYd","properties":{"formattedCitation":"(Echavarren et al., 2019)","plainCitation":"(Echavarren et al., 2019)","dontUpdate":true,"noteIndex":0},"citationItems":[{"id":8,"uris":["http://zotero.org/users/local/pE4cGXV6/items/2XUAJYI5"],"uri":["http://zotero.org/users/local/pE4cGXV6/items/2XUAJYI5"],"itemData":{"id":8,"type":"article-journal","abstract":"This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Pr="008C2884">
        <w:rPr>
          <w:rFonts w:ascii="Arial" w:hAnsi="Arial" w:cs="Arial"/>
          <w:sz w:val="24"/>
          <w:szCs w:val="24"/>
          <w:lang w:val="en-GB"/>
        </w:rPr>
        <w:fldChar w:fldCharType="separate"/>
      </w:r>
      <w:r w:rsidRPr="008C2884">
        <w:rPr>
          <w:rFonts w:ascii="Arial" w:hAnsi="Arial" w:cs="Arial"/>
          <w:sz w:val="24"/>
          <w:szCs w:val="24"/>
          <w:lang w:val="en-GB"/>
        </w:rPr>
        <w:t>(2019)</w:t>
      </w:r>
      <w:r w:rsidRPr="008C2884">
        <w:rPr>
          <w:rFonts w:ascii="Arial" w:hAnsi="Arial" w:cs="Arial"/>
          <w:sz w:val="24"/>
          <w:szCs w:val="24"/>
          <w:lang w:val="en-GB"/>
        </w:rPr>
        <w:fldChar w:fldCharType="end"/>
      </w:r>
      <w:r w:rsidRPr="008C2884">
        <w:rPr>
          <w:rFonts w:ascii="Arial" w:hAnsi="Arial" w:cs="Arial"/>
          <w:sz w:val="24"/>
          <w:szCs w:val="24"/>
          <w:lang w:val="en-GB"/>
        </w:rPr>
        <w:t xml:space="preserve">, opinion, perception and behavior could change due to different natural hazards and political context. For example water deficit or temperature growth regarding natural hazards and the “level of environmentalism in the political arena of a given country” </w:t>
      </w:r>
      <w:r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{"citationID":"DmXKwd3b","properties":{"formattedCitation":"(Echavarren et al., 2019)","plainCitation":"(Echavarren et al., 2019)","dontUpdate":true,"noteIndex":0},"citationItems":[{"id":8,"uris":["http://zotero.org/users/local/pE4cGXV6/items/2XUAJYI5"],"uri":["http://zotero.org/users/local/pE4cGXV6/items/2XUAJYI5"],"itemData":{"id":8,"type":"article-journal","abstract":"This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Pr="008C2884">
        <w:rPr>
          <w:rFonts w:ascii="Arial" w:hAnsi="Arial" w:cs="Arial"/>
          <w:sz w:val="24"/>
          <w:szCs w:val="24"/>
          <w:lang w:val="en-GB"/>
        </w:rPr>
        <w:fldChar w:fldCharType="separate"/>
      </w:r>
      <w:r w:rsidRPr="008C2884">
        <w:rPr>
          <w:rFonts w:ascii="Arial" w:hAnsi="Arial" w:cs="Arial"/>
          <w:sz w:val="24"/>
          <w:szCs w:val="24"/>
          <w:lang w:val="en-GB"/>
        </w:rPr>
        <w:t>(Echavarren et al., 2019, p. 815)</w:t>
      </w:r>
      <w:r w:rsidRPr="008C2884">
        <w:rPr>
          <w:rFonts w:ascii="Arial" w:hAnsi="Arial" w:cs="Arial"/>
          <w:sz w:val="24"/>
          <w:szCs w:val="24"/>
          <w:lang w:val="en-GB"/>
        </w:rPr>
        <w:fldChar w:fldCharType="end"/>
      </w:r>
      <w:r w:rsidRPr="008C2884">
        <w:rPr>
          <w:rFonts w:ascii="Arial" w:hAnsi="Arial" w:cs="Arial"/>
          <w:sz w:val="24"/>
          <w:szCs w:val="24"/>
          <w:lang w:val="en-GB"/>
        </w:rPr>
        <w:t xml:space="preserve"> for political variables. These macro-variables should be significant mediators in explaining risk perception or pro-environmental </w:t>
      </w:r>
      <w:r>
        <w:rPr>
          <w:rFonts w:ascii="Arial" w:hAnsi="Arial" w:cs="Arial"/>
          <w:sz w:val="24"/>
          <w:szCs w:val="24"/>
          <w:lang w:val="en-GB"/>
        </w:rPr>
        <w:t>behavior</w:t>
      </w:r>
      <w:r w:rsidRPr="008C2884">
        <w:rPr>
          <w:rFonts w:ascii="Arial" w:hAnsi="Arial" w:cs="Arial"/>
          <w:sz w:val="24"/>
          <w:szCs w:val="24"/>
          <w:lang w:val="en-GB"/>
        </w:rPr>
        <w:t xml:space="preserve">. Some indexes are considered with the sole purpose of remembering that they could affect and moderate the phenomenon studied. Then, they are not inserted in the final models since only multilevel method could be adopted. In addition, the aim of the research is not to evidence national or cultural differences, but on the contrary, it is to find patterns at individual levels, regardless of the place of origin. However, these differences at the macro levels are presented. </w:t>
      </w:r>
    </w:p>
    <w:p w14:paraId="02DF683C" w14:textId="77777777" w:rsidR="00714EA0" w:rsidRPr="008C2884" w:rsidRDefault="00714EA0" w:rsidP="00714EA0">
      <w:pPr>
        <w:spacing w:line="360" w:lineRule="auto"/>
        <w:jc w:val="both"/>
        <w:rPr>
          <w:rFonts w:ascii="Arial" w:hAnsi="Arial" w:cs="Arial"/>
          <w:sz w:val="24"/>
          <w:szCs w:val="24"/>
          <w:lang w:val="en-GB"/>
        </w:rPr>
      </w:pPr>
    </w:p>
    <w:p w14:paraId="4FAE6FAE" w14:textId="77777777" w:rsidR="00714EA0" w:rsidRPr="008C2884" w:rsidRDefault="00714EA0" w:rsidP="00714EA0">
      <w:pPr>
        <w:spacing w:line="360" w:lineRule="auto"/>
        <w:jc w:val="both"/>
        <w:rPr>
          <w:rFonts w:ascii="Arial" w:hAnsi="Arial" w:cs="Arial"/>
          <w:sz w:val="24"/>
          <w:szCs w:val="24"/>
          <w:lang w:val="en-GB"/>
        </w:rPr>
      </w:pPr>
    </w:p>
    <w:p w14:paraId="71FF54A8" w14:textId="77777777" w:rsidR="00714EA0" w:rsidRDefault="00714EA0" w:rsidP="00714EA0">
      <w:pPr>
        <w:spacing w:line="360" w:lineRule="auto"/>
        <w:jc w:val="both"/>
        <w:rPr>
          <w:rFonts w:ascii="Arial" w:hAnsi="Arial" w:cs="Arial"/>
          <w:lang w:val="en-GB"/>
        </w:rPr>
      </w:pPr>
    </w:p>
    <w:p w14:paraId="6B5F97D5" w14:textId="77777777" w:rsidR="00714EA0" w:rsidRPr="008C2884" w:rsidRDefault="00714EA0" w:rsidP="00714EA0">
      <w:pPr>
        <w:spacing w:line="360" w:lineRule="auto"/>
        <w:jc w:val="both"/>
        <w:rPr>
          <w:rFonts w:ascii="Arial" w:hAnsi="Arial" w:cs="Arial"/>
          <w:sz w:val="24"/>
          <w:szCs w:val="24"/>
          <w:lang w:val="en-GB"/>
        </w:rPr>
      </w:pPr>
      <w:r w:rsidRPr="008C2884">
        <w:rPr>
          <w:noProof/>
          <w:sz w:val="24"/>
          <w:szCs w:val="24"/>
        </w:rPr>
        <mc:AlternateContent>
          <mc:Choice Requires="wps">
            <w:drawing>
              <wp:anchor distT="0" distB="0" distL="114300" distR="114300" simplePos="0" relativeHeight="251661312" behindDoc="1" locked="0" layoutInCell="1" allowOverlap="1" wp14:anchorId="5F022F5C" wp14:editId="71DFD74D">
                <wp:simplePos x="0" y="0"/>
                <wp:positionH relativeFrom="column">
                  <wp:posOffset>0</wp:posOffset>
                </wp:positionH>
                <wp:positionV relativeFrom="paragraph">
                  <wp:posOffset>5626100</wp:posOffset>
                </wp:positionV>
                <wp:extent cx="3057525" cy="635"/>
                <wp:effectExtent l="0" t="0" r="0" b="0"/>
                <wp:wrapTight wrapText="bothSides">
                  <wp:wrapPolygon edited="0">
                    <wp:start x="0" y="0"/>
                    <wp:lineTo x="0" y="21600"/>
                    <wp:lineTo x="21600" y="21600"/>
                    <wp:lineTo x="21600" y="0"/>
                  </wp:wrapPolygon>
                </wp:wrapTight>
                <wp:docPr id="8" name="Casella di testo 8"/>
                <wp:cNvGraphicFramePr/>
                <a:graphic xmlns:a="http://schemas.openxmlformats.org/drawingml/2006/main">
                  <a:graphicData uri="http://schemas.microsoft.com/office/word/2010/wordprocessingShape">
                    <wps:wsp>
                      <wps:cNvSpPr txBox="1"/>
                      <wps:spPr>
                        <a:xfrm>
                          <a:off x="0" y="0"/>
                          <a:ext cx="3057525" cy="635"/>
                        </a:xfrm>
                        <a:prstGeom prst="rect">
                          <a:avLst/>
                        </a:prstGeom>
                        <a:solidFill>
                          <a:prstClr val="white"/>
                        </a:solidFill>
                        <a:ln>
                          <a:noFill/>
                        </a:ln>
                      </wps:spPr>
                      <wps:txbx>
                        <w:txbxContent>
                          <w:p w14:paraId="2FBCAAC3" w14:textId="0CCFF6BD" w:rsidR="00714EA0" w:rsidRPr="00A36358" w:rsidRDefault="00714EA0" w:rsidP="00714EA0">
                            <w:pPr>
                              <w:pStyle w:val="Didascalia"/>
                              <w:rPr>
                                <w:rFonts w:ascii="Arial" w:hAnsi="Arial" w:cs="Arial"/>
                                <w:noProof/>
                                <w:color w:val="auto"/>
                                <w:lang w:val="en-GB"/>
                              </w:rPr>
                            </w:pPr>
                            <w:bookmarkStart w:id="2" w:name="_Toc63158278"/>
                            <w:r w:rsidRPr="00B4569E">
                              <w:rPr>
                                <w:rFonts w:ascii="Arial" w:hAnsi="Arial" w:cs="Arial"/>
                                <w:color w:val="auto"/>
                                <w:lang w:val="en-GB"/>
                              </w:rPr>
                              <w:t xml:space="preserve">Figure </w:t>
                            </w:r>
                            <w:r w:rsidRPr="00A36358">
                              <w:rPr>
                                <w:rFonts w:ascii="Arial" w:hAnsi="Arial" w:cs="Arial"/>
                                <w:color w:val="auto"/>
                              </w:rPr>
                              <w:fldChar w:fldCharType="begin"/>
                            </w:r>
                            <w:r w:rsidRPr="00B4569E">
                              <w:rPr>
                                <w:rFonts w:ascii="Arial" w:hAnsi="Arial" w:cs="Arial"/>
                                <w:color w:val="auto"/>
                                <w:lang w:val="en-GB"/>
                              </w:rPr>
                              <w:instrText xml:space="preserve"> SEQ Figure \* ARABIC </w:instrText>
                            </w:r>
                            <w:r w:rsidRPr="00A36358">
                              <w:rPr>
                                <w:rFonts w:ascii="Arial" w:hAnsi="Arial" w:cs="Arial"/>
                                <w:color w:val="auto"/>
                              </w:rPr>
                              <w:fldChar w:fldCharType="separate"/>
                            </w:r>
                            <w:r w:rsidR="00DF1ABE">
                              <w:rPr>
                                <w:rFonts w:ascii="Arial" w:hAnsi="Arial" w:cs="Arial"/>
                                <w:noProof/>
                                <w:color w:val="auto"/>
                                <w:lang w:val="en-GB"/>
                              </w:rPr>
                              <w:t>3</w:t>
                            </w:r>
                            <w:r w:rsidRPr="00A36358">
                              <w:rPr>
                                <w:rFonts w:ascii="Arial" w:hAnsi="Arial" w:cs="Arial"/>
                                <w:color w:val="auto"/>
                              </w:rPr>
                              <w:fldChar w:fldCharType="end"/>
                            </w:r>
                            <w:r w:rsidRPr="00B4569E">
                              <w:rPr>
                                <w:rFonts w:ascii="Arial" w:hAnsi="Arial" w:cs="Arial"/>
                                <w:color w:val="auto"/>
                                <w:lang w:val="en-GB"/>
                              </w:rPr>
                              <w:t>: The 2020 EP</w:t>
                            </w:r>
                            <w:r>
                              <w:rPr>
                                <w:rFonts w:ascii="Arial" w:hAnsi="Arial" w:cs="Arial"/>
                                <w:color w:val="auto"/>
                                <w:lang w:val="en-GB"/>
                              </w:rPr>
                              <w:t>I</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022F5C" id="_x0000_t202" coordsize="21600,21600" o:spt="202" path="m,l,21600r21600,l21600,xe">
                <v:stroke joinstyle="miter"/>
                <v:path gradientshapeok="t" o:connecttype="rect"/>
              </v:shapetype>
              <v:shape id="Casella di testo 8" o:spid="_x0000_s1026" type="#_x0000_t202" style="position:absolute;left:0;text-align:left;margin-left:0;margin-top:443pt;width:240.7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" stroked="f">
                <v:textbox style="mso-fit-shape-to-text:t" inset="0,0,0,0">
                  <w:txbxContent>
                    <w:p w14:paraId="2FBCAAC3" w14:textId="0CCFF6BD" w:rsidR="00714EA0" w:rsidRPr="00A36358" w:rsidRDefault="00714EA0" w:rsidP="00714EA0">
                      <w:pPr>
                        <w:pStyle w:val="Didascalia"/>
                        <w:rPr>
                          <w:rFonts w:ascii="Arial" w:hAnsi="Arial" w:cs="Arial"/>
                          <w:noProof/>
                          <w:color w:val="auto"/>
                          <w:lang w:val="en-GB"/>
                        </w:rPr>
                      </w:pPr>
                      <w:bookmarkStart w:id="3" w:name="_Toc63158278"/>
                      <w:r w:rsidRPr="00B4569E">
                        <w:rPr>
                          <w:rFonts w:ascii="Arial" w:hAnsi="Arial" w:cs="Arial"/>
                          <w:color w:val="auto"/>
                          <w:lang w:val="en-GB"/>
                        </w:rPr>
                        <w:t xml:space="preserve">Figure </w:t>
                      </w:r>
                      <w:r w:rsidRPr="00A36358">
                        <w:rPr>
                          <w:rFonts w:ascii="Arial" w:hAnsi="Arial" w:cs="Arial"/>
                          <w:color w:val="auto"/>
                        </w:rPr>
                        <w:fldChar w:fldCharType="begin"/>
                      </w:r>
                      <w:r w:rsidRPr="00B4569E">
                        <w:rPr>
                          <w:rFonts w:ascii="Arial" w:hAnsi="Arial" w:cs="Arial"/>
                          <w:color w:val="auto"/>
                          <w:lang w:val="en-GB"/>
                        </w:rPr>
                        <w:instrText xml:space="preserve"> SEQ Figure \* ARABIC </w:instrText>
                      </w:r>
                      <w:r w:rsidRPr="00A36358">
                        <w:rPr>
                          <w:rFonts w:ascii="Arial" w:hAnsi="Arial" w:cs="Arial"/>
                          <w:color w:val="auto"/>
                        </w:rPr>
                        <w:fldChar w:fldCharType="separate"/>
                      </w:r>
                      <w:r w:rsidR="00DF1ABE">
                        <w:rPr>
                          <w:rFonts w:ascii="Arial" w:hAnsi="Arial" w:cs="Arial"/>
                          <w:noProof/>
                          <w:color w:val="auto"/>
                          <w:lang w:val="en-GB"/>
                        </w:rPr>
                        <w:t>3</w:t>
                      </w:r>
                      <w:r w:rsidRPr="00A36358">
                        <w:rPr>
                          <w:rFonts w:ascii="Arial" w:hAnsi="Arial" w:cs="Arial"/>
                          <w:color w:val="auto"/>
                        </w:rPr>
                        <w:fldChar w:fldCharType="end"/>
                      </w:r>
                      <w:r w:rsidRPr="00B4569E">
                        <w:rPr>
                          <w:rFonts w:ascii="Arial" w:hAnsi="Arial" w:cs="Arial"/>
                          <w:color w:val="auto"/>
                          <w:lang w:val="en-GB"/>
                        </w:rPr>
                        <w:t>: The 2020 EP</w:t>
                      </w:r>
                      <w:r>
                        <w:rPr>
                          <w:rFonts w:ascii="Arial" w:hAnsi="Arial" w:cs="Arial"/>
                          <w:color w:val="auto"/>
                          <w:lang w:val="en-GB"/>
                        </w:rPr>
                        <w:t>I</w:t>
                      </w:r>
                      <w:bookmarkEnd w:id="3"/>
                    </w:p>
                  </w:txbxContent>
                </v:textbox>
                <w10:wrap type="tight"/>
              </v:shape>
            </w:pict>
          </mc:Fallback>
        </mc:AlternateContent>
      </w:r>
      <w:r w:rsidRPr="008C2884">
        <w:rPr>
          <w:rFonts w:ascii="Arial" w:hAnsi="Arial" w:cs="Arial"/>
          <w:noProof/>
          <w:sz w:val="24"/>
          <w:szCs w:val="24"/>
          <w:lang w:val="en-GB"/>
        </w:rPr>
        <w:drawing>
          <wp:anchor distT="0" distB="0" distL="114300" distR="114300" simplePos="0" relativeHeight="251659264" behindDoc="1" locked="0" layoutInCell="1" allowOverlap="1" wp14:anchorId="3353A0FB" wp14:editId="2A538857">
            <wp:simplePos x="0" y="0"/>
            <wp:positionH relativeFrom="margin">
              <wp:align>left</wp:align>
            </wp:positionH>
            <wp:positionV relativeFrom="paragraph">
              <wp:posOffset>819150</wp:posOffset>
            </wp:positionV>
            <wp:extent cx="3057525" cy="4749800"/>
            <wp:effectExtent l="0" t="0" r="9525" b="0"/>
            <wp:wrapTight wrapText="bothSides">
              <wp:wrapPolygon edited="0">
                <wp:start x="0" y="0"/>
                <wp:lineTo x="0" y="21484"/>
                <wp:lineTo x="21533" y="21484"/>
                <wp:lineTo x="21533"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7525" cy="4749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C2884">
        <w:rPr>
          <w:rFonts w:ascii="Arial" w:hAnsi="Arial" w:cs="Arial"/>
          <w:sz w:val="24"/>
          <w:szCs w:val="24"/>
          <w:lang w:val="en-GB"/>
        </w:rPr>
        <w:t xml:space="preserve">For the natural hazards the 2020 Environmental Performance Index (EPI) is used (the 2019 EPI is not available in order to use the same data of year of the survey) </w:t>
      </w:r>
      <w:r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{"citationID":"Y8SoIzYU","properties":{"formattedCitation":"(Yale Center for Environmental Law &amp; Policy, 2020)","plainCitation":"(Yale Center for Environmental Law &amp; Policy, 2020)","noteIndex":0},"citationItems":[{"id":64,"uris":["http://zotero.org/users/local/pE4cGXV6/items/P3822X56"],"uri":["http://zotero.org/users/local/pE4cGXV6/items/P3822X56"],"itemData":{"id":64,"type":"article","title":"Environmental Performance Index 2020","URL":"https://epi.yale.edu/","author":[{"family":"Yale Center for Environmental Law &amp; Policy","given":""}],"issued":{"date-parts":[["2020"]]}}}],"schema":"https://github.com/citation-style-language/schema/raw/master/csl-citation.json"} </w:instrText>
      </w:r>
      <w:r w:rsidRPr="008C2884">
        <w:rPr>
          <w:rFonts w:ascii="Arial" w:hAnsi="Arial" w:cs="Arial"/>
          <w:sz w:val="24"/>
          <w:szCs w:val="24"/>
          <w:lang w:val="en-GB"/>
        </w:rPr>
        <w:fldChar w:fldCharType="separate"/>
      </w:r>
      <w:r w:rsidRPr="008C2884">
        <w:rPr>
          <w:rFonts w:ascii="Arial" w:hAnsi="Arial" w:cs="Arial"/>
          <w:sz w:val="24"/>
          <w:szCs w:val="24"/>
          <w:lang w:val="en-GB"/>
        </w:rPr>
        <w:t>(Yale Center for Environmental Law &amp; Policy, 2020)</w:t>
      </w:r>
      <w:r w:rsidRPr="008C2884">
        <w:rPr>
          <w:rFonts w:ascii="Arial" w:hAnsi="Arial" w:cs="Arial"/>
          <w:sz w:val="24"/>
          <w:szCs w:val="24"/>
          <w:lang w:val="en-GB"/>
        </w:rPr>
        <w:fldChar w:fldCharType="end"/>
      </w:r>
      <w:r w:rsidRPr="008C2884">
        <w:rPr>
          <w:rFonts w:ascii="Arial" w:hAnsi="Arial" w:cs="Arial"/>
          <w:sz w:val="24"/>
          <w:szCs w:val="24"/>
          <w:lang w:val="en-GB"/>
        </w:rPr>
        <w:t xml:space="preserve">. EPI quantifies numerically environmental health and ecosystem vitality around the world. Some indicators that composed the index are: air pollution, drinking water quality, species protection. These phenomena could be positively affect climate change concerns and opinion </w:t>
      </w:r>
      <w:r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{"citationID":"xWT4c0db","properties":{"formattedCitation":"(Echavarren et al., 2019)","plainCitation":"(Echavarren et al., 2019)","noteIndex":0},"citationItems":[{"id":8,"uris":["http://zotero.org/users/local/pE4cGXV6/items/2XUAJYI5"],"uri":["http://zotero.org/users/local/pE4cGXV6/items/2XUAJYI5"],"itemData":{"id":8,"type":"article-journal","abstract":"This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Pr="008C2884">
        <w:rPr>
          <w:rFonts w:ascii="Arial" w:hAnsi="Arial" w:cs="Arial"/>
          <w:sz w:val="24"/>
          <w:szCs w:val="24"/>
          <w:lang w:val="en-GB"/>
        </w:rPr>
        <w:fldChar w:fldCharType="separate"/>
      </w:r>
      <w:r w:rsidRPr="008C2884">
        <w:rPr>
          <w:rFonts w:ascii="Arial" w:hAnsi="Arial" w:cs="Arial"/>
          <w:sz w:val="24"/>
          <w:szCs w:val="24"/>
          <w:lang w:val="en-GB"/>
        </w:rPr>
        <w:t>(Echavarren et al., 2019)</w:t>
      </w:r>
      <w:r w:rsidRPr="008C2884">
        <w:rPr>
          <w:rFonts w:ascii="Arial" w:hAnsi="Arial" w:cs="Arial"/>
          <w:sz w:val="24"/>
          <w:szCs w:val="24"/>
          <w:lang w:val="en-GB"/>
        </w:rPr>
        <w:fldChar w:fldCharType="end"/>
      </w:r>
      <w:r w:rsidRPr="008C2884">
        <w:rPr>
          <w:rFonts w:ascii="Arial" w:hAnsi="Arial" w:cs="Arial"/>
          <w:sz w:val="24"/>
          <w:szCs w:val="24"/>
          <w:lang w:val="en-GB"/>
        </w:rPr>
        <w:t xml:space="preserve">. In fact, citizens should perceive biodiversity loss or temperature increases, leading to greater apprehension. The figure 3 shows the score across European Union (EU). The best score is obtained from Denmark, while the worst from Bulgaria. </w:t>
      </w:r>
    </w:p>
    <w:p w14:paraId="4D50A84F" w14:textId="77777777" w:rsidR="00714EA0" w:rsidRPr="008C2884" w:rsidRDefault="00714EA0" w:rsidP="00714EA0">
      <w:pPr>
        <w:spacing w:line="360" w:lineRule="auto"/>
        <w:jc w:val="both"/>
        <w:rPr>
          <w:rFonts w:ascii="Arial" w:hAnsi="Arial" w:cs="Arial"/>
          <w:noProof/>
          <w:sz w:val="24"/>
          <w:szCs w:val="24"/>
          <w:lang w:val="en-GB"/>
        </w:rPr>
      </w:pPr>
    </w:p>
    <w:p w14:paraId="2A55C820" w14:textId="6F265EAF" w:rsidR="00714EA0" w:rsidRPr="008C2884" w:rsidRDefault="00714EA0" w:rsidP="00714EA0">
      <w:pPr>
        <w:spacing w:line="360" w:lineRule="auto"/>
        <w:jc w:val="both"/>
        <w:rPr>
          <w:rFonts w:ascii="Arial" w:hAnsi="Arial" w:cs="Arial"/>
          <w:noProof/>
          <w:sz w:val="24"/>
          <w:szCs w:val="24"/>
          <w:lang w:val="en-GB"/>
        </w:rPr>
      </w:pPr>
      <w:r w:rsidRPr="008C2884">
        <w:rPr>
          <w:rFonts w:ascii="Arial" w:hAnsi="Arial" w:cs="Arial"/>
          <w:noProof/>
          <w:sz w:val="24"/>
          <w:szCs w:val="24"/>
          <w:lang w:val="en-GB"/>
        </w:rPr>
        <w:t xml:space="preserve">For the political context the 2019 Climate Change Policy Performance is selected, which is a mesarument of national and international climate policies </w:t>
      </w:r>
      <w:r w:rsidRPr="008C2884">
        <w:rPr>
          <w:rFonts w:ascii="Arial" w:hAnsi="Arial" w:cs="Arial"/>
          <w:noProof/>
          <w:sz w:val="24"/>
          <w:szCs w:val="24"/>
          <w:lang w:val="en-GB"/>
        </w:rPr>
        <w:fldChar w:fldCharType="begin"/>
      </w:r>
      <w:r>
        <w:rPr>
          <w:rFonts w:ascii="Arial" w:hAnsi="Arial" w:cs="Arial"/>
          <w:noProof/>
          <w:sz w:val="24"/>
          <w:szCs w:val="24"/>
          <w:lang w:val="en-GB"/>
        </w:rPr>
        <w:instrText xml:space="preserve"> ADDIN ZOTERO_ITEM CSL_CITATION {"citationID":"YCY94FRb","properties":{"formattedCitation":"(Burck, 2018)","plainCitation":"(Burck, 2018)","noteIndex":0},"citationItems":[{"id":67,"uris":["http://zotero.org/users/local/pE4cGXV6/items/TN8U9Y6E"],"uri":["http://zotero.org/users/local/pE4cGXV6/items/TN8U9Y6E"],"itemData":{"id":67,"type":"book","ISBN":"978-3-943704-68-6","language":"en","note":"OCLC: 1189199992","number-of-pages":"1-13","source":"Open WorldCat","title":"CCPI, climate change performance index background and methodology","author":[{"family":"Burck","given":"Jan"}],"issued":{"date-parts":[["2018"]]}}}],"schema":"https://github.com/citation-style-language/schema/raw/master/csl-citation.json"} </w:instrText>
      </w:r>
      <w:r w:rsidRPr="008C2884">
        <w:rPr>
          <w:rFonts w:ascii="Arial" w:hAnsi="Arial" w:cs="Arial"/>
          <w:noProof/>
          <w:sz w:val="24"/>
          <w:szCs w:val="24"/>
          <w:lang w:val="en-GB"/>
        </w:rPr>
        <w:fldChar w:fldCharType="separate"/>
      </w:r>
      <w:r w:rsidRPr="008C2884">
        <w:rPr>
          <w:rFonts w:ascii="Arial" w:hAnsi="Arial" w:cs="Arial"/>
          <w:sz w:val="24"/>
          <w:szCs w:val="24"/>
          <w:lang w:val="en-GB"/>
        </w:rPr>
        <w:t>(Burck, 2018)</w:t>
      </w:r>
      <w:r w:rsidRPr="008C2884">
        <w:rPr>
          <w:rFonts w:ascii="Arial" w:hAnsi="Arial" w:cs="Arial"/>
          <w:noProof/>
          <w:sz w:val="24"/>
          <w:szCs w:val="24"/>
          <w:lang w:val="en-GB"/>
        </w:rPr>
        <w:fldChar w:fldCharType="end"/>
      </w:r>
      <w:r w:rsidRPr="008C2884">
        <w:rPr>
          <w:rFonts w:ascii="Arial" w:hAnsi="Arial" w:cs="Arial"/>
          <w:noProof/>
          <w:sz w:val="24"/>
          <w:szCs w:val="24"/>
          <w:lang w:val="en-GB"/>
        </w:rPr>
        <w:t xml:space="preserve"> developed by</w:t>
      </w:r>
      <w:r w:rsidRPr="008C2884">
        <w:rPr>
          <w:sz w:val="24"/>
          <w:szCs w:val="24"/>
          <w:lang w:val="en-GB"/>
        </w:rPr>
        <w:t xml:space="preserve"> </w:t>
      </w:r>
      <w:r w:rsidRPr="008C2884">
        <w:rPr>
          <w:rFonts w:ascii="Arial" w:hAnsi="Arial" w:cs="Arial"/>
          <w:noProof/>
          <w:sz w:val="24"/>
          <w:szCs w:val="24"/>
          <w:lang w:val="en-GB"/>
        </w:rPr>
        <w:t xml:space="preserve">organisation Germanwatch. It is one of the indicators that belongs to the Climate Change Performance Index (CCPI). The indicator constitutes the measurements taken by governments in order to reduce current level of GHG emissions per </w:t>
      </w:r>
      <w:r w:rsidRPr="008C2884">
        <w:rPr>
          <w:rFonts w:ascii="Arial" w:hAnsi="Arial" w:cs="Arial"/>
          <w:noProof/>
          <w:sz w:val="24"/>
          <w:szCs w:val="24"/>
          <w:lang w:val="en-GB"/>
        </w:rPr>
        <w:lastRenderedPageBreak/>
        <w:t xml:space="preserve">capita or the use of renewavle energy. Briefly it is defined as a measure of countries’ progress and their capacity to climate protection </w:t>
      </w:r>
      <w:r w:rsidRPr="008C2884">
        <w:rPr>
          <w:rFonts w:ascii="Arial" w:hAnsi="Arial" w:cs="Arial"/>
          <w:noProof/>
          <w:sz w:val="24"/>
          <w:szCs w:val="24"/>
          <w:lang w:val="en-GB"/>
        </w:rPr>
        <w:fldChar w:fldCharType="begin"/>
      </w:r>
      <w:r>
        <w:rPr>
          <w:rFonts w:ascii="Arial" w:hAnsi="Arial" w:cs="Arial"/>
          <w:noProof/>
          <w:sz w:val="24"/>
          <w:szCs w:val="24"/>
          <w:lang w:val="en-GB"/>
        </w:rPr>
        <w:instrText xml:space="preserve"> ADDIN ZOTERO_ITEM CSL_CITATION {"citationID":"tsZ8ssEi","properties":{"formattedCitation":"(Burck, 2018)","plainCitation":"(Burck, 2018)","noteIndex":0},"citationItems":[{"id":67,"uris":["http://zotero.org/users/local/pE4cGXV6/items/TN8U9Y6E"],"uri":["http://zotero.org/users/local/pE4cGXV6/items/TN8U9Y6E"],"itemData":{"id":67,"type":"book","ISBN":"978-3-943704-68-6","language":"en","note":"OCLC: 1189199992","number-of-pages":"1-13","source":"Open WorldCat","title":"CCPI, climate change performance index background and methodology","author":[{"family":"Burck","given":"Jan"}],"issued":{"date-parts":[["2018"]]}}}],"schema":"https://github.com/citation-style-language/schema/raw/master/csl-citation.json"} </w:instrText>
      </w:r>
      <w:r w:rsidRPr="008C2884">
        <w:rPr>
          <w:rFonts w:ascii="Arial" w:hAnsi="Arial" w:cs="Arial"/>
          <w:noProof/>
          <w:sz w:val="24"/>
          <w:szCs w:val="24"/>
          <w:lang w:val="en-GB"/>
        </w:rPr>
        <w:fldChar w:fldCharType="separate"/>
      </w:r>
      <w:r w:rsidRPr="008C2884">
        <w:rPr>
          <w:rFonts w:ascii="Arial" w:hAnsi="Arial" w:cs="Arial"/>
          <w:sz w:val="24"/>
          <w:szCs w:val="24"/>
          <w:lang w:val="en-GB"/>
        </w:rPr>
        <w:t>(Burck, 2018)</w:t>
      </w:r>
      <w:r w:rsidRPr="008C2884">
        <w:rPr>
          <w:rFonts w:ascii="Arial" w:hAnsi="Arial" w:cs="Arial"/>
          <w:noProof/>
          <w:sz w:val="24"/>
          <w:szCs w:val="24"/>
          <w:lang w:val="en-GB"/>
        </w:rPr>
        <w:fldChar w:fldCharType="end"/>
      </w:r>
      <w:r w:rsidRPr="008C2884">
        <w:rPr>
          <w:rFonts w:ascii="Arial" w:hAnsi="Arial" w:cs="Arial"/>
          <w:noProof/>
          <w:sz w:val="24"/>
          <w:szCs w:val="24"/>
          <w:lang w:val="en-GB"/>
        </w:rPr>
        <w:t xml:space="preserve">. In the Climate Change Policy the record goes to Portugal and Bulgaria gets the lowest score in all European Union, as the figure 4 shows. </w:t>
      </w:r>
    </w:p>
    <w:p w14:paraId="37EB3CE8" w14:textId="77777777" w:rsidR="00714EA0" w:rsidRDefault="00714EA0" w:rsidP="00714EA0">
      <w:pPr>
        <w:spacing w:line="360" w:lineRule="auto"/>
        <w:jc w:val="both"/>
        <w:rPr>
          <w:rFonts w:ascii="Arial" w:hAnsi="Arial" w:cs="Arial"/>
          <w:noProof/>
          <w:lang w:val="en-GB"/>
        </w:rPr>
      </w:pPr>
    </w:p>
    <w:p w14:paraId="568C5C7B" w14:textId="77777777" w:rsidR="00714EA0" w:rsidRPr="008C2884" w:rsidRDefault="00714EA0" w:rsidP="00714EA0">
      <w:pPr>
        <w:spacing w:line="360" w:lineRule="auto"/>
        <w:jc w:val="both"/>
        <w:rPr>
          <w:rFonts w:ascii="Arial" w:hAnsi="Arial" w:cs="Arial"/>
          <w:noProof/>
          <w:sz w:val="24"/>
          <w:szCs w:val="24"/>
          <w:lang w:val="en-GB"/>
        </w:rPr>
      </w:pPr>
      <w:r>
        <w:rPr>
          <w:noProof/>
        </w:rPr>
        <mc:AlternateContent>
          <mc:Choice Requires="wps">
            <w:drawing>
              <wp:anchor distT="0" distB="0" distL="114300" distR="114300" simplePos="0" relativeHeight="251662336" behindDoc="0" locked="0" layoutInCell="1" allowOverlap="1" wp14:anchorId="61A22C33" wp14:editId="25867C04">
                <wp:simplePos x="0" y="0"/>
                <wp:positionH relativeFrom="column">
                  <wp:posOffset>0</wp:posOffset>
                </wp:positionH>
                <wp:positionV relativeFrom="paragraph">
                  <wp:posOffset>5590540</wp:posOffset>
                </wp:positionV>
                <wp:extent cx="3048000" cy="635"/>
                <wp:effectExtent l="0" t="0" r="0" b="0"/>
                <wp:wrapSquare wrapText="bothSides"/>
                <wp:docPr id="9" name="Casella di testo 9"/>
                <wp:cNvGraphicFramePr/>
                <a:graphic xmlns:a="http://schemas.openxmlformats.org/drawingml/2006/main">
                  <a:graphicData uri="http://schemas.microsoft.com/office/word/2010/wordprocessingShape">
                    <wps:wsp>
                      <wps:cNvSpPr txBox="1"/>
                      <wps:spPr>
                        <a:xfrm>
                          <a:off x="0" y="0"/>
                          <a:ext cx="3048000" cy="635"/>
                        </a:xfrm>
                        <a:prstGeom prst="rect">
                          <a:avLst/>
                        </a:prstGeom>
                        <a:solidFill>
                          <a:prstClr val="white"/>
                        </a:solidFill>
                        <a:ln>
                          <a:noFill/>
                        </a:ln>
                      </wps:spPr>
                      <wps:txbx>
                        <w:txbxContent>
                          <w:p w14:paraId="519F75D1" w14:textId="3A1DF407" w:rsidR="00714EA0" w:rsidRPr="00A36358" w:rsidRDefault="00714EA0" w:rsidP="00714EA0">
                            <w:pPr>
                              <w:pStyle w:val="Didascalia"/>
                              <w:rPr>
                                <w:rFonts w:ascii="Arial" w:hAnsi="Arial" w:cs="Arial"/>
                                <w:noProof/>
                                <w:color w:val="auto"/>
                                <w:lang w:val="en-GB"/>
                              </w:rPr>
                            </w:pPr>
                            <w:bookmarkStart w:id="4" w:name="_Toc63158279"/>
                            <w:r w:rsidRPr="00A36358">
                              <w:rPr>
                                <w:rFonts w:ascii="Arial" w:hAnsi="Arial" w:cs="Arial"/>
                                <w:color w:val="auto"/>
                                <w:lang w:val="en-GB"/>
                              </w:rPr>
                              <w:t xml:space="preserve">Figure </w:t>
                            </w:r>
                            <w:r w:rsidRPr="00A36358">
                              <w:rPr>
                                <w:rFonts w:ascii="Arial" w:hAnsi="Arial" w:cs="Arial"/>
                                <w:color w:val="auto"/>
                                <w:lang w:val="en-GB"/>
                              </w:rPr>
                              <w:fldChar w:fldCharType="begin"/>
                            </w:r>
                            <w:r w:rsidRPr="00A36358">
                              <w:rPr>
                                <w:rFonts w:ascii="Arial" w:hAnsi="Arial" w:cs="Arial"/>
                                <w:color w:val="auto"/>
                                <w:lang w:val="en-GB"/>
                              </w:rPr>
                              <w:instrText xml:space="preserve"> SEQ Figure \* ARABIC </w:instrText>
                            </w:r>
                            <w:r w:rsidRPr="00A36358">
                              <w:rPr>
                                <w:rFonts w:ascii="Arial" w:hAnsi="Arial" w:cs="Arial"/>
                                <w:color w:val="auto"/>
                                <w:lang w:val="en-GB"/>
                              </w:rPr>
                              <w:fldChar w:fldCharType="separate"/>
                            </w:r>
                            <w:r w:rsidR="00DF1ABE">
                              <w:rPr>
                                <w:rFonts w:ascii="Arial" w:hAnsi="Arial" w:cs="Arial"/>
                                <w:noProof/>
                                <w:color w:val="auto"/>
                                <w:lang w:val="en-GB"/>
                              </w:rPr>
                              <w:t>4</w:t>
                            </w:r>
                            <w:r w:rsidRPr="00A36358">
                              <w:rPr>
                                <w:rFonts w:ascii="Arial" w:hAnsi="Arial" w:cs="Arial"/>
                                <w:color w:val="auto"/>
                                <w:lang w:val="en-GB"/>
                              </w:rPr>
                              <w:fldChar w:fldCharType="end"/>
                            </w:r>
                            <w:r w:rsidRPr="00A36358">
                              <w:rPr>
                                <w:rFonts w:ascii="Arial" w:hAnsi="Arial" w:cs="Arial"/>
                                <w:color w:val="auto"/>
                                <w:lang w:val="en-GB"/>
                              </w:rPr>
                              <w:t>:The 2019 Climate Change Policy</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A22C33" id="Casella di testo 9" o:spid="_x0000_s1027" type="#_x0000_t202" style="position:absolute;left:0;text-align:left;margin-left:0;margin-top:440.2pt;width:240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" stroked="f">
                <v:textbox style="mso-fit-shape-to-text:t" inset="0,0,0,0">
                  <w:txbxContent>
                    <w:p w14:paraId="519F75D1" w14:textId="3A1DF407" w:rsidR="00714EA0" w:rsidRPr="00A36358" w:rsidRDefault="00714EA0" w:rsidP="00714EA0">
                      <w:pPr>
                        <w:pStyle w:val="Didascalia"/>
                        <w:rPr>
                          <w:rFonts w:ascii="Arial" w:hAnsi="Arial" w:cs="Arial"/>
                          <w:noProof/>
                          <w:color w:val="auto"/>
                          <w:lang w:val="en-GB"/>
                        </w:rPr>
                      </w:pPr>
                      <w:bookmarkStart w:id="5" w:name="_Toc63158279"/>
                      <w:r w:rsidRPr="00A36358">
                        <w:rPr>
                          <w:rFonts w:ascii="Arial" w:hAnsi="Arial" w:cs="Arial"/>
                          <w:color w:val="auto"/>
                          <w:lang w:val="en-GB"/>
                        </w:rPr>
                        <w:t xml:space="preserve">Figure </w:t>
                      </w:r>
                      <w:r w:rsidRPr="00A36358">
                        <w:rPr>
                          <w:rFonts w:ascii="Arial" w:hAnsi="Arial" w:cs="Arial"/>
                          <w:color w:val="auto"/>
                          <w:lang w:val="en-GB"/>
                        </w:rPr>
                        <w:fldChar w:fldCharType="begin"/>
                      </w:r>
                      <w:r w:rsidRPr="00A36358">
                        <w:rPr>
                          <w:rFonts w:ascii="Arial" w:hAnsi="Arial" w:cs="Arial"/>
                          <w:color w:val="auto"/>
                          <w:lang w:val="en-GB"/>
                        </w:rPr>
                        <w:instrText xml:space="preserve"> SEQ Figure \* ARABIC </w:instrText>
                      </w:r>
                      <w:r w:rsidRPr="00A36358">
                        <w:rPr>
                          <w:rFonts w:ascii="Arial" w:hAnsi="Arial" w:cs="Arial"/>
                          <w:color w:val="auto"/>
                          <w:lang w:val="en-GB"/>
                        </w:rPr>
                        <w:fldChar w:fldCharType="separate"/>
                      </w:r>
                      <w:r w:rsidR="00DF1ABE">
                        <w:rPr>
                          <w:rFonts w:ascii="Arial" w:hAnsi="Arial" w:cs="Arial"/>
                          <w:noProof/>
                          <w:color w:val="auto"/>
                          <w:lang w:val="en-GB"/>
                        </w:rPr>
                        <w:t>4</w:t>
                      </w:r>
                      <w:r w:rsidRPr="00A36358">
                        <w:rPr>
                          <w:rFonts w:ascii="Arial" w:hAnsi="Arial" w:cs="Arial"/>
                          <w:color w:val="auto"/>
                          <w:lang w:val="en-GB"/>
                        </w:rPr>
                        <w:fldChar w:fldCharType="end"/>
                      </w:r>
                      <w:r w:rsidRPr="00A36358">
                        <w:rPr>
                          <w:rFonts w:ascii="Arial" w:hAnsi="Arial" w:cs="Arial"/>
                          <w:color w:val="auto"/>
                          <w:lang w:val="en-GB"/>
                        </w:rPr>
                        <w:t>:The 2019 Climate Change Policy</w:t>
                      </w:r>
                      <w:bookmarkEnd w:id="5"/>
                    </w:p>
                  </w:txbxContent>
                </v:textbox>
                <w10:wrap type="square"/>
              </v:shape>
            </w:pict>
          </mc:Fallback>
        </mc:AlternateContent>
      </w:r>
      <w:r>
        <w:rPr>
          <w:rFonts w:ascii="Arial" w:hAnsi="Arial" w:cs="Arial"/>
          <w:noProof/>
          <w:lang w:val="en-GB"/>
        </w:rPr>
        <w:drawing>
          <wp:anchor distT="0" distB="0" distL="114300" distR="114300" simplePos="0" relativeHeight="251660288" behindDoc="0" locked="0" layoutInCell="1" allowOverlap="1" wp14:anchorId="335076FA" wp14:editId="30F12046">
            <wp:simplePos x="0" y="0"/>
            <wp:positionH relativeFrom="margin">
              <wp:align>left</wp:align>
            </wp:positionH>
            <wp:positionV relativeFrom="paragraph">
              <wp:posOffset>786130</wp:posOffset>
            </wp:positionV>
            <wp:extent cx="3048000" cy="4747260"/>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2112" r="1347"/>
                    <a:stretch/>
                  </pic:blipFill>
                  <pic:spPr bwMode="auto">
                    <a:xfrm>
                      <a:off x="0" y="0"/>
                      <a:ext cx="3048000" cy="47472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rFonts w:ascii="Arial" w:hAnsi="Arial" w:cs="Arial"/>
          <w:noProof/>
          <w:lang w:val="en-GB"/>
        </w:rPr>
        <w:t>A</w:t>
      </w:r>
      <w:r w:rsidRPr="008C2884">
        <w:rPr>
          <w:rFonts w:ascii="Arial" w:hAnsi="Arial" w:cs="Arial"/>
          <w:noProof/>
          <w:sz w:val="24"/>
          <w:szCs w:val="24"/>
          <w:lang w:val="en-GB"/>
        </w:rPr>
        <w:t xml:space="preserve">ccording to scholars </w:t>
      </w:r>
      <w:r w:rsidRPr="008C2884">
        <w:rPr>
          <w:rFonts w:ascii="Arial" w:hAnsi="Arial" w:cs="Arial"/>
          <w:noProof/>
          <w:sz w:val="24"/>
          <w:szCs w:val="24"/>
          <w:lang w:val="en-GB"/>
        </w:rPr>
        <w:fldChar w:fldCharType="begin"/>
      </w:r>
      <w:r w:rsidRPr="008C2884">
        <w:rPr>
          <w:rFonts w:ascii="Arial" w:hAnsi="Arial" w:cs="Arial"/>
          <w:noProof/>
          <w:sz w:val="24"/>
          <w:szCs w:val="24"/>
          <w:lang w:val="en-GB"/>
        </w:rPr>
        <w:instrText xml:space="preserve"> ADDIN ZOTERO_ITEM CSL_CITATION {"citationID":"NuV73cPF","properties":{"formattedCitation":"(Echavarren et al., 2019; van der Linden, 2015)","plainCitation":"(Echavarren et al., 2019; van der Linden, 2015)","noteIndex":0},"citationItems":[{"id":8,"uris":["http://zotero.org/users/local/pE4cGXV6/items/2XUAJYI5"],"uri":["http://zotero.org/users/local/pE4cGXV6/items/2XUAJYI5"],"itemData":{"id":8,"type":"article-journal","abstract":"This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Pr="008C2884">
        <w:rPr>
          <w:rFonts w:ascii="Arial" w:hAnsi="Arial" w:cs="Arial"/>
          <w:noProof/>
          <w:sz w:val="24"/>
          <w:szCs w:val="24"/>
          <w:lang w:val="en-GB"/>
        </w:rPr>
        <w:fldChar w:fldCharType="separate"/>
      </w:r>
      <w:r w:rsidRPr="008C2884">
        <w:rPr>
          <w:rFonts w:ascii="Arial" w:hAnsi="Arial" w:cs="Arial"/>
          <w:sz w:val="24"/>
          <w:szCs w:val="24"/>
          <w:lang w:val="en-GB"/>
        </w:rPr>
        <w:t>(Echavarren et al., 2019; van der Linden, 2015)</w:t>
      </w:r>
      <w:r w:rsidRPr="008C2884">
        <w:rPr>
          <w:rFonts w:ascii="Arial" w:hAnsi="Arial" w:cs="Arial"/>
          <w:noProof/>
          <w:sz w:val="24"/>
          <w:szCs w:val="24"/>
          <w:lang w:val="en-GB"/>
        </w:rPr>
        <w:fldChar w:fldCharType="end"/>
      </w:r>
      <w:r w:rsidRPr="008C2884">
        <w:rPr>
          <w:rFonts w:ascii="Arial" w:hAnsi="Arial" w:cs="Arial"/>
          <w:noProof/>
          <w:sz w:val="24"/>
          <w:szCs w:val="24"/>
          <w:lang w:val="en-GB"/>
        </w:rPr>
        <w:t xml:space="preserve"> socio-cultural context influces individual attitudes towards climate change concerns. Therefore, the notable diferencess in attitudes across coutries should be also due to these indicators.  In fact, “sociological research suggests that contextual factors and processes can be powerful forces shaping how individuals and communities engage with the issue” </w:t>
      </w:r>
      <w:r w:rsidRPr="008C2884">
        <w:rPr>
          <w:rFonts w:ascii="Arial" w:hAnsi="Arial" w:cs="Arial"/>
          <w:noProof/>
          <w:sz w:val="24"/>
          <w:szCs w:val="24"/>
          <w:lang w:val="en-GB"/>
        </w:rPr>
        <w:fldChar w:fldCharType="begin"/>
      </w:r>
      <w:r w:rsidRPr="008C2884">
        <w:rPr>
          <w:rFonts w:ascii="Arial" w:hAnsi="Arial" w:cs="Arial"/>
          <w:noProof/>
          <w:sz w:val="24"/>
          <w:szCs w:val="24"/>
          <w:lang w:val="en-GB"/>
        </w:rPr>
        <w:instrText xml:space="preserve"> ADDIN ZOTERO_ITEM CSL_CITATION {"citationID":"eRpwFC0U","properties":{"formattedCitation":"(Lee et al., 2015)","plainCitation":"(Lee et al., 2015)","dontUpdate":true,"noteIndex":0},"citationItems":[{"id":21,"uris":["http://zotero.org/users/local/pE4cGXV6/items/8VAEV7ZR"],"uri":["http://zotero.org/users/local/pE4cGXV6/items/8VAEV7ZR"],"itemData":{"id":21,"type":"article-journal","container-title":"Nature Climate Change","DOI":"10.1038/nclimate2728","ISSN":"1758-678X, 1758-6798","issue":"11","journalAbbreviation":"Nature Clim Change","language":"en","page":"1014-1020","source":"DOI.org (Crossref)","title":"Predictors of public climate change awareness and risk perception around the world","volume":"5","author":[{"family":"Lee","given":"Tien Ming"},{"family":"Markowitz","given":"Ezra M."},{"family":"Howe","given":"Peter D."},{"family":"Ko","given":"Chia-Ying"},{"family":"Leiserowitz","given":"Anthony A."}],"issued":{"date-parts":[["2015",11]]}}}],"schema":"https://github.com/citation-style-language/schema/raw/master/csl-citation.json"} </w:instrText>
      </w:r>
      <w:r w:rsidRPr="008C2884">
        <w:rPr>
          <w:rFonts w:ascii="Arial" w:hAnsi="Arial" w:cs="Arial"/>
          <w:noProof/>
          <w:sz w:val="24"/>
          <w:szCs w:val="24"/>
          <w:lang w:val="en-GB"/>
        </w:rPr>
        <w:fldChar w:fldCharType="separate"/>
      </w:r>
      <w:r w:rsidRPr="008C2884">
        <w:rPr>
          <w:rFonts w:ascii="Arial" w:hAnsi="Arial" w:cs="Arial"/>
          <w:sz w:val="24"/>
          <w:szCs w:val="24"/>
          <w:lang w:val="en-GB"/>
        </w:rPr>
        <w:t>(Lee et al., 2015, p. 1014)</w:t>
      </w:r>
      <w:r w:rsidRPr="008C2884">
        <w:rPr>
          <w:rFonts w:ascii="Arial" w:hAnsi="Arial" w:cs="Arial"/>
          <w:noProof/>
          <w:sz w:val="24"/>
          <w:szCs w:val="24"/>
          <w:lang w:val="en-GB"/>
        </w:rPr>
        <w:fldChar w:fldCharType="end"/>
      </w:r>
      <w:r w:rsidRPr="008C2884">
        <w:rPr>
          <w:rFonts w:ascii="Arial" w:hAnsi="Arial" w:cs="Arial"/>
          <w:noProof/>
          <w:sz w:val="24"/>
          <w:szCs w:val="24"/>
          <w:lang w:val="en-GB"/>
        </w:rPr>
        <w:t>. There are different ecological tax reforms or cultural habits that affect and shape individual climate change attitudes and behavior.</w:t>
      </w:r>
    </w:p>
    <w:p w14:paraId="61C4D078" w14:textId="77777777" w:rsidR="00714EA0" w:rsidRPr="008C2884" w:rsidRDefault="00714EA0" w:rsidP="00714EA0">
      <w:pPr>
        <w:spacing w:line="360" w:lineRule="auto"/>
        <w:jc w:val="both"/>
        <w:rPr>
          <w:rFonts w:ascii="Arial" w:hAnsi="Arial" w:cs="Arial"/>
          <w:noProof/>
          <w:sz w:val="24"/>
          <w:szCs w:val="24"/>
          <w:lang w:val="en-GB"/>
        </w:rPr>
      </w:pPr>
      <w:r w:rsidRPr="008C2884">
        <w:rPr>
          <w:rFonts w:ascii="Arial" w:hAnsi="Arial" w:cs="Arial"/>
          <w:noProof/>
          <w:sz w:val="24"/>
          <w:szCs w:val="24"/>
          <w:lang w:val="en-GB"/>
        </w:rPr>
        <w:t xml:space="preserve">In this way, It is important to remember that these macro-factors should have an effect also in individual preferences. </w:t>
      </w:r>
    </w:p>
    <w:p w14:paraId="567E7A1D" w14:textId="77777777" w:rsidR="00714EA0" w:rsidRDefault="00714EA0" w:rsidP="00714EA0">
      <w:pPr>
        <w:spacing w:line="360" w:lineRule="auto"/>
        <w:jc w:val="both"/>
        <w:rPr>
          <w:rFonts w:ascii="Arial" w:hAnsi="Arial" w:cs="Arial"/>
          <w:noProof/>
          <w:lang w:val="en-GB"/>
        </w:rPr>
      </w:pPr>
    </w:p>
    <w:p w14:paraId="4D1F814D" w14:textId="77777777" w:rsidR="00714EA0" w:rsidRDefault="00714EA0" w:rsidP="00714EA0">
      <w:pPr>
        <w:spacing w:line="360" w:lineRule="auto"/>
        <w:jc w:val="both"/>
        <w:rPr>
          <w:rFonts w:ascii="Arial" w:hAnsi="Arial" w:cs="Arial"/>
          <w:noProof/>
          <w:lang w:val="en-GB"/>
        </w:rPr>
      </w:pPr>
    </w:p>
    <w:p w14:paraId="4CB04DD9" w14:textId="5A35839F" w:rsidR="00714EA0" w:rsidRDefault="00714EA0" w:rsidP="00714EA0">
      <w:pPr>
        <w:spacing w:line="360" w:lineRule="auto"/>
        <w:jc w:val="both"/>
        <w:rPr>
          <w:rFonts w:ascii="Arial" w:hAnsi="Arial" w:cs="Arial"/>
          <w:b/>
          <w:bCs/>
          <w:lang w:val="en-GB"/>
        </w:rPr>
      </w:pPr>
    </w:p>
    <w:p w14:paraId="5207577B" w14:textId="7EB3F906" w:rsidR="00DF1ABE" w:rsidRDefault="00DF1ABE" w:rsidP="00714EA0">
      <w:pPr>
        <w:spacing w:line="360" w:lineRule="auto"/>
        <w:jc w:val="both"/>
        <w:rPr>
          <w:rFonts w:ascii="Arial" w:hAnsi="Arial" w:cs="Arial"/>
          <w:b/>
          <w:bCs/>
          <w:lang w:val="en-GB"/>
        </w:rPr>
      </w:pPr>
    </w:p>
    <w:p w14:paraId="5965583C" w14:textId="1FF6D5C8" w:rsidR="00DF1ABE" w:rsidRDefault="00DF1ABE" w:rsidP="00714EA0">
      <w:pPr>
        <w:spacing w:line="360" w:lineRule="auto"/>
        <w:jc w:val="both"/>
        <w:rPr>
          <w:rFonts w:ascii="Arial" w:hAnsi="Arial" w:cs="Arial"/>
          <w:b/>
          <w:bCs/>
          <w:lang w:val="en-GB"/>
        </w:rPr>
      </w:pPr>
    </w:p>
    <w:p w14:paraId="225089FF" w14:textId="34F1D166" w:rsidR="00DF1ABE" w:rsidRDefault="00DF1ABE" w:rsidP="00714EA0">
      <w:pPr>
        <w:spacing w:line="360" w:lineRule="auto"/>
        <w:jc w:val="both"/>
        <w:rPr>
          <w:rFonts w:ascii="Arial" w:hAnsi="Arial" w:cs="Arial"/>
          <w:b/>
          <w:bCs/>
          <w:lang w:val="en-GB"/>
        </w:rPr>
      </w:pPr>
      <w:r>
        <w:rPr>
          <w:rFonts w:ascii="Arial" w:hAnsi="Arial" w:cs="Arial"/>
          <w:b/>
          <w:bCs/>
          <w:lang w:val="en-GB"/>
        </w:rPr>
        <w:lastRenderedPageBreak/>
        <w:t xml:space="preserve">Analysis: Data Exploratory </w:t>
      </w:r>
    </w:p>
    <w:p w14:paraId="3064F7F2" w14:textId="4DB2EB17" w:rsidR="00BF27EF" w:rsidRDefault="00BF27EF">
      <w:pPr>
        <w:rPr>
          <w:lang w:val="en-GB"/>
        </w:rPr>
      </w:pPr>
    </w:p>
    <w:p w14:paraId="7F512CD4" w14:textId="77777777" w:rsidR="00DF1ABE" w:rsidRDefault="00DF1ABE" w:rsidP="00DF1ABE">
      <w:pPr>
        <w:keepNext/>
      </w:pPr>
      <w:r>
        <w:rPr>
          <w:noProof/>
          <w:lang w:val="en-GB"/>
        </w:rPr>
        <w:drawing>
          <wp:inline distT="0" distB="0" distL="0" distR="0" wp14:anchorId="3DD62ABA" wp14:editId="5CF435AE">
            <wp:extent cx="5549279" cy="3691466"/>
            <wp:effectExtent l="0" t="0" r="0" b="444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65610" cy="3702330"/>
                    </a:xfrm>
                    <a:prstGeom prst="rect">
                      <a:avLst/>
                    </a:prstGeom>
                    <a:noFill/>
                    <a:ln>
                      <a:noFill/>
                    </a:ln>
                  </pic:spPr>
                </pic:pic>
              </a:graphicData>
            </a:graphic>
          </wp:inline>
        </w:drawing>
      </w:r>
    </w:p>
    <w:p w14:paraId="63F1B502" w14:textId="4DC301E4" w:rsidR="00714EA0" w:rsidRPr="0012347F" w:rsidRDefault="00DF1ABE" w:rsidP="00DF1ABE">
      <w:pPr>
        <w:pStyle w:val="Didascalia"/>
      </w:pPr>
      <w:r w:rsidRPr="00901A98">
        <w:rPr>
          <w:color w:val="auto"/>
        </w:rPr>
        <w:t xml:space="preserve">Figure </w:t>
      </w:r>
      <w:r w:rsidRPr="00901A98">
        <w:rPr>
          <w:color w:val="auto"/>
        </w:rPr>
        <w:fldChar w:fldCharType="begin"/>
      </w:r>
      <w:r w:rsidRPr="00901A98">
        <w:rPr>
          <w:color w:val="auto"/>
        </w:rPr>
        <w:instrText xml:space="preserve"> SEQ Figure \* ARABIC </w:instrText>
      </w:r>
      <w:r w:rsidRPr="00901A98">
        <w:rPr>
          <w:color w:val="auto"/>
        </w:rPr>
        <w:fldChar w:fldCharType="separate"/>
      </w:r>
      <w:r w:rsidRPr="00901A98">
        <w:rPr>
          <w:noProof/>
          <w:color w:val="auto"/>
        </w:rPr>
        <w:t>5</w:t>
      </w:r>
      <w:r w:rsidRPr="00901A98">
        <w:rPr>
          <w:color w:val="auto"/>
        </w:rPr>
        <w:fldChar w:fldCharType="end"/>
      </w:r>
      <w:r w:rsidRPr="00901A98">
        <w:rPr>
          <w:color w:val="auto"/>
        </w:rPr>
        <w:t>: CCA</w:t>
      </w:r>
    </w:p>
    <w:p w14:paraId="5C4E10CF" w14:textId="39E7AE24" w:rsidR="00714EA0" w:rsidRPr="0012347F" w:rsidRDefault="00714EA0"/>
    <w:p w14:paraId="081065DC" w14:textId="78206709" w:rsidR="00714EA0" w:rsidRPr="0012347F" w:rsidRDefault="00714EA0"/>
    <w:p w14:paraId="5B570653" w14:textId="77777777" w:rsidR="0012347F" w:rsidRDefault="0012347F">
      <w:pPr>
        <w:rPr>
          <w:rFonts w:ascii="PTSans-Bold" w:hAnsi="PTSans-Bold" w:cs="PTSans-Bold"/>
          <w:b/>
          <w:bCs/>
          <w:sz w:val="26"/>
          <w:szCs w:val="26"/>
        </w:rPr>
      </w:pPr>
    </w:p>
    <w:p w14:paraId="270B0527" w14:textId="029948E1" w:rsidR="0012347F" w:rsidRPr="003E3E8A" w:rsidRDefault="0012347F" w:rsidP="003E3E8A">
      <w:pPr>
        <w:autoSpaceDE w:val="0"/>
        <w:autoSpaceDN w:val="0"/>
        <w:adjustRightInd w:val="0"/>
        <w:spacing w:after="0" w:line="360" w:lineRule="auto"/>
        <w:jc w:val="both"/>
        <w:rPr>
          <w:rFonts w:ascii="Arial" w:hAnsi="Arial" w:cs="Arial"/>
          <w:sz w:val="24"/>
          <w:szCs w:val="24"/>
          <w:lang w:val="en-GB"/>
        </w:rPr>
      </w:pPr>
      <w:r w:rsidRPr="003E3E8A">
        <w:rPr>
          <w:rFonts w:ascii="Arial" w:hAnsi="Arial" w:cs="Arial"/>
          <w:sz w:val="24"/>
          <w:szCs w:val="24"/>
          <w:highlight w:val="yellow"/>
          <w:lang w:val="en-GB"/>
        </w:rPr>
        <w:t>The correlation matrices of each subgroup are therefore</w:t>
      </w:r>
      <w:r w:rsidR="003E3E8A" w:rsidRPr="003E3E8A">
        <w:rPr>
          <w:rFonts w:ascii="Arial" w:hAnsi="Arial" w:cs="Arial"/>
          <w:sz w:val="24"/>
          <w:szCs w:val="24"/>
          <w:highlight w:val="yellow"/>
          <w:lang w:val="en-GB"/>
        </w:rPr>
        <w:t xml:space="preserve"> </w:t>
      </w:r>
      <w:r w:rsidRPr="003E3E8A">
        <w:rPr>
          <w:rFonts w:ascii="Arial" w:hAnsi="Arial" w:cs="Arial"/>
          <w:sz w:val="24"/>
          <w:szCs w:val="24"/>
          <w:highlight w:val="yellow"/>
          <w:lang w:val="en-GB"/>
        </w:rPr>
        <w:t>illustrated as networks in figure 3: each</w:t>
      </w:r>
      <w:r w:rsidR="003E3E8A" w:rsidRPr="003E3E8A">
        <w:rPr>
          <w:rFonts w:ascii="Arial" w:hAnsi="Arial" w:cs="Arial"/>
          <w:sz w:val="24"/>
          <w:szCs w:val="24"/>
          <w:highlight w:val="yellow"/>
          <w:lang w:val="en-GB"/>
        </w:rPr>
        <w:t xml:space="preserve"> </w:t>
      </w:r>
      <w:r w:rsidRPr="003E3E8A">
        <w:rPr>
          <w:rFonts w:ascii="Arial" w:hAnsi="Arial" w:cs="Arial"/>
          <w:sz w:val="24"/>
          <w:szCs w:val="24"/>
          <w:highlight w:val="yellow"/>
          <w:lang w:val="en-GB"/>
        </w:rPr>
        <w:t>node corresponds to one</w:t>
      </w:r>
      <w:r w:rsidR="003E3E8A" w:rsidRPr="003E3E8A">
        <w:rPr>
          <w:rFonts w:ascii="Arial" w:hAnsi="Arial" w:cs="Arial"/>
          <w:sz w:val="24"/>
          <w:szCs w:val="24"/>
          <w:highlight w:val="yellow"/>
          <w:lang w:val="en-GB"/>
        </w:rPr>
        <w:t xml:space="preserve"> </w:t>
      </w:r>
      <w:r w:rsidRPr="003E3E8A">
        <w:rPr>
          <w:rFonts w:ascii="Arial" w:hAnsi="Arial" w:cs="Arial"/>
          <w:sz w:val="24"/>
          <w:szCs w:val="24"/>
          <w:highlight w:val="yellow"/>
          <w:lang w:val="en-GB"/>
        </w:rPr>
        <w:t>variable and the edges connecting them to statistically significant corre</w:t>
      </w:r>
      <w:r w:rsidR="003E3E8A" w:rsidRPr="003E3E8A">
        <w:rPr>
          <w:rFonts w:ascii="Arial" w:hAnsi="Arial" w:cs="Arial"/>
          <w:sz w:val="24"/>
          <w:szCs w:val="24"/>
          <w:highlight w:val="yellow"/>
          <w:lang w:val="en-GB"/>
        </w:rPr>
        <w:t>lations between variables.21 Each node is</w:t>
      </w:r>
      <w:r w:rsidR="003E3E8A" w:rsidRPr="003E3E8A">
        <w:rPr>
          <w:rFonts w:ascii="Arial" w:hAnsi="Arial" w:cs="Arial"/>
          <w:sz w:val="24"/>
          <w:szCs w:val="24"/>
          <w:highlight w:val="yellow"/>
          <w:lang w:val="en-GB"/>
        </w:rPr>
        <w:t xml:space="preserve"> </w:t>
      </w:r>
      <w:r w:rsidR="003E3E8A" w:rsidRPr="003E3E8A">
        <w:rPr>
          <w:rFonts w:ascii="Arial" w:hAnsi="Arial" w:cs="Arial"/>
          <w:sz w:val="24"/>
          <w:szCs w:val="24"/>
          <w:highlight w:val="yellow"/>
          <w:lang w:val="en-GB"/>
        </w:rPr>
        <w:t xml:space="preserve">also </w:t>
      </w:r>
      <w:proofErr w:type="spellStart"/>
      <w:r w:rsidR="003E3E8A" w:rsidRPr="003E3E8A">
        <w:rPr>
          <w:rFonts w:ascii="Arial" w:hAnsi="Arial" w:cs="Arial"/>
          <w:sz w:val="24"/>
          <w:szCs w:val="24"/>
          <w:highlight w:val="yellow"/>
          <w:lang w:val="en-GB"/>
        </w:rPr>
        <w:t>labeled</w:t>
      </w:r>
      <w:proofErr w:type="spellEnd"/>
      <w:r w:rsidR="003E3E8A" w:rsidRPr="003E3E8A">
        <w:rPr>
          <w:rFonts w:ascii="Arial" w:hAnsi="Arial" w:cs="Arial"/>
          <w:sz w:val="24"/>
          <w:szCs w:val="24"/>
          <w:highlight w:val="yellow"/>
          <w:lang w:val="en-GB"/>
        </w:rPr>
        <w:t xml:space="preserve"> by the value of its</w:t>
      </w:r>
      <w:r w:rsidR="003E3E8A" w:rsidRPr="003E3E8A">
        <w:rPr>
          <w:rFonts w:ascii="Arial" w:hAnsi="Arial" w:cs="Arial"/>
          <w:sz w:val="24"/>
          <w:szCs w:val="24"/>
          <w:highlight w:val="yellow"/>
          <w:lang w:val="en-GB"/>
        </w:rPr>
        <w:t xml:space="preserve"> </w:t>
      </w:r>
      <w:r w:rsidR="003E3E8A" w:rsidRPr="003E3E8A">
        <w:rPr>
          <w:rFonts w:ascii="Arial" w:hAnsi="Arial" w:cs="Arial"/>
          <w:sz w:val="24"/>
          <w:szCs w:val="24"/>
          <w:highlight w:val="yellow"/>
          <w:lang w:val="en-GB"/>
        </w:rPr>
        <w:t>weighted clustering coefficient (CC).22 The CC</w:t>
      </w:r>
      <w:r w:rsidR="003E3E8A" w:rsidRPr="003E3E8A">
        <w:rPr>
          <w:rFonts w:ascii="Arial" w:hAnsi="Arial" w:cs="Arial"/>
          <w:sz w:val="24"/>
          <w:szCs w:val="24"/>
          <w:highlight w:val="yellow"/>
          <w:lang w:val="en-GB"/>
        </w:rPr>
        <w:t xml:space="preserve"> </w:t>
      </w:r>
      <w:r w:rsidR="003E3E8A" w:rsidRPr="003E3E8A">
        <w:rPr>
          <w:rFonts w:ascii="Arial" w:hAnsi="Arial" w:cs="Arial"/>
          <w:sz w:val="24"/>
          <w:szCs w:val="24"/>
          <w:highlight w:val="yellow"/>
          <w:lang w:val="en-GB"/>
        </w:rPr>
        <w:t>measures the extent to</w:t>
      </w:r>
      <w:r w:rsidR="003E3E8A" w:rsidRPr="003E3E8A">
        <w:rPr>
          <w:rFonts w:ascii="Arial" w:hAnsi="Arial" w:cs="Arial"/>
          <w:sz w:val="24"/>
          <w:szCs w:val="24"/>
          <w:highlight w:val="yellow"/>
          <w:lang w:val="en-GB"/>
        </w:rPr>
        <w:t xml:space="preserve"> </w:t>
      </w:r>
      <w:r w:rsidR="003E3E8A" w:rsidRPr="003E3E8A">
        <w:rPr>
          <w:rFonts w:ascii="Arial" w:hAnsi="Arial" w:cs="Arial"/>
          <w:sz w:val="24"/>
          <w:szCs w:val="24"/>
          <w:highlight w:val="yellow"/>
          <w:lang w:val="en-GB"/>
        </w:rPr>
        <w:t xml:space="preserve">which the </w:t>
      </w:r>
      <w:proofErr w:type="spellStart"/>
      <w:r w:rsidR="003E3E8A" w:rsidRPr="003E3E8A">
        <w:rPr>
          <w:rFonts w:ascii="Arial" w:hAnsi="Arial" w:cs="Arial"/>
          <w:sz w:val="24"/>
          <w:szCs w:val="24"/>
          <w:highlight w:val="yellow"/>
          <w:lang w:val="en-GB"/>
        </w:rPr>
        <w:t>neighbors</w:t>
      </w:r>
      <w:proofErr w:type="spellEnd"/>
      <w:r w:rsidR="003E3E8A" w:rsidRPr="003E3E8A">
        <w:rPr>
          <w:rFonts w:ascii="Arial" w:hAnsi="Arial" w:cs="Arial"/>
          <w:sz w:val="24"/>
          <w:szCs w:val="24"/>
          <w:highlight w:val="yellow"/>
          <w:lang w:val="en-GB"/>
        </w:rPr>
        <w:t xml:space="preserve"> of that node are also correlated with</w:t>
      </w:r>
      <w:r w:rsidR="003E3E8A" w:rsidRPr="003E3E8A">
        <w:rPr>
          <w:rFonts w:ascii="Arial" w:hAnsi="Arial" w:cs="Arial"/>
          <w:sz w:val="24"/>
          <w:szCs w:val="24"/>
          <w:highlight w:val="yellow"/>
          <w:lang w:val="en-GB"/>
        </w:rPr>
        <w:t xml:space="preserve"> </w:t>
      </w:r>
      <w:r w:rsidR="003E3E8A" w:rsidRPr="003E3E8A">
        <w:rPr>
          <w:rFonts w:ascii="Arial" w:hAnsi="Arial" w:cs="Arial"/>
          <w:sz w:val="24"/>
          <w:szCs w:val="24"/>
          <w:highlight w:val="yellow"/>
          <w:lang w:val="en-GB"/>
        </w:rPr>
        <w:t>one another. A</w:t>
      </w:r>
      <w:r w:rsidR="003E3E8A" w:rsidRPr="003E3E8A">
        <w:rPr>
          <w:rFonts w:ascii="Arial" w:hAnsi="Arial" w:cs="Arial"/>
          <w:sz w:val="24"/>
          <w:szCs w:val="24"/>
          <w:highlight w:val="yellow"/>
          <w:lang w:val="en-GB"/>
        </w:rPr>
        <w:t xml:space="preserve"> </w:t>
      </w:r>
      <w:r w:rsidR="003E3E8A" w:rsidRPr="003E3E8A">
        <w:rPr>
          <w:rFonts w:ascii="Arial" w:hAnsi="Arial" w:cs="Arial"/>
          <w:sz w:val="24"/>
          <w:szCs w:val="24"/>
          <w:highlight w:val="yellow"/>
          <w:lang w:val="en-GB"/>
        </w:rPr>
        <w:t>high CC indicates that its corresponding genre is part of a strongly</w:t>
      </w:r>
      <w:r w:rsidR="003E3E8A" w:rsidRPr="003E3E8A">
        <w:rPr>
          <w:rFonts w:ascii="Arial" w:hAnsi="Arial" w:cs="Arial"/>
          <w:sz w:val="24"/>
          <w:szCs w:val="24"/>
          <w:highlight w:val="yellow"/>
          <w:lang w:val="en-GB"/>
        </w:rPr>
        <w:t xml:space="preserve"> </w:t>
      </w:r>
      <w:r w:rsidR="003E3E8A" w:rsidRPr="003E3E8A">
        <w:rPr>
          <w:rFonts w:ascii="Arial" w:hAnsi="Arial" w:cs="Arial"/>
          <w:sz w:val="24"/>
          <w:szCs w:val="24"/>
          <w:highlight w:val="yellow"/>
          <w:lang w:val="en-GB"/>
        </w:rPr>
        <w:t>connected</w:t>
      </w:r>
      <w:r w:rsidR="003E3E8A" w:rsidRPr="003E3E8A">
        <w:rPr>
          <w:rFonts w:ascii="Arial" w:hAnsi="Arial" w:cs="Arial"/>
          <w:sz w:val="24"/>
          <w:szCs w:val="24"/>
          <w:highlight w:val="yellow"/>
          <w:lang w:val="en-GB"/>
        </w:rPr>
        <w:t xml:space="preserve"> </w:t>
      </w:r>
      <w:r w:rsidR="003E3E8A" w:rsidRPr="003E3E8A">
        <w:rPr>
          <w:rFonts w:ascii="Arial" w:hAnsi="Arial" w:cs="Arial"/>
          <w:sz w:val="24"/>
          <w:szCs w:val="24"/>
          <w:highlight w:val="yellow"/>
          <w:lang w:val="en-GB"/>
        </w:rPr>
        <w:t>cluster of genres, suggesting that it is pivotal in sustaining the</w:t>
      </w:r>
      <w:r w:rsidR="003E3E8A" w:rsidRPr="003E3E8A">
        <w:rPr>
          <w:rFonts w:ascii="Arial" w:hAnsi="Arial" w:cs="Arial"/>
          <w:sz w:val="24"/>
          <w:szCs w:val="24"/>
          <w:highlight w:val="yellow"/>
          <w:lang w:val="en-GB"/>
        </w:rPr>
        <w:t xml:space="preserve"> </w:t>
      </w:r>
      <w:r w:rsidR="003E3E8A" w:rsidRPr="003E3E8A">
        <w:rPr>
          <w:rFonts w:ascii="Arial" w:hAnsi="Arial" w:cs="Arial"/>
          <w:sz w:val="24"/>
          <w:szCs w:val="24"/>
          <w:highlight w:val="yellow"/>
          <w:lang w:val="en-GB"/>
        </w:rPr>
        <w:t>interdependencies that produce the meaning structure it is part of.</w:t>
      </w:r>
    </w:p>
    <w:p w14:paraId="0E1DB45E" w14:textId="32AE8169" w:rsidR="00714EA0" w:rsidRDefault="00714EA0" w:rsidP="003E3E8A">
      <w:pPr>
        <w:spacing w:line="360" w:lineRule="auto"/>
        <w:jc w:val="both"/>
        <w:rPr>
          <w:rFonts w:ascii="Arial" w:hAnsi="Arial" w:cs="Arial"/>
          <w:sz w:val="24"/>
          <w:szCs w:val="24"/>
          <w:lang w:val="en-GB"/>
        </w:rPr>
      </w:pPr>
    </w:p>
    <w:p w14:paraId="6BA766B1" w14:textId="15B7B7B5" w:rsidR="003E3E8A" w:rsidRDefault="003E3E8A" w:rsidP="003E3E8A">
      <w:pPr>
        <w:spacing w:line="360" w:lineRule="auto"/>
        <w:jc w:val="both"/>
        <w:rPr>
          <w:rFonts w:ascii="Arial" w:hAnsi="Arial" w:cs="Arial"/>
          <w:sz w:val="24"/>
          <w:szCs w:val="24"/>
          <w:lang w:val="en-GB"/>
        </w:rPr>
      </w:pPr>
      <w:r>
        <w:rPr>
          <w:rFonts w:ascii="Arial" w:hAnsi="Arial" w:cs="Arial"/>
          <w:sz w:val="24"/>
          <w:szCs w:val="24"/>
          <w:lang w:val="en-GB"/>
        </w:rPr>
        <w:t>Group 1: A</w:t>
      </w:r>
      <w:r w:rsidRPr="003E3E8A">
        <w:rPr>
          <w:rFonts w:ascii="Arial" w:hAnsi="Arial" w:cs="Arial"/>
          <w:sz w:val="24"/>
          <w:szCs w:val="24"/>
          <w:lang w:val="en-GB"/>
        </w:rPr>
        <w:t xml:space="preserve">ll </w:t>
      </w:r>
      <w:r>
        <w:rPr>
          <w:rFonts w:ascii="Arial" w:hAnsi="Arial" w:cs="Arial"/>
          <w:sz w:val="24"/>
          <w:szCs w:val="24"/>
          <w:lang w:val="en-GB"/>
        </w:rPr>
        <w:t>variables</w:t>
      </w:r>
      <w:r w:rsidRPr="003E3E8A">
        <w:rPr>
          <w:rFonts w:ascii="Arial" w:hAnsi="Arial" w:cs="Arial"/>
          <w:sz w:val="24"/>
          <w:szCs w:val="24"/>
          <w:lang w:val="en-GB"/>
        </w:rPr>
        <w:t xml:space="preserve"> are positively correlated with one another</w:t>
      </w:r>
      <w:r>
        <w:rPr>
          <w:rFonts w:ascii="Arial" w:hAnsi="Arial" w:cs="Arial"/>
          <w:sz w:val="24"/>
          <w:szCs w:val="24"/>
          <w:lang w:val="en-GB"/>
        </w:rPr>
        <w:t xml:space="preserve">. Individuals of this class who </w:t>
      </w:r>
    </w:p>
    <w:p w14:paraId="0D1A0AD1" w14:textId="48303C0D" w:rsidR="003E3E8A" w:rsidRDefault="003E3E8A" w:rsidP="003E3E8A">
      <w:pPr>
        <w:spacing w:line="360" w:lineRule="auto"/>
        <w:jc w:val="both"/>
        <w:rPr>
          <w:rFonts w:ascii="Arial" w:hAnsi="Arial" w:cs="Arial"/>
          <w:sz w:val="24"/>
          <w:szCs w:val="24"/>
          <w:lang w:val="en-GB"/>
        </w:rPr>
      </w:pPr>
    </w:p>
    <w:p w14:paraId="7D7C9842" w14:textId="77777777" w:rsidR="003E3E8A" w:rsidRDefault="003E3E8A">
      <w:pPr>
        <w:rPr>
          <w:rFonts w:ascii="Arial" w:hAnsi="Arial" w:cs="Arial"/>
          <w:sz w:val="24"/>
          <w:szCs w:val="24"/>
          <w:lang w:val="en-GB"/>
        </w:rPr>
      </w:pPr>
      <w:r>
        <w:rPr>
          <w:rFonts w:ascii="Arial" w:hAnsi="Arial" w:cs="Arial"/>
          <w:sz w:val="24"/>
          <w:szCs w:val="24"/>
          <w:lang w:val="en-GB"/>
        </w:rPr>
        <w:br w:type="page"/>
      </w:r>
    </w:p>
    <w:p w14:paraId="7E4F6DB2" w14:textId="77777777" w:rsidR="003E3E8A" w:rsidRPr="003E3E8A" w:rsidRDefault="003E3E8A" w:rsidP="003E3E8A">
      <w:pPr>
        <w:spacing w:line="360" w:lineRule="auto"/>
        <w:jc w:val="both"/>
        <w:rPr>
          <w:rFonts w:ascii="Arial" w:hAnsi="Arial" w:cs="Arial"/>
          <w:sz w:val="24"/>
          <w:szCs w:val="24"/>
          <w:lang w:val="en-GB"/>
        </w:rPr>
      </w:pPr>
    </w:p>
    <w:p w14:paraId="01EDEF15" w14:textId="77777777" w:rsidR="00714EA0" w:rsidRDefault="00714EA0" w:rsidP="00714EA0">
      <w:pPr>
        <w:pStyle w:val="Bibliografia"/>
        <w:rPr>
          <w:lang w:val="en-GB"/>
        </w:rPr>
      </w:pPr>
      <w:r>
        <w:rPr>
          <w:lang w:val="en-GB"/>
        </w:rPr>
        <w:t xml:space="preserve">REFERENCES </w:t>
      </w:r>
    </w:p>
    <w:p w14:paraId="75C17FAF" w14:textId="2E0B48A0" w:rsidR="00714EA0" w:rsidRPr="00714EA0" w:rsidRDefault="00714EA0" w:rsidP="00714EA0">
      <w:pPr>
        <w:pStyle w:val="Bibliografia"/>
        <w:rPr>
          <w:rFonts w:ascii="Calibri" w:hAnsi="Calibri" w:cs="Calibri"/>
          <w:szCs w:val="24"/>
          <w:lang w:val="en-GB"/>
        </w:rPr>
      </w:pPr>
      <w:r>
        <w:rPr>
          <w:lang w:val="en-GB"/>
        </w:rPr>
        <w:fldChar w:fldCharType="begin"/>
      </w:r>
      <w:r>
        <w:rPr>
          <w:lang w:val="en-GB"/>
        </w:rPr>
        <w:instrText xml:space="preserve"> ADDIN ZOTERO_BIBL {"uncited":[],"omitted":[],"custom":[]} CSL_BIBLIOGRAPHY </w:instrText>
      </w:r>
      <w:r>
        <w:rPr>
          <w:lang w:val="en-GB"/>
        </w:rPr>
        <w:fldChar w:fldCharType="separate"/>
      </w:r>
      <w:r w:rsidRPr="00714EA0">
        <w:rPr>
          <w:rFonts w:ascii="Calibri" w:hAnsi="Calibri" w:cs="Calibri"/>
          <w:szCs w:val="24"/>
          <w:lang w:val="en-GB"/>
        </w:rPr>
        <w:t xml:space="preserve">Burck, J. (2018). </w:t>
      </w:r>
      <w:r w:rsidRPr="00714EA0">
        <w:rPr>
          <w:rFonts w:ascii="Calibri" w:hAnsi="Calibri" w:cs="Calibri"/>
          <w:i/>
          <w:iCs/>
          <w:szCs w:val="24"/>
          <w:lang w:val="en-GB"/>
        </w:rPr>
        <w:t>CCPI, climate change performance index background and methodology</w:t>
      </w:r>
      <w:r w:rsidRPr="00714EA0">
        <w:rPr>
          <w:rFonts w:ascii="Calibri" w:hAnsi="Calibri" w:cs="Calibri"/>
          <w:szCs w:val="24"/>
          <w:lang w:val="en-GB"/>
        </w:rPr>
        <w:t>.</w:t>
      </w:r>
    </w:p>
    <w:p w14:paraId="1B4C4AA5" w14:textId="77777777" w:rsidR="00714EA0" w:rsidRPr="00714EA0" w:rsidRDefault="00714EA0" w:rsidP="00714EA0">
      <w:pPr>
        <w:pStyle w:val="Bibliografia"/>
        <w:rPr>
          <w:rFonts w:ascii="Calibri" w:hAnsi="Calibri" w:cs="Calibri"/>
          <w:szCs w:val="24"/>
          <w:lang w:val="en-GB"/>
        </w:rPr>
      </w:pPr>
      <w:r w:rsidRPr="00714EA0">
        <w:rPr>
          <w:rFonts w:ascii="Calibri" w:hAnsi="Calibri" w:cs="Calibri"/>
          <w:szCs w:val="24"/>
          <w:lang w:val="en-GB"/>
        </w:rPr>
        <w:t xml:space="preserve">Echavarren, J. M., Balžekienė, A., &amp; Telešienė, A. (2019). Multilevel analysis of climate change risk perception in Europe: Natural hazards, political contexts and mediating individual effects. </w:t>
      </w:r>
      <w:r w:rsidRPr="00714EA0">
        <w:rPr>
          <w:rFonts w:ascii="Calibri" w:hAnsi="Calibri" w:cs="Calibri"/>
          <w:i/>
          <w:iCs/>
          <w:szCs w:val="24"/>
          <w:lang w:val="en-GB"/>
        </w:rPr>
        <w:t>Safety Science</w:t>
      </w:r>
      <w:r w:rsidRPr="00714EA0">
        <w:rPr>
          <w:rFonts w:ascii="Calibri" w:hAnsi="Calibri" w:cs="Calibri"/>
          <w:szCs w:val="24"/>
          <w:lang w:val="en-GB"/>
        </w:rPr>
        <w:t xml:space="preserve">, </w:t>
      </w:r>
      <w:r w:rsidRPr="00714EA0">
        <w:rPr>
          <w:rFonts w:ascii="Calibri" w:hAnsi="Calibri" w:cs="Calibri"/>
          <w:i/>
          <w:iCs/>
          <w:szCs w:val="24"/>
          <w:lang w:val="en-GB"/>
        </w:rPr>
        <w:t>120</w:t>
      </w:r>
      <w:r w:rsidRPr="00714EA0">
        <w:rPr>
          <w:rFonts w:ascii="Calibri" w:hAnsi="Calibri" w:cs="Calibri"/>
          <w:szCs w:val="24"/>
          <w:lang w:val="en-GB"/>
        </w:rPr>
        <w:t>, 813–823. https://doi.org/10.1016/j.ssci.2019.08.024</w:t>
      </w:r>
    </w:p>
    <w:p w14:paraId="58D86F56" w14:textId="77777777" w:rsidR="00714EA0" w:rsidRPr="00714EA0" w:rsidRDefault="00714EA0" w:rsidP="00714EA0">
      <w:pPr>
        <w:pStyle w:val="Bibliografia"/>
        <w:rPr>
          <w:rFonts w:ascii="Calibri" w:hAnsi="Calibri" w:cs="Calibri"/>
          <w:szCs w:val="24"/>
          <w:lang w:val="en-GB"/>
        </w:rPr>
      </w:pPr>
      <w:r w:rsidRPr="00714EA0">
        <w:rPr>
          <w:rFonts w:ascii="Calibri" w:hAnsi="Calibri" w:cs="Calibri"/>
          <w:szCs w:val="24"/>
          <w:lang w:val="en-GB"/>
        </w:rPr>
        <w:t xml:space="preserve">Krajhanzl, J. (2010). </w:t>
      </w:r>
      <w:r w:rsidRPr="00714EA0">
        <w:rPr>
          <w:rFonts w:ascii="Calibri" w:hAnsi="Calibri" w:cs="Calibri"/>
          <w:i/>
          <w:iCs/>
          <w:szCs w:val="24"/>
          <w:lang w:val="en-GB"/>
        </w:rPr>
        <w:t>Environmental and Pro-environmental Behavior</w:t>
      </w:r>
      <w:r w:rsidRPr="00714EA0">
        <w:rPr>
          <w:rFonts w:ascii="Calibri" w:hAnsi="Calibri" w:cs="Calibri"/>
          <w:szCs w:val="24"/>
          <w:lang w:val="en-GB"/>
        </w:rPr>
        <w:t xml:space="preserve">. </w:t>
      </w:r>
      <w:r w:rsidRPr="00714EA0">
        <w:rPr>
          <w:rFonts w:ascii="Calibri" w:hAnsi="Calibri" w:cs="Calibri"/>
          <w:i/>
          <w:iCs/>
          <w:szCs w:val="24"/>
          <w:lang w:val="en-GB"/>
        </w:rPr>
        <w:t>School and Health</w:t>
      </w:r>
      <w:r w:rsidRPr="00714EA0">
        <w:rPr>
          <w:rFonts w:ascii="Calibri" w:hAnsi="Calibri" w:cs="Calibri"/>
          <w:szCs w:val="24"/>
          <w:lang w:val="en-GB"/>
        </w:rPr>
        <w:t>, 251–274.</w:t>
      </w:r>
    </w:p>
    <w:p w14:paraId="02341674" w14:textId="77777777" w:rsidR="00714EA0" w:rsidRPr="00714EA0" w:rsidRDefault="00714EA0" w:rsidP="00714EA0">
      <w:pPr>
        <w:pStyle w:val="Bibliografia"/>
        <w:rPr>
          <w:rFonts w:ascii="Calibri" w:hAnsi="Calibri" w:cs="Calibri"/>
          <w:szCs w:val="24"/>
          <w:lang w:val="en-GB"/>
        </w:rPr>
      </w:pPr>
      <w:r w:rsidRPr="00714EA0">
        <w:rPr>
          <w:rFonts w:ascii="Calibri" w:hAnsi="Calibri" w:cs="Calibri"/>
          <w:szCs w:val="24"/>
          <w:lang w:val="en-GB"/>
        </w:rPr>
        <w:t xml:space="preserve">Lee, T. M., Markowitz, E. M., Howe, P. D., Ko, C.-Y., &amp; Leiserowitz, A. A. (2015). Predictors of public climate change awareness and risk perception around the world. </w:t>
      </w:r>
      <w:r w:rsidRPr="00714EA0">
        <w:rPr>
          <w:rFonts w:ascii="Calibri" w:hAnsi="Calibri" w:cs="Calibri"/>
          <w:i/>
          <w:iCs/>
          <w:szCs w:val="24"/>
          <w:lang w:val="en-GB"/>
        </w:rPr>
        <w:t>Nature Climate Change</w:t>
      </w:r>
      <w:r w:rsidRPr="00714EA0">
        <w:rPr>
          <w:rFonts w:ascii="Calibri" w:hAnsi="Calibri" w:cs="Calibri"/>
          <w:szCs w:val="24"/>
          <w:lang w:val="en-GB"/>
        </w:rPr>
        <w:t xml:space="preserve">, </w:t>
      </w:r>
      <w:r w:rsidRPr="00714EA0">
        <w:rPr>
          <w:rFonts w:ascii="Calibri" w:hAnsi="Calibri" w:cs="Calibri"/>
          <w:i/>
          <w:iCs/>
          <w:szCs w:val="24"/>
          <w:lang w:val="en-GB"/>
        </w:rPr>
        <w:t>5</w:t>
      </w:r>
      <w:r w:rsidRPr="00714EA0">
        <w:rPr>
          <w:rFonts w:ascii="Calibri" w:hAnsi="Calibri" w:cs="Calibri"/>
          <w:szCs w:val="24"/>
          <w:lang w:val="en-GB"/>
        </w:rPr>
        <w:t>(11), 1014–1020. https://doi.org/10.1038/nclimate2728</w:t>
      </w:r>
    </w:p>
    <w:p w14:paraId="234E1C4F" w14:textId="77777777" w:rsidR="00714EA0" w:rsidRPr="00714EA0" w:rsidRDefault="00714EA0" w:rsidP="00714EA0">
      <w:pPr>
        <w:pStyle w:val="Bibliografia"/>
        <w:rPr>
          <w:rFonts w:ascii="Calibri" w:hAnsi="Calibri" w:cs="Calibri"/>
          <w:szCs w:val="24"/>
          <w:lang w:val="en-GB"/>
        </w:rPr>
      </w:pPr>
      <w:r w:rsidRPr="00714EA0">
        <w:rPr>
          <w:rFonts w:ascii="Calibri" w:hAnsi="Calibri" w:cs="Calibri"/>
          <w:szCs w:val="24"/>
          <w:lang w:val="en-GB"/>
        </w:rPr>
        <w:t xml:space="preserve">van der Linden, S. (2015). The social-psychological determinants of climate change risk perceptions: Towards a comprehensive model. </w:t>
      </w:r>
      <w:r w:rsidRPr="00714EA0">
        <w:rPr>
          <w:rFonts w:ascii="Calibri" w:hAnsi="Calibri" w:cs="Calibri"/>
          <w:i/>
          <w:iCs/>
          <w:szCs w:val="24"/>
          <w:lang w:val="en-GB"/>
        </w:rPr>
        <w:t>Journal of Environmental Psychology</w:t>
      </w:r>
      <w:r w:rsidRPr="00714EA0">
        <w:rPr>
          <w:rFonts w:ascii="Calibri" w:hAnsi="Calibri" w:cs="Calibri"/>
          <w:szCs w:val="24"/>
          <w:lang w:val="en-GB"/>
        </w:rPr>
        <w:t xml:space="preserve">, </w:t>
      </w:r>
      <w:r w:rsidRPr="00714EA0">
        <w:rPr>
          <w:rFonts w:ascii="Calibri" w:hAnsi="Calibri" w:cs="Calibri"/>
          <w:i/>
          <w:iCs/>
          <w:szCs w:val="24"/>
          <w:lang w:val="en-GB"/>
        </w:rPr>
        <w:t>41</w:t>
      </w:r>
      <w:r w:rsidRPr="00714EA0">
        <w:rPr>
          <w:rFonts w:ascii="Calibri" w:hAnsi="Calibri" w:cs="Calibri"/>
          <w:szCs w:val="24"/>
          <w:lang w:val="en-GB"/>
        </w:rPr>
        <w:t>, 112–124. https://doi.org/10.1016/j.jenvp.2014.11.012</w:t>
      </w:r>
    </w:p>
    <w:p w14:paraId="06A0D713" w14:textId="77777777" w:rsidR="00714EA0" w:rsidRPr="00714EA0" w:rsidRDefault="00714EA0" w:rsidP="00714EA0">
      <w:pPr>
        <w:pStyle w:val="Bibliografia"/>
        <w:rPr>
          <w:rFonts w:ascii="Calibri" w:hAnsi="Calibri" w:cs="Calibri"/>
          <w:szCs w:val="24"/>
          <w:lang w:val="en-GB"/>
        </w:rPr>
      </w:pPr>
      <w:r w:rsidRPr="00714EA0">
        <w:rPr>
          <w:rFonts w:ascii="Calibri" w:hAnsi="Calibri" w:cs="Calibri"/>
          <w:szCs w:val="24"/>
          <w:lang w:val="en-GB"/>
        </w:rPr>
        <w:t xml:space="preserve">Xie, B., Brewer, M. B., Hayes, B. K., McDonald, R. I., &amp; Newell, B. R. (2019). Predicting climate change risk perception and willingness to act. </w:t>
      </w:r>
      <w:r w:rsidRPr="00714EA0">
        <w:rPr>
          <w:rFonts w:ascii="Calibri" w:hAnsi="Calibri" w:cs="Calibri"/>
          <w:i/>
          <w:iCs/>
          <w:szCs w:val="24"/>
          <w:lang w:val="en-GB"/>
        </w:rPr>
        <w:t>Journal of Environmental Psychology</w:t>
      </w:r>
      <w:r w:rsidRPr="00714EA0">
        <w:rPr>
          <w:rFonts w:ascii="Calibri" w:hAnsi="Calibri" w:cs="Calibri"/>
          <w:szCs w:val="24"/>
          <w:lang w:val="en-GB"/>
        </w:rPr>
        <w:t xml:space="preserve">, </w:t>
      </w:r>
      <w:r w:rsidRPr="00714EA0">
        <w:rPr>
          <w:rFonts w:ascii="Calibri" w:hAnsi="Calibri" w:cs="Calibri"/>
          <w:i/>
          <w:iCs/>
          <w:szCs w:val="24"/>
          <w:lang w:val="en-GB"/>
        </w:rPr>
        <w:t>65</w:t>
      </w:r>
      <w:r w:rsidRPr="00714EA0">
        <w:rPr>
          <w:rFonts w:ascii="Calibri" w:hAnsi="Calibri" w:cs="Calibri"/>
          <w:szCs w:val="24"/>
          <w:lang w:val="en-GB"/>
        </w:rPr>
        <w:t>, 101331. https://doi.org/10.1016/j.jenvp.2019.101331</w:t>
      </w:r>
    </w:p>
    <w:p w14:paraId="6367AC3F" w14:textId="77777777" w:rsidR="00714EA0" w:rsidRPr="00714EA0" w:rsidRDefault="00714EA0" w:rsidP="00714EA0">
      <w:pPr>
        <w:pStyle w:val="Bibliografia"/>
        <w:rPr>
          <w:rFonts w:ascii="Calibri" w:hAnsi="Calibri" w:cs="Calibri"/>
          <w:szCs w:val="24"/>
          <w:lang w:val="en-GB"/>
        </w:rPr>
      </w:pPr>
      <w:r w:rsidRPr="00714EA0">
        <w:rPr>
          <w:rFonts w:ascii="Calibri" w:hAnsi="Calibri" w:cs="Calibri"/>
          <w:szCs w:val="24"/>
          <w:lang w:val="en-GB"/>
        </w:rPr>
        <w:t xml:space="preserve">Yale Center for Environmental Law &amp; Policy. (2020). </w:t>
      </w:r>
      <w:r w:rsidRPr="00714EA0">
        <w:rPr>
          <w:rFonts w:ascii="Calibri" w:hAnsi="Calibri" w:cs="Calibri"/>
          <w:i/>
          <w:iCs/>
          <w:szCs w:val="24"/>
          <w:lang w:val="en-GB"/>
        </w:rPr>
        <w:t>Environmental Performance Index 2020</w:t>
      </w:r>
      <w:r w:rsidRPr="00714EA0">
        <w:rPr>
          <w:rFonts w:ascii="Calibri" w:hAnsi="Calibri" w:cs="Calibri"/>
          <w:szCs w:val="24"/>
          <w:lang w:val="en-GB"/>
        </w:rPr>
        <w:t>. https://epi.yale.edu/</w:t>
      </w:r>
    </w:p>
    <w:p w14:paraId="3B653663" w14:textId="194AA5AD" w:rsidR="00714EA0" w:rsidRPr="00714EA0" w:rsidRDefault="00714EA0">
      <w:pPr>
        <w:rPr>
          <w:lang w:val="en-GB"/>
        </w:rPr>
      </w:pPr>
      <w:r>
        <w:rPr>
          <w:lang w:val="en-GB"/>
        </w:rPr>
        <w:fldChar w:fldCharType="end"/>
      </w:r>
    </w:p>
    <w:sectPr w:rsidR="00714EA0" w:rsidRPr="00714EA0" w:rsidSect="00B056DB">
      <w:footerReference w:type="default" r:id="rId11"/>
      <w:pgSz w:w="11906" w:h="16838"/>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C88AB8" w14:textId="77777777" w:rsidR="00280428" w:rsidRDefault="00280428" w:rsidP="00714EA0">
      <w:pPr>
        <w:spacing w:after="0" w:line="240" w:lineRule="auto"/>
      </w:pPr>
      <w:r>
        <w:separator/>
      </w:r>
    </w:p>
  </w:endnote>
  <w:endnote w:type="continuationSeparator" w:id="0">
    <w:p w14:paraId="6D3B918E" w14:textId="77777777" w:rsidR="00280428" w:rsidRDefault="00280428" w:rsidP="00714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TSans-Bold">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0044530"/>
      <w:docPartObj>
        <w:docPartGallery w:val="Page Numbers (Bottom of Page)"/>
        <w:docPartUnique/>
      </w:docPartObj>
    </w:sdtPr>
    <w:sdtEndPr/>
    <w:sdtContent>
      <w:p w14:paraId="24C61C74" w14:textId="767E6CFE" w:rsidR="00714EA0" w:rsidRDefault="00714EA0">
        <w:pPr>
          <w:pStyle w:val="Pidipagina"/>
          <w:jc w:val="center"/>
        </w:pPr>
        <w:r>
          <w:fldChar w:fldCharType="begin"/>
        </w:r>
        <w:r>
          <w:instrText>PAGE   \* MERGEFORMAT</w:instrText>
        </w:r>
        <w:r>
          <w:fldChar w:fldCharType="separate"/>
        </w:r>
        <w:r>
          <w:t>2</w:t>
        </w:r>
        <w:r>
          <w:fldChar w:fldCharType="end"/>
        </w:r>
      </w:p>
    </w:sdtContent>
  </w:sdt>
  <w:p w14:paraId="7E343A94" w14:textId="77777777" w:rsidR="00714EA0" w:rsidRDefault="00714EA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D55543" w14:textId="77777777" w:rsidR="00280428" w:rsidRDefault="00280428" w:rsidP="00714EA0">
      <w:pPr>
        <w:spacing w:after="0" w:line="240" w:lineRule="auto"/>
      </w:pPr>
      <w:r>
        <w:separator/>
      </w:r>
    </w:p>
  </w:footnote>
  <w:footnote w:type="continuationSeparator" w:id="0">
    <w:p w14:paraId="400E99DE" w14:textId="77777777" w:rsidR="00280428" w:rsidRDefault="00280428" w:rsidP="00714E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M0MjaxtDAzNjYxMzFV0lEKTi0uzszPAykwqgUAp4/y0ywAAAA="/>
  </w:docVars>
  <w:rsids>
    <w:rsidRoot w:val="00714EA0"/>
    <w:rsid w:val="0012347F"/>
    <w:rsid w:val="00280428"/>
    <w:rsid w:val="003E3E8A"/>
    <w:rsid w:val="00714EA0"/>
    <w:rsid w:val="00901A98"/>
    <w:rsid w:val="00B056DB"/>
    <w:rsid w:val="00BF27EF"/>
    <w:rsid w:val="00D3687E"/>
    <w:rsid w:val="00D76BE7"/>
    <w:rsid w:val="00DF1AB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5DA93"/>
  <w15:chartTrackingRefBased/>
  <w15:docId w15:val="{1884C2F5-8C08-4A62-B7EA-93DA5FB43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14EA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Didascalia">
    <w:name w:val="caption"/>
    <w:basedOn w:val="Normale"/>
    <w:next w:val="Normale"/>
    <w:uiPriority w:val="35"/>
    <w:unhideWhenUsed/>
    <w:qFormat/>
    <w:rsid w:val="00714EA0"/>
    <w:pPr>
      <w:spacing w:after="200" w:line="240" w:lineRule="auto"/>
    </w:pPr>
    <w:rPr>
      <w:i/>
      <w:iCs/>
      <w:color w:val="44546A" w:themeColor="text2"/>
      <w:sz w:val="18"/>
      <w:szCs w:val="18"/>
    </w:rPr>
  </w:style>
  <w:style w:type="paragraph" w:styleId="Bibliografia">
    <w:name w:val="Bibliography"/>
    <w:basedOn w:val="Normale"/>
    <w:next w:val="Normale"/>
    <w:uiPriority w:val="37"/>
    <w:unhideWhenUsed/>
    <w:rsid w:val="00714EA0"/>
    <w:pPr>
      <w:spacing w:after="0" w:line="480" w:lineRule="auto"/>
      <w:ind w:left="720" w:hanging="720"/>
    </w:pPr>
  </w:style>
  <w:style w:type="paragraph" w:styleId="Intestazione">
    <w:name w:val="header"/>
    <w:basedOn w:val="Normale"/>
    <w:link w:val="IntestazioneCarattere"/>
    <w:uiPriority w:val="99"/>
    <w:unhideWhenUsed/>
    <w:rsid w:val="00714EA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14EA0"/>
  </w:style>
  <w:style w:type="paragraph" w:styleId="Pidipagina">
    <w:name w:val="footer"/>
    <w:basedOn w:val="Normale"/>
    <w:link w:val="PidipaginaCarattere"/>
    <w:uiPriority w:val="99"/>
    <w:unhideWhenUsed/>
    <w:rsid w:val="00714EA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14E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4149</Words>
  <Characters>23652</Characters>
  <Application>Microsoft Office Word</Application>
  <DocSecurity>0</DocSecurity>
  <Lines>197</Lines>
  <Paragraphs>55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Giuspoli</dc:creator>
  <cp:keywords/>
  <dc:description/>
  <cp:lastModifiedBy>Claudia Giuspoli</cp:lastModifiedBy>
  <cp:revision>3</cp:revision>
  <dcterms:created xsi:type="dcterms:W3CDTF">2021-02-04T14:44:00Z</dcterms:created>
  <dcterms:modified xsi:type="dcterms:W3CDTF">2021-02-04T18:14:00Z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id="MW2IGpcG"/&gt;&lt;style id="http://www.zotero.org/styles/apa" locale="it-IT"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