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C90879" w:rsidRDefault="00844A2D" w:rsidP="00844A2D">
      <w:pPr>
        <w:autoSpaceDE w:val="0"/>
        <w:autoSpaceDN w:val="0"/>
        <w:adjustRightInd w:val="0"/>
        <w:spacing w:after="0" w:line="240" w:lineRule="auto"/>
        <w:jc w:val="both"/>
        <w:rPr>
          <w:rFonts w:ascii="Times New Roman" w:hAnsi="Times New Roman" w:cs="Times New Roman"/>
          <w:sz w:val="26"/>
          <w:szCs w:val="26"/>
        </w:rPr>
      </w:pPr>
      <w:r w:rsidRPr="00C90879">
        <w:rPr>
          <w:rFonts w:ascii="Times New Roman" w:hAnsi="Times New Roman" w:cs="Times New Roman"/>
          <w:sz w:val="26"/>
          <w:szCs w:val="26"/>
        </w:rPr>
        <w:t xml:space="preserve">Psychology in UI/UX design </w:t>
      </w:r>
    </w:p>
    <w:p w14:paraId="3F25AC87"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 xml:space="preserve">ACM - H.5 INFORMATION INTERFACES AND PRESENTATION </w:t>
      </w:r>
    </w:p>
    <w:p w14:paraId="23588FD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H.5.2 User Interfaces</w:t>
      </w:r>
    </w:p>
    <w:p w14:paraId="1792C19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MSC - 68Uxx Computing methodologies and applications</w:t>
      </w:r>
    </w:p>
    <w:p w14:paraId="74195DD9"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68U35 Information systems (hypertext navigation, interfaces, decision support, etc.)</w:t>
      </w:r>
    </w:p>
    <w:p w14:paraId="0C323D2E" w14:textId="77777777" w:rsidR="00844A2D" w:rsidRDefault="00844A2D" w:rsidP="00844A2D">
      <w:pPr>
        <w:ind w:left="360" w:hanging="360"/>
        <w:jc w:val="both"/>
      </w:pPr>
    </w:p>
    <w:p w14:paraId="7E61BE30" w14:textId="77777777" w:rsidR="00844A2D" w:rsidRPr="003713B2" w:rsidRDefault="00844A2D" w:rsidP="00844A2D">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u w:val="single"/>
        </w:rPr>
        <w:t>Schita cuprinsului lucrarii:</w:t>
      </w:r>
    </w:p>
    <w:p w14:paraId="06CA2549"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Introducere</w:t>
      </w:r>
    </w:p>
    <w:p w14:paraId="14052016"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Folosirea psihologiei cognitive</w:t>
      </w:r>
    </w:p>
    <w:p w14:paraId="23ACB92C"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GUI bazat pe personalitate</w:t>
      </w:r>
    </w:p>
    <w:p w14:paraId="344883E8"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Experienta utilizatorului in functie de cultura</w:t>
      </w:r>
    </w:p>
    <w:p w14:paraId="5CF93A97"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Alti factori</w:t>
      </w:r>
    </w:p>
    <w:p w14:paraId="60498E7E"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Concluzie</w:t>
      </w:r>
    </w:p>
    <w:p w14:paraId="00EC573C" w14:textId="77777777" w:rsidR="00844A2D" w:rsidRPr="00ED6D09" w:rsidRDefault="00844A2D" w:rsidP="00844A2D">
      <w:pPr>
        <w:jc w:val="both"/>
        <w:rPr>
          <w:rFonts w:ascii="Times New Roman" w:hAnsi="Times New Roman" w:cs="Times New Roman"/>
          <w:sz w:val="26"/>
          <w:szCs w:val="26"/>
        </w:rPr>
      </w:pPr>
    </w:p>
    <w:p w14:paraId="05DB5C03" w14:textId="77777777" w:rsidR="00844A2D" w:rsidRPr="003713B2" w:rsidRDefault="00844A2D" w:rsidP="00844A2D">
      <w:pPr>
        <w:pStyle w:val="ListParagraph"/>
        <w:numPr>
          <w:ilvl w:val="0"/>
          <w:numId w:val="1"/>
        </w:numPr>
        <w:jc w:val="both"/>
        <w:rPr>
          <w:rFonts w:ascii="Times New Roman" w:hAnsi="Times New Roman" w:cs="Times New Roman"/>
          <w:sz w:val="26"/>
          <w:szCs w:val="26"/>
          <w:u w:val="single"/>
        </w:rPr>
      </w:pPr>
      <w:r w:rsidRPr="003713B2">
        <w:rPr>
          <w:rFonts w:ascii="Times New Roman" w:hAnsi="Times New Roman" w:cs="Times New Roman"/>
          <w:sz w:val="26"/>
          <w:szCs w:val="26"/>
          <w:u w:val="single"/>
        </w:rPr>
        <w:t>Bibliografie:</w:t>
      </w:r>
    </w:p>
    <w:p w14:paraId="4B658FF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5" w:history="1">
        <w:r w:rsidRPr="003713B2">
          <w:rPr>
            <w:rStyle w:val="Hyperlink"/>
            <w:rFonts w:ascii="Times New Roman" w:hAnsi="Times New Roman" w:cs="Times New Roman"/>
            <w:sz w:val="26"/>
            <w:szCs w:val="26"/>
          </w:rPr>
          <w:t>https://doi.org/10.1007/978-81-8489-203-1_14</w:t>
        </w:r>
      </w:hyperlink>
    </w:p>
    <w:p w14:paraId="1250066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31141B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[2] Romeo, Pietro &amp; Karreman, Joyce &amp; Karreman@utwente, J &amp; Nl, Pietro &amp; Romeo, &amp; Li, Qian. (2016). Cross-cultural HCI and UX design: a comparison of Chinese and Western user interfaces.</w:t>
      </w:r>
    </w:p>
    <w:p w14:paraId="681366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B5F2F5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DA8EA4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742FE04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[4] Tomás Alves, Joana Natálio, Joana Henriques-Calado, Sandra Gama, Incorporating personality in user interface design: A review, Personality and Individual Differences, Volume 155, 2020, 109709, ISSN 0191-8869, </w:t>
      </w:r>
      <w:hyperlink r:id="rId6" w:history="1">
        <w:r w:rsidRPr="003713B2">
          <w:rPr>
            <w:rStyle w:val="Hyperlink"/>
            <w:rFonts w:ascii="Times New Roman" w:hAnsi="Times New Roman" w:cs="Times New Roman"/>
            <w:sz w:val="26"/>
            <w:szCs w:val="26"/>
          </w:rPr>
          <w:t>https://doi.org/10.1016/j.paid.2019.109709</w:t>
        </w:r>
      </w:hyperlink>
      <w:r w:rsidRPr="003713B2">
        <w:rPr>
          <w:rFonts w:ascii="Times New Roman" w:hAnsi="Times New Roman" w:cs="Times New Roman"/>
          <w:sz w:val="26"/>
          <w:szCs w:val="26"/>
        </w:rPr>
        <w:t>.</w:t>
      </w:r>
    </w:p>
    <w:p w14:paraId="6BBB2E9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06F78FB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[5] Hodgkinson, Gray. (2021). Why do New Interfaces Scare Me? Exploring Affective Design Principles in User Interface Design.</w:t>
      </w:r>
    </w:p>
    <w:p w14:paraId="6250CA6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0728FD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[6] Jeff Johnson. 2010. Designing with the Mind in Mind: Simple Guide to Understanding User Interface Design Rules. Morgan Kaufmann Publishers Inc., San Francisco, CA, USA.</w:t>
      </w:r>
    </w:p>
    <w:p w14:paraId="5605EA1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BF1BE1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lastRenderedPageBreak/>
        <w:t>[7] Lallemand, Carine &amp; Gronier, Guillaume. (2012). Enhancing User eXperience during waiting time in HCI: Contributions of cognitive psychology. Proceedings of the Designing Interactive Systems Conference, DIS '12. 10.1145/2317956.2318069.</w:t>
      </w:r>
    </w:p>
    <w:p w14:paraId="4416FE8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12F706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[8] Surasena, Amavi. (2019). Psychology Impact on Human Computer Interaction. 10.13140/RG.2.2.14254.43841.</w:t>
      </w:r>
    </w:p>
    <w:p w14:paraId="53F75CA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3AA78F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[9] Chalmers, Patricia. (2003). The role of cognitive theory in human–computer interface. Computers in Human Behavior. 19. 593-607. 10.1016/S0747-5632(02)00086-9.</w:t>
      </w:r>
    </w:p>
    <w:p w14:paraId="4DEE7C3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11FE2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[10] Agarwal, Anshu &amp; Meyer, Andrew. (2009). Beyond usability: Evaluating emotional response as an integral part of the user experience. Conference on Human Factors in Computing Systems - Proceedings. 2919-2930. 10.1145/1520340.1520420.</w:t>
      </w:r>
    </w:p>
    <w:p w14:paraId="4F32126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EF7F4A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[11] R. Tadeusiewicz, "Computers in psychology and psychology in computer science," 2010 International Conference on Computer Information Systems and Industrial Management Applications (CISIM), 2010, pp. 34-38, doi: 10.1109/CISIM.2010.5643696.</w:t>
      </w:r>
    </w:p>
    <w:p w14:paraId="19713C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[12] Nov, Oded &amp; Arazy, Ofer &amp; López, Claudia &amp; Brusilovsky, Peter. (2013). Exploring Personality-Targeted UI Design in Online Social Participation Systems. Conference on Human Factors in Computing Systems - Proceedings. 361-370. 10.1145/2470654.2470707.</w:t>
      </w:r>
    </w:p>
    <w:p w14:paraId="28393C8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6D4217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[13] Marchitto, Mauro &amp; Cañas, José. (2011). User Experience As A Challenge For Cognitive Psychology And Ergonomics. Human Technology. 7. 268-280. 10.17011/ht/urn.2011112211715.</w:t>
      </w:r>
    </w:p>
    <w:p w14:paraId="0314E04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2ED861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[14] Sarsam, Samer &amp; Al-Samarraie, Hosam. (2018). A First Look at the Effectiveness of Personality Dimensions in Promoting Users’ Satisfaction With the System. SAGE Open. 8. 215824401876912. 10.1177/2158244018769125.</w:t>
      </w:r>
    </w:p>
    <w:p w14:paraId="7D3D3EC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19F1C4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[15] Chang, Jessica and Gabriel Åberg. “Applying Cognitive Science Research in Graphical User Interface ( GUI ).” (2005).</w:t>
      </w:r>
    </w:p>
    <w:p w14:paraId="400CDF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8F59F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[16] Norman, Kent. (2008). Better Design of Menu Selection Systems Through Cognitive Psychology and Human Factors. Human factors. 50. 556-9. 10.1518/001872008X288411.</w:t>
      </w:r>
    </w:p>
    <w:p w14:paraId="1203CFEA"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74BEE9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[17] Yan, Wang. (2020). Psychological Analysis of User Interface Design in Computer Software. Journal of Physics: Conference Series. 1533. 022040. 10.1088/1742-6596/1533/2/022040.</w:t>
      </w:r>
    </w:p>
    <w:p w14:paraId="770C11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4F9303F"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[18] Aaron Marcus. 2015. HCI and User-Experience Design: Fast-Forward to the Past, Present, and Future (English and Chinese Edition) (1st. ed.). Springer Publishing Company, Incorporated.</w:t>
      </w:r>
    </w:p>
    <w:p w14:paraId="06BCA90C" w14:textId="77777777" w:rsidR="00844A2D" w:rsidRDefault="00844A2D" w:rsidP="00844A2D">
      <w:pPr>
        <w:jc w:val="both"/>
        <w:rPr>
          <w:rFonts w:ascii="Times New Roman" w:hAnsi="Times New Roman" w:cs="Times New Roman"/>
          <w:sz w:val="26"/>
          <w:szCs w:val="26"/>
        </w:rPr>
      </w:pPr>
    </w:p>
    <w:p w14:paraId="0EADE1C4" w14:textId="77777777" w:rsidR="00844A2D" w:rsidRDefault="00844A2D" w:rsidP="00844A2D">
      <w:pPr>
        <w:pStyle w:val="ListParagraph"/>
        <w:numPr>
          <w:ilvl w:val="0"/>
          <w:numId w:val="1"/>
        </w:numPr>
        <w:jc w:val="both"/>
        <w:rPr>
          <w:rFonts w:ascii="Times New Roman" w:hAnsi="Times New Roman" w:cs="Times New Roman"/>
          <w:sz w:val="26"/>
          <w:szCs w:val="26"/>
          <w:u w:val="single"/>
        </w:rPr>
      </w:pPr>
      <w:r w:rsidRPr="000B1FE6">
        <w:rPr>
          <w:rFonts w:ascii="Times New Roman" w:hAnsi="Times New Roman" w:cs="Times New Roman"/>
          <w:sz w:val="26"/>
          <w:szCs w:val="26"/>
          <w:u w:val="single"/>
        </w:rPr>
        <w:t>Partea aplicativa a lucrării:</w:t>
      </w:r>
    </w:p>
    <w:p w14:paraId="3FBADCB7"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Ipoteza de lucru este faptul ca utilizatorii vor interpreta interfetele aplicatiilor si vor avea o experienta diferita cu o aplicatie in functie de mai multe aspecte psihologice.</w:t>
      </w:r>
    </w:p>
    <w:p w14:paraId="7EB24160"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Default="00844A2D" w:rsidP="00844A2D">
      <w:pPr>
        <w:pStyle w:val="ListParagraph"/>
        <w:numPr>
          <w:ilvl w:val="0"/>
          <w:numId w:val="1"/>
        </w:numPr>
        <w:tabs>
          <w:tab w:val="left" w:pos="3100"/>
        </w:tabs>
        <w:jc w:val="both"/>
        <w:rPr>
          <w:rFonts w:ascii="Times New Roman" w:hAnsi="Times New Roman" w:cs="Times New Roman"/>
          <w:sz w:val="26"/>
          <w:szCs w:val="26"/>
          <w:u w:val="single"/>
        </w:rPr>
      </w:pPr>
      <w:r w:rsidRPr="003C6000">
        <w:rPr>
          <w:rFonts w:ascii="Times New Roman" w:hAnsi="Times New Roman" w:cs="Times New Roman"/>
          <w:sz w:val="26"/>
          <w:szCs w:val="26"/>
          <w:u w:val="single"/>
        </w:rPr>
        <w:t>Identificare posibila contribuție originala</w:t>
      </w:r>
    </w:p>
    <w:p w14:paraId="195BBD5C" w14:textId="77777777" w:rsidR="00844A2D" w:rsidRDefault="00844A2D" w:rsidP="00844A2D">
      <w:pPr>
        <w:tabs>
          <w:tab w:val="left" w:pos="3100"/>
        </w:tabs>
        <w:jc w:val="both"/>
        <w:rPr>
          <w:rFonts w:ascii="Times New Roman" w:hAnsi="Times New Roman" w:cs="Times New Roman"/>
          <w:sz w:val="26"/>
          <w:szCs w:val="26"/>
        </w:rPr>
      </w:pPr>
      <w:r>
        <w:rPr>
          <w:rFonts w:ascii="Times New Roman" w:hAnsi="Times New Roman" w:cs="Times New Roman"/>
          <w:sz w:val="26"/>
          <w:szCs w:val="26"/>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6F7C1FD3" w14:textId="77777777" w:rsidR="00844A2D" w:rsidRDefault="00844A2D" w:rsidP="00844A2D">
      <w:pPr>
        <w:tabs>
          <w:tab w:val="left" w:pos="3100"/>
        </w:tabs>
        <w:jc w:val="both"/>
        <w:rPr>
          <w:rFonts w:ascii="Times New Roman" w:hAnsi="Times New Roman" w:cs="Times New Roman"/>
          <w:sz w:val="26"/>
          <w:szCs w:val="26"/>
          <w:u w:val="single"/>
        </w:rPr>
      </w:pPr>
      <w:r>
        <w:rPr>
          <w:rFonts w:ascii="Times New Roman" w:hAnsi="Times New Roman" w:cs="Times New Roman"/>
          <w:sz w:val="26"/>
          <w:szCs w:val="26"/>
          <w:u w:val="single"/>
        </w:rPr>
        <w:t>Research Questions:</w:t>
      </w:r>
    </w:p>
    <w:p w14:paraId="07DDE4B5"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face interfetele pentru utilizatori mai eficiente folosindu-ne de psihologie?</w:t>
      </w:r>
    </w:p>
    <w:p w14:paraId="669B9B64"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poate afecta cultura utilizatorului modul in care acesta foloseste o aplicatie?</w:t>
      </w:r>
    </w:p>
    <w:p w14:paraId="7AA52889"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In ce mod am putea proiecta o interfata luand in considerare personalitatea utilizatorului?</w:t>
      </w:r>
    </w:p>
    <w:p w14:paraId="2D110E7A" w14:textId="77777777" w:rsidR="00844A2D" w:rsidRPr="007E0C5A"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proiecta interfata unei aplicatii astfel incat sa adere unei categorii de utilizatori cat mari si mai diversa?</w:t>
      </w:r>
    </w:p>
    <w:p w14:paraId="04200562" w14:textId="77777777" w:rsidR="00E83680" w:rsidRDefault="00844A2D"/>
    <w:sectPr w:rsidR="00E83680">
      <w:headerReference w:type="default" r:id="rI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23323"/>
    <w:rsid w:val="006B54AC"/>
    <w:rsid w:val="00844A2D"/>
    <w:rsid w:val="00EC0E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paid.2019.109709" TargetMode="External"/><Relationship Id="rId5" Type="http://schemas.openxmlformats.org/officeDocument/2006/relationships/hyperlink" Target="https://doi.org/10.1007/978-81-8489-203-1_1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897</Words>
  <Characters>5119</Characters>
  <Application>Microsoft Office Word</Application>
  <DocSecurity>0</DocSecurity>
  <Lines>42</Lines>
  <Paragraphs>12</Paragraphs>
  <ScaleCrop>false</ScaleCrop>
  <Company/>
  <LinksUpToDate>false</LinksUpToDate>
  <CharactersWithSpaces>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1</cp:revision>
  <dcterms:created xsi:type="dcterms:W3CDTF">2021-10-29T10:06:00Z</dcterms:created>
  <dcterms:modified xsi:type="dcterms:W3CDTF">2021-10-29T10:07:00Z</dcterms:modified>
</cp:coreProperties>
</file>